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7EFF9EF9" w14:textId="77777777" w:rsidR="00A7535A" w:rsidRDefault="00A7535A" w:rsidP="003A4812">
      <w:pPr>
        <w:pStyle w:val="Zkladntext"/>
        <w:rPr>
          <w:b/>
        </w:rPr>
      </w:pPr>
    </w:p>
    <w:p w14:paraId="4419698E" w14:textId="77777777" w:rsidR="00A7535A" w:rsidRDefault="00A7535A" w:rsidP="003A4812">
      <w:pPr>
        <w:pStyle w:val="Zkladntext"/>
        <w:rPr>
          <w:b/>
        </w:rPr>
      </w:pPr>
    </w:p>
    <w:p w14:paraId="23EFB424" w14:textId="2F82B2FD"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4CFD571" w14:textId="52A92890" w:rsidR="00D00F74" w:rsidRPr="00981A5E" w:rsidRDefault="009D2B69" w:rsidP="00D00F74">
      <w:pPr>
        <w:pStyle w:val="Zkladntext"/>
        <w:tabs>
          <w:tab w:val="left" w:pos="1985"/>
        </w:tabs>
        <w:ind w:left="567" w:hanging="567"/>
        <w:rPr>
          <w:b/>
          <w:szCs w:val="24"/>
        </w:rPr>
      </w:pPr>
      <w:r w:rsidRPr="00F73633">
        <w:rPr>
          <w:b/>
          <w:bCs/>
        </w:rPr>
        <w:t>1.</w:t>
      </w:r>
      <w:r>
        <w:rPr>
          <w:bCs/>
        </w:rPr>
        <w:t xml:space="preserve"> </w:t>
      </w:r>
      <w:r w:rsidR="00714548">
        <w:rPr>
          <w:bCs/>
        </w:rPr>
        <w:tab/>
      </w:r>
      <w:r w:rsidR="00BF4973">
        <w:rPr>
          <w:b/>
          <w:szCs w:val="24"/>
        </w:rPr>
        <w:t>Novibra Boskovice</w:t>
      </w:r>
      <w:r w:rsidR="00DA75C1">
        <w:rPr>
          <w:b/>
          <w:szCs w:val="24"/>
        </w:rPr>
        <w:t xml:space="preserve"> s.r.o.</w:t>
      </w:r>
      <w:r w:rsidR="00D00F74" w:rsidRPr="00655A1E">
        <w:rPr>
          <w:b/>
          <w:bCs/>
          <w:szCs w:val="24"/>
        </w:rPr>
        <w:tab/>
      </w:r>
    </w:p>
    <w:p w14:paraId="243C15D0" w14:textId="517600E3" w:rsidR="00D00F74" w:rsidRPr="00981A5E" w:rsidRDefault="00D00F74" w:rsidP="00D00F7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BF4973">
        <w:rPr>
          <w:szCs w:val="24"/>
        </w:rPr>
        <w:t>Hrádkov 2188, 680 01 Boskovice</w:t>
      </w:r>
    </w:p>
    <w:p w14:paraId="301D8429" w14:textId="0E3AA87C" w:rsidR="00D00F74" w:rsidRPr="00981A5E" w:rsidRDefault="00D00F74" w:rsidP="00D00F7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BF4973">
        <w:t>46995030</w:t>
      </w:r>
    </w:p>
    <w:p w14:paraId="7763EA30" w14:textId="09FF9D5B" w:rsidR="00D00F74" w:rsidRPr="00981A5E" w:rsidRDefault="00D00F74" w:rsidP="00D00F74">
      <w:pPr>
        <w:pStyle w:val="Zkladntext"/>
        <w:tabs>
          <w:tab w:val="left" w:pos="1985"/>
        </w:tabs>
        <w:ind w:left="567" w:hanging="567"/>
        <w:rPr>
          <w:szCs w:val="24"/>
        </w:rPr>
      </w:pPr>
      <w:r>
        <w:rPr>
          <w:szCs w:val="24"/>
        </w:rPr>
        <w:tab/>
      </w:r>
      <w:r w:rsidR="00BF4973">
        <w:rPr>
          <w:szCs w:val="24"/>
        </w:rPr>
        <w:t>z</w:t>
      </w:r>
      <w:r w:rsidRPr="00981A5E">
        <w:rPr>
          <w:szCs w:val="24"/>
        </w:rPr>
        <w:t>astoupená</w:t>
      </w:r>
      <w:r w:rsidR="00BF4973">
        <w:rPr>
          <w:szCs w:val="24"/>
        </w:rPr>
        <w:t>:</w:t>
      </w:r>
      <w:r w:rsidR="00BF4973">
        <w:rPr>
          <w:iCs/>
          <w:szCs w:val="24"/>
        </w:rPr>
        <w:t xml:space="preserve"> </w:t>
      </w:r>
      <w:r w:rsidR="00E17C47">
        <w:rPr>
          <w:iCs/>
          <w:szCs w:val="24"/>
        </w:rPr>
        <w:t>Ing.</w:t>
      </w:r>
      <w:r w:rsidR="00BF4973">
        <w:rPr>
          <w:iCs/>
          <w:szCs w:val="24"/>
        </w:rPr>
        <w:t xml:space="preserve"> </w:t>
      </w:r>
      <w:r w:rsidR="00E17C47">
        <w:rPr>
          <w:szCs w:val="24"/>
        </w:rPr>
        <w:t>Jan Hans</w:t>
      </w:r>
      <w:r w:rsidR="00BF4973" w:rsidRPr="00BF4973">
        <w:rPr>
          <w:szCs w:val="24"/>
        </w:rPr>
        <w:t>,</w:t>
      </w:r>
      <w:r w:rsidR="00BF4973">
        <w:rPr>
          <w:szCs w:val="24"/>
        </w:rPr>
        <w:t xml:space="preserve"> jednatel a</w:t>
      </w:r>
      <w:r w:rsidR="00E17C47">
        <w:rPr>
          <w:szCs w:val="24"/>
        </w:rPr>
        <w:t xml:space="preserve"> Zbyněk Ambroz</w:t>
      </w:r>
      <w:r w:rsidR="00BF4973">
        <w:rPr>
          <w:szCs w:val="24"/>
        </w:rPr>
        <w:t>, jednatel</w:t>
      </w:r>
    </w:p>
    <w:p w14:paraId="19100BC9" w14:textId="243ACEFC" w:rsidR="00A7535A" w:rsidRDefault="005A615B" w:rsidP="00BF4973">
      <w:pPr>
        <w:pStyle w:val="Zkladntext"/>
        <w:tabs>
          <w:tab w:val="left" w:pos="1985"/>
        </w:tabs>
        <w:ind w:left="567" w:hanging="567"/>
      </w:pPr>
      <w:r>
        <w:tab/>
      </w:r>
      <w:r w:rsidR="009D2B69">
        <w:rPr>
          <w:bCs/>
        </w:rPr>
        <w:t xml:space="preserve">(dále </w:t>
      </w:r>
      <w:r w:rsidR="009D2B69" w:rsidRPr="004471DE">
        <w:rPr>
          <w:bCs/>
        </w:rPr>
        <w:t>jen</w:t>
      </w:r>
      <w:r w:rsidR="009D2B69" w:rsidRPr="009D5B1B">
        <w:t xml:space="preserve"> „příjemce“</w:t>
      </w:r>
      <w:r w:rsidR="0099272E" w:rsidRPr="009D5B1B">
        <w:t>)</w:t>
      </w:r>
      <w:r w:rsidR="0070173D">
        <w:rPr>
          <w:b/>
        </w:rPr>
        <w:t xml:space="preserve"> </w:t>
      </w:r>
    </w:p>
    <w:p w14:paraId="0C87803A" w14:textId="77777777" w:rsidR="00BF4973" w:rsidRDefault="00BF4973" w:rsidP="00BF4973">
      <w:pPr>
        <w:pStyle w:val="Zkladntext"/>
        <w:tabs>
          <w:tab w:val="left" w:pos="1985"/>
        </w:tabs>
        <w:ind w:left="567" w:hanging="567"/>
      </w:pPr>
    </w:p>
    <w:p w14:paraId="7AB4D0E1" w14:textId="44F8D4FF" w:rsidR="006E0ED7" w:rsidRDefault="00DA75C1" w:rsidP="00F73633">
      <w:pPr>
        <w:pStyle w:val="Zkladntext"/>
        <w:tabs>
          <w:tab w:val="left" w:pos="1985"/>
        </w:tabs>
        <w:ind w:left="567" w:hanging="567"/>
      </w:pPr>
      <w:r>
        <w:t>a</w:t>
      </w:r>
    </w:p>
    <w:p w14:paraId="4C6D4C7F" w14:textId="77777777" w:rsidR="00DA75C1" w:rsidRDefault="00DA75C1" w:rsidP="00F73633">
      <w:pPr>
        <w:pStyle w:val="Zkladntext"/>
        <w:tabs>
          <w:tab w:val="left" w:pos="1985"/>
        </w:tabs>
        <w:ind w:left="567" w:hanging="567"/>
      </w:pPr>
    </w:p>
    <w:p w14:paraId="185FCC6D" w14:textId="0217F8B4" w:rsidR="006E0ED7" w:rsidRPr="00981A5E" w:rsidRDefault="00BF4973" w:rsidP="006E0ED7">
      <w:pPr>
        <w:pStyle w:val="Zkladntext"/>
        <w:tabs>
          <w:tab w:val="left" w:pos="1985"/>
        </w:tabs>
        <w:ind w:left="567" w:hanging="567"/>
        <w:rPr>
          <w:b/>
          <w:szCs w:val="24"/>
        </w:rPr>
      </w:pPr>
      <w:r>
        <w:rPr>
          <w:szCs w:val="24"/>
        </w:rPr>
        <w:t>2</w:t>
      </w:r>
      <w:r w:rsidR="006E0ED7">
        <w:rPr>
          <w:szCs w:val="24"/>
        </w:rPr>
        <w:t>.</w:t>
      </w:r>
      <w:r w:rsidR="006E0ED7">
        <w:rPr>
          <w:szCs w:val="24"/>
        </w:rPr>
        <w:tab/>
      </w:r>
      <w:r w:rsidR="00DA75C1" w:rsidRPr="00893564">
        <w:rPr>
          <w:b/>
          <w:bCs/>
          <w:szCs w:val="24"/>
        </w:rPr>
        <w:t>Západočeská univerzita v Plzni</w:t>
      </w:r>
      <w:r w:rsidR="006E0ED7" w:rsidRPr="00655A1E">
        <w:rPr>
          <w:b/>
          <w:bCs/>
          <w:szCs w:val="24"/>
        </w:rPr>
        <w:tab/>
      </w:r>
    </w:p>
    <w:p w14:paraId="2E322839" w14:textId="2F099BD0" w:rsidR="006E0ED7" w:rsidRPr="00981A5E" w:rsidRDefault="006E0ED7" w:rsidP="006E0ED7">
      <w:pPr>
        <w:pStyle w:val="Zkladntext"/>
        <w:tabs>
          <w:tab w:val="left" w:pos="1985"/>
        </w:tabs>
        <w:ind w:left="567" w:hanging="567"/>
        <w:rPr>
          <w:szCs w:val="24"/>
        </w:rPr>
      </w:pPr>
      <w:r>
        <w:rPr>
          <w:szCs w:val="24"/>
        </w:rPr>
        <w:tab/>
      </w:r>
      <w:r w:rsidRPr="00981A5E">
        <w:rPr>
          <w:szCs w:val="24"/>
        </w:rPr>
        <w:t>adresa sídla:</w:t>
      </w:r>
      <w:r>
        <w:rPr>
          <w:szCs w:val="24"/>
        </w:rPr>
        <w:t xml:space="preserve"> </w:t>
      </w:r>
      <w:r w:rsidR="00DA75C1">
        <w:rPr>
          <w:szCs w:val="24"/>
        </w:rPr>
        <w:t>Univerzitní 2732/8, 301 00 Plzeň</w:t>
      </w:r>
    </w:p>
    <w:p w14:paraId="553DD624" w14:textId="502189B5" w:rsidR="006E0ED7" w:rsidRPr="00981A5E" w:rsidRDefault="006E0ED7" w:rsidP="006E0ED7">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DA75C1">
        <w:t>49777513</w:t>
      </w:r>
    </w:p>
    <w:p w14:paraId="404D0F33" w14:textId="6334C15B" w:rsidR="006E0ED7" w:rsidRPr="00DA75C1" w:rsidRDefault="006E0ED7" w:rsidP="006E0ED7">
      <w:pPr>
        <w:pStyle w:val="Zkladntext"/>
        <w:tabs>
          <w:tab w:val="left" w:pos="1985"/>
        </w:tabs>
        <w:ind w:left="567" w:hanging="567"/>
        <w:rPr>
          <w:rFonts w:ascii="Arial" w:hAnsi="Arial" w:cs="Arial"/>
          <w:i/>
          <w:sz w:val="20"/>
        </w:rPr>
      </w:pPr>
      <w:r>
        <w:rPr>
          <w:szCs w:val="24"/>
        </w:rPr>
        <w:tab/>
      </w:r>
      <w:r w:rsidRPr="00981A5E">
        <w:rPr>
          <w:szCs w:val="24"/>
        </w:rPr>
        <w:t>zastoupená:</w:t>
      </w:r>
      <w:r w:rsidRPr="005A615B">
        <w:rPr>
          <w:rFonts w:ascii="Arial" w:hAnsi="Arial" w:cs="Arial"/>
          <w:i/>
          <w:sz w:val="20"/>
        </w:rPr>
        <w:t xml:space="preserve"> </w:t>
      </w:r>
      <w:r w:rsidR="00DA75C1" w:rsidRPr="00952E10">
        <w:rPr>
          <w:szCs w:val="24"/>
        </w:rPr>
        <w:t>doc. Ing. Jiří Hammerbauer, Ph.D., prorektor pro tvůrčí činnost a doktorské studium</w:t>
      </w:r>
      <w:r w:rsidR="00DA75C1" w:rsidRPr="00DA75C1">
        <w:rPr>
          <w:rFonts w:ascii="Arial" w:hAnsi="Arial" w:cs="Arial"/>
          <w:i/>
          <w:sz w:val="20"/>
        </w:rPr>
        <w:t xml:space="preserve">  </w:t>
      </w:r>
    </w:p>
    <w:p w14:paraId="674CF57C" w14:textId="12D1470B" w:rsidR="006E0ED7" w:rsidRDefault="006E0ED7" w:rsidP="006E0ED7">
      <w:pPr>
        <w:pStyle w:val="Zkladntext"/>
        <w:tabs>
          <w:tab w:val="left" w:pos="1985"/>
        </w:tabs>
        <w:ind w:left="567" w:hanging="567"/>
        <w:rPr>
          <w:bCs/>
        </w:rPr>
      </w:pPr>
      <w:r>
        <w:tab/>
      </w:r>
      <w:r>
        <w:rPr>
          <w:bCs/>
        </w:rPr>
        <w:t>(dále jen</w:t>
      </w:r>
      <w:r>
        <w:rPr>
          <w:b/>
        </w:rPr>
        <w:t xml:space="preserve"> </w:t>
      </w:r>
      <w:r w:rsidRPr="009D5B1B">
        <w:t>„další účastník projektu“</w:t>
      </w:r>
      <w:r w:rsidR="00893564">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1ADBF188" w:rsidR="002B2D50" w:rsidRPr="006E0ED7" w:rsidRDefault="00A22B2A" w:rsidP="00CC27BB">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B910F7" w:rsidRPr="006E0ED7">
        <w:t xml:space="preserve"> účastník</w:t>
      </w:r>
      <w:r w:rsidR="00BF4973">
        <w:t>em</w:t>
      </w:r>
      <w:r w:rsidR="005558AB" w:rsidRPr="006E0ED7">
        <w:t xml:space="preserve"> projektu</w:t>
      </w:r>
      <w:r w:rsidRPr="006E0ED7">
        <w:t xml:space="preserve"> na základě výsledků veřejné soutěže vyhlášené </w:t>
      </w:r>
      <w:r w:rsidR="00952E10">
        <w:t>Technologickou agenturou České republiky</w:t>
      </w:r>
      <w:r w:rsidRPr="006E0ED7">
        <w:t xml:space="preserve"> (dále jen „</w:t>
      </w:r>
      <w:r w:rsidR="00CF7ADF" w:rsidRPr="006E0ED7">
        <w:t>poskytovatel</w:t>
      </w:r>
      <w:r w:rsidRPr="006E0ED7">
        <w:t>“)</w:t>
      </w:r>
      <w:r w:rsidR="0099272E" w:rsidRPr="006E0ED7">
        <w:t xml:space="preserve"> v rámci programu </w:t>
      </w:r>
      <w:r w:rsidR="00952E10">
        <w:t>TREND</w:t>
      </w:r>
      <w:r w:rsidR="00CC27BB">
        <w:t xml:space="preserve"> </w:t>
      </w:r>
      <w:r w:rsidR="00CF7ADF" w:rsidRPr="006E0ED7">
        <w:t>projekt výzkumu a vývoje s názvem: „</w:t>
      </w:r>
      <w:r w:rsidR="00CC27BB" w:rsidRPr="00CC27BB">
        <w:t>Návrh vysokorychlostního</w:t>
      </w:r>
      <w:r w:rsidR="00CC27BB">
        <w:t xml:space="preserve"> </w:t>
      </w:r>
      <w:r w:rsidR="00CC27BB" w:rsidRPr="00CC27BB">
        <w:t>prstencového vřetena s využitím digitálního dvojčete</w:t>
      </w:r>
      <w:r w:rsidR="00CF7ADF" w:rsidRPr="006E0ED7">
        <w:t xml:space="preserve">“, ev. č. </w:t>
      </w:r>
      <w:r w:rsidR="00CC27BB" w:rsidRPr="00CC27BB">
        <w:rPr>
          <w:b/>
          <w:bCs/>
        </w:rPr>
        <w:t>FW06010052</w:t>
      </w:r>
      <w:r w:rsidR="00CF7ADF" w:rsidRPr="00CC27BB">
        <w:rPr>
          <w:b/>
          <w:bCs/>
        </w:rPr>
        <w:t xml:space="preserve"> </w:t>
      </w:r>
      <w:r w:rsidR="00CF7ADF" w:rsidRPr="006E0ED7">
        <w:t>(dále jen „</w:t>
      </w:r>
      <w:r w:rsidR="004471DE" w:rsidRPr="006E0ED7">
        <w:t>p</w:t>
      </w:r>
      <w:r w:rsidR="00CF7ADF" w:rsidRPr="006E0ED7">
        <w:t>rojekt“)</w:t>
      </w:r>
      <w:r w:rsidR="00D0097B" w:rsidRPr="006E0ED7">
        <w:t>.</w:t>
      </w:r>
    </w:p>
    <w:p w14:paraId="71C307D4" w14:textId="28DBC957" w:rsidR="002B2D50" w:rsidRPr="006E0ED7" w:rsidRDefault="009D2B69" w:rsidP="005208A5">
      <w:pPr>
        <w:pStyle w:val="Zkladntextodsazen"/>
        <w:numPr>
          <w:ilvl w:val="0"/>
          <w:numId w:val="21"/>
        </w:numPr>
        <w:spacing w:after="120"/>
        <w:ind w:hanging="720"/>
      </w:pPr>
      <w:r w:rsidRPr="006E0ED7">
        <w:t xml:space="preserve">Termín ukončení řešení </w:t>
      </w:r>
      <w:r w:rsidR="004471DE" w:rsidRPr="006E0ED7">
        <w:t>p</w:t>
      </w:r>
      <w:r w:rsidR="00D81034" w:rsidRPr="006E0ED7">
        <w:t>roj</w:t>
      </w:r>
      <w:r w:rsidR="00A22B2A" w:rsidRPr="006E0ED7">
        <w:t xml:space="preserve">ektu byl stanoven </w:t>
      </w:r>
      <w:r w:rsidR="0065282D" w:rsidRPr="006E0ED7">
        <w:t xml:space="preserve">na </w:t>
      </w:r>
      <w:r w:rsidR="00952E10">
        <w:t>prosinec 202</w:t>
      </w:r>
      <w:r w:rsidR="00CC27BB">
        <w:t>5</w:t>
      </w:r>
      <w:r w:rsidR="00952E10">
        <w:t>.</w:t>
      </w:r>
    </w:p>
    <w:p w14:paraId="7EC4605C" w14:textId="5A598B93" w:rsidR="00952E10" w:rsidRDefault="00A22B2A" w:rsidP="00952E10">
      <w:pPr>
        <w:pStyle w:val="Zkladntextodsazen"/>
        <w:numPr>
          <w:ilvl w:val="0"/>
          <w:numId w:val="21"/>
        </w:numPr>
        <w:spacing w:after="120"/>
        <w:ind w:hanging="720"/>
      </w:pPr>
      <w:r w:rsidRPr="00952E10">
        <w:t xml:space="preserve">Příjemce: </w:t>
      </w:r>
      <w:r w:rsidR="00CC27BB">
        <w:t>Novibra Boskovice</w:t>
      </w:r>
      <w:r w:rsidR="00952E10" w:rsidRPr="00952E10">
        <w:t xml:space="preserve"> s.r.o.</w:t>
      </w:r>
    </w:p>
    <w:p w14:paraId="63608373" w14:textId="1B1BA073" w:rsidR="002B2D50" w:rsidRPr="00952E10" w:rsidRDefault="002B3734" w:rsidP="00952E10">
      <w:pPr>
        <w:pStyle w:val="Zkladntextodsazen"/>
        <w:numPr>
          <w:ilvl w:val="0"/>
          <w:numId w:val="21"/>
        </w:numPr>
        <w:spacing w:after="120"/>
        <w:ind w:hanging="720"/>
      </w:pPr>
      <w:r w:rsidRPr="00952E10">
        <w:t xml:space="preserve">Na základě smlouvy o účasti na řešení projektu </w:t>
      </w:r>
      <w:r w:rsidR="00AE559E" w:rsidRPr="00952E10">
        <w:t>j</w:t>
      </w:r>
      <w:r w:rsidR="00CC27BB">
        <w:t>e</w:t>
      </w:r>
      <w:r w:rsidR="00AE559E" w:rsidRPr="00952E10">
        <w:t xml:space="preserve"> dalším účastník</w:t>
      </w:r>
      <w:r w:rsidR="00CC27BB">
        <w:t>em</w:t>
      </w:r>
      <w:r w:rsidR="00AE559E" w:rsidRPr="00952E10">
        <w:t xml:space="preserve"> projektu </w:t>
      </w:r>
      <w:r w:rsidR="00CC27BB">
        <w:t>Západočeská un</w:t>
      </w:r>
      <w:r w:rsidR="00952E10">
        <w:t>iverzita v Plzni.</w:t>
      </w:r>
    </w:p>
    <w:p w14:paraId="72490893" w14:textId="4FE8193F" w:rsidR="002B2D50" w:rsidRPr="00A7535A" w:rsidRDefault="009D2B69" w:rsidP="005208A5">
      <w:pPr>
        <w:pStyle w:val="Zkladntextodsazen"/>
        <w:numPr>
          <w:ilvl w:val="0"/>
          <w:numId w:val="21"/>
        </w:numPr>
        <w:spacing w:after="120"/>
        <w:ind w:hanging="720"/>
        <w:rPr>
          <w:spacing w:val="-8"/>
        </w:rPr>
      </w:pPr>
      <w:r w:rsidRPr="0099272E">
        <w:rPr>
          <w:spacing w:val="-8"/>
        </w:rPr>
        <w:t>Údaje o projektu podléhají kódu důvěrnosti údajů:</w:t>
      </w:r>
      <w:r w:rsidR="0014671A" w:rsidRPr="0099272E">
        <w:rPr>
          <w:spacing w:val="-8"/>
        </w:rPr>
        <w:t xml:space="preserve"> </w:t>
      </w:r>
      <w:r w:rsidR="00A7535A" w:rsidRPr="00A7535A">
        <w:rPr>
          <w:spacing w:val="-8"/>
        </w:rPr>
        <w:t>C - Předmět řešení projektu podléhá obchodnímu tajemství</w:t>
      </w:r>
      <w:r w:rsidR="00A7535A">
        <w:rPr>
          <w:spacing w:val="-8"/>
        </w:rPr>
        <w:t>.</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3244683E" w:rsidR="002A66D8" w:rsidRPr="00CC27BB" w:rsidRDefault="004471DE" w:rsidP="00CC27BB">
      <w:pPr>
        <w:pStyle w:val="Odstavecseseznamem"/>
        <w:numPr>
          <w:ilvl w:val="0"/>
          <w:numId w:val="27"/>
        </w:numPr>
        <w:tabs>
          <w:tab w:val="left" w:pos="3402"/>
        </w:tabs>
        <w:ind w:left="709" w:hanging="283"/>
        <w:jc w:val="both"/>
        <w:rPr>
          <w:sz w:val="24"/>
          <w:szCs w:val="24"/>
        </w:rPr>
      </w:pPr>
      <w:r w:rsidRPr="00CC27BB">
        <w:rPr>
          <w:sz w:val="24"/>
          <w:szCs w:val="24"/>
        </w:rPr>
        <w:t xml:space="preserve">Název výsledku: </w:t>
      </w:r>
      <w:r w:rsidRPr="00CC27BB">
        <w:rPr>
          <w:sz w:val="24"/>
          <w:szCs w:val="24"/>
        </w:rPr>
        <w:tab/>
      </w:r>
      <w:r w:rsidR="00CC27BB" w:rsidRPr="00CC27BB">
        <w:rPr>
          <w:b/>
          <w:bCs/>
          <w:sz w:val="24"/>
          <w:szCs w:val="24"/>
        </w:rPr>
        <w:t>SW moduly řídicího a testovacího SW textilních vřeten</w:t>
      </w:r>
    </w:p>
    <w:p w14:paraId="48E550D9" w14:textId="0EEC3970" w:rsidR="004C050D" w:rsidRPr="009D5B1B" w:rsidRDefault="004C050D" w:rsidP="009D5B1B">
      <w:pPr>
        <w:tabs>
          <w:tab w:val="left" w:pos="3402"/>
        </w:tabs>
        <w:ind w:left="705"/>
        <w:jc w:val="both"/>
        <w:rPr>
          <w:sz w:val="24"/>
          <w:szCs w:val="24"/>
        </w:rPr>
      </w:pPr>
      <w:r w:rsidRPr="009D5B1B">
        <w:rPr>
          <w:sz w:val="24"/>
          <w:szCs w:val="24"/>
        </w:rPr>
        <w:t>Typ výsledku</w:t>
      </w:r>
      <w:r w:rsidR="004471DE" w:rsidRPr="009D5B1B">
        <w:rPr>
          <w:sz w:val="24"/>
          <w:szCs w:val="24"/>
        </w:rPr>
        <w:t>:</w:t>
      </w:r>
      <w:r w:rsidRPr="009D5B1B">
        <w:rPr>
          <w:sz w:val="24"/>
          <w:szCs w:val="24"/>
        </w:rPr>
        <w:t xml:space="preserve"> </w:t>
      </w:r>
      <w:r w:rsidR="004471DE">
        <w:rPr>
          <w:sz w:val="24"/>
          <w:szCs w:val="24"/>
        </w:rPr>
        <w:tab/>
      </w:r>
      <w:r w:rsidR="00CC27BB">
        <w:rPr>
          <w:sz w:val="24"/>
          <w:szCs w:val="24"/>
        </w:rPr>
        <w:t>R</w:t>
      </w:r>
      <w:r w:rsidR="00A7535A">
        <w:rPr>
          <w:sz w:val="24"/>
          <w:szCs w:val="24"/>
        </w:rPr>
        <w:t xml:space="preserve"> – </w:t>
      </w:r>
      <w:r w:rsidR="00CC27BB">
        <w:rPr>
          <w:sz w:val="24"/>
          <w:szCs w:val="24"/>
        </w:rPr>
        <w:t>Software</w:t>
      </w:r>
    </w:p>
    <w:p w14:paraId="5DC87FD7" w14:textId="7838DAA9" w:rsidR="00A7535A" w:rsidRDefault="002B2D50" w:rsidP="00A7535A">
      <w:pPr>
        <w:tabs>
          <w:tab w:val="left" w:pos="3402"/>
        </w:tabs>
        <w:ind w:left="705"/>
        <w:jc w:val="both"/>
        <w:rPr>
          <w:sz w:val="24"/>
          <w:szCs w:val="24"/>
        </w:rPr>
      </w:pPr>
      <w:r w:rsidRPr="009D5B1B">
        <w:rPr>
          <w:sz w:val="24"/>
          <w:szCs w:val="24"/>
        </w:rPr>
        <w:t>Vlastnictví</w:t>
      </w:r>
      <w:r w:rsidR="004C050D" w:rsidRPr="009D5B1B">
        <w:rPr>
          <w:sz w:val="24"/>
          <w:szCs w:val="24"/>
        </w:rPr>
        <w:t xml:space="preserve"> výsledku</w:t>
      </w:r>
      <w:r w:rsidR="004471DE" w:rsidRPr="009D5B1B">
        <w:rPr>
          <w:sz w:val="24"/>
          <w:szCs w:val="24"/>
        </w:rPr>
        <w:t>:</w:t>
      </w:r>
      <w:r w:rsidR="004C050D" w:rsidRPr="009D5B1B">
        <w:rPr>
          <w:sz w:val="24"/>
          <w:szCs w:val="24"/>
        </w:rPr>
        <w:t xml:space="preserve"> </w:t>
      </w:r>
      <w:r w:rsidR="004471DE">
        <w:rPr>
          <w:sz w:val="24"/>
          <w:szCs w:val="24"/>
        </w:rPr>
        <w:tab/>
      </w:r>
      <w:r w:rsidR="00CC27BB">
        <w:rPr>
          <w:sz w:val="24"/>
          <w:szCs w:val="24"/>
        </w:rPr>
        <w:t>Novibra Boskovice s.r.o.</w:t>
      </w:r>
      <w:r w:rsidR="00A7535A" w:rsidRPr="00A7535A">
        <w:rPr>
          <w:sz w:val="24"/>
          <w:szCs w:val="24"/>
        </w:rPr>
        <w:t xml:space="preserve"> - </w:t>
      </w:r>
      <w:r w:rsidR="00CC27BB">
        <w:rPr>
          <w:sz w:val="24"/>
          <w:szCs w:val="24"/>
        </w:rPr>
        <w:t>5</w:t>
      </w:r>
      <w:r w:rsidR="00A7535A" w:rsidRPr="00A7535A">
        <w:rPr>
          <w:sz w:val="24"/>
          <w:szCs w:val="24"/>
        </w:rPr>
        <w:t>0%</w:t>
      </w:r>
    </w:p>
    <w:p w14:paraId="205B8155" w14:textId="3FF9435E" w:rsidR="00736DEF" w:rsidRPr="009D5B1B" w:rsidRDefault="00A7535A" w:rsidP="00A7535A">
      <w:pPr>
        <w:tabs>
          <w:tab w:val="left" w:pos="3402"/>
        </w:tabs>
        <w:ind w:left="705"/>
        <w:jc w:val="both"/>
        <w:rPr>
          <w:sz w:val="24"/>
          <w:szCs w:val="24"/>
        </w:rPr>
      </w:pPr>
      <w:r>
        <w:rPr>
          <w:sz w:val="24"/>
          <w:szCs w:val="24"/>
        </w:rPr>
        <w:tab/>
      </w:r>
      <w:r w:rsidRPr="00A7535A">
        <w:rPr>
          <w:sz w:val="24"/>
          <w:szCs w:val="24"/>
        </w:rPr>
        <w:t>Západočeská univerzita</w:t>
      </w:r>
      <w:r w:rsidR="000A1AB1">
        <w:rPr>
          <w:sz w:val="24"/>
          <w:szCs w:val="24"/>
        </w:rPr>
        <w:t xml:space="preserve"> v Plzni</w:t>
      </w:r>
      <w:r w:rsidRPr="00A7535A">
        <w:rPr>
          <w:sz w:val="24"/>
          <w:szCs w:val="24"/>
        </w:rPr>
        <w:t xml:space="preserve"> - </w:t>
      </w:r>
      <w:r w:rsidR="00CC27BB">
        <w:rPr>
          <w:sz w:val="24"/>
          <w:szCs w:val="24"/>
        </w:rPr>
        <w:t>5</w:t>
      </w:r>
      <w:r w:rsidRPr="00A7535A">
        <w:rPr>
          <w:sz w:val="24"/>
          <w:szCs w:val="24"/>
        </w:rPr>
        <w:t>0%</w:t>
      </w:r>
    </w:p>
    <w:p w14:paraId="278DC83D" w14:textId="3AB546A6" w:rsidR="004471DE" w:rsidRPr="009D5B1B" w:rsidRDefault="004471DE" w:rsidP="00077E7D">
      <w:pPr>
        <w:tabs>
          <w:tab w:val="left" w:pos="3402"/>
        </w:tabs>
        <w:ind w:left="705"/>
        <w:jc w:val="both"/>
        <w:rPr>
          <w:sz w:val="24"/>
          <w:szCs w:val="24"/>
        </w:rPr>
      </w:pPr>
      <w:r w:rsidRPr="3DF034D1">
        <w:rPr>
          <w:sz w:val="24"/>
          <w:szCs w:val="24"/>
        </w:rPr>
        <w:lastRenderedPageBreak/>
        <w:t>Způsob využití výsledku</w:t>
      </w:r>
      <w:r w:rsidRPr="00632013">
        <w:rPr>
          <w:sz w:val="24"/>
          <w:szCs w:val="24"/>
        </w:rPr>
        <w:t xml:space="preserve">: </w:t>
      </w:r>
      <w:r w:rsidR="00077E7D" w:rsidRPr="00632013">
        <w:tab/>
      </w:r>
      <w:r w:rsidR="00077E7D" w:rsidRPr="00632013">
        <w:rPr>
          <w:sz w:val="24"/>
          <w:szCs w:val="24"/>
        </w:rPr>
        <w:t>Výsledek bude využit především jako součást výrobního resp. testovacího řetězce v produkci vysokorychlostních vřeten společnosti Novibra. SW je koncipován jako modulární, kde především vyvinuté nástroje pro práci s velkými objemy dat, vizualizační nástroje a nástroje pro reportování výsledků testování bude možné využít jak pro další produktové řady výrobního portfolia společnosti Novibra, tak pro vývoj řídicích a monitorovacích systémů v jiných odvětvích ve výzkumném centru NTIS na</w:t>
      </w:r>
      <w:r w:rsidR="4E84A8B7" w:rsidRPr="00632013">
        <w:rPr>
          <w:sz w:val="24"/>
          <w:szCs w:val="24"/>
        </w:rPr>
        <w:t xml:space="preserve"> </w:t>
      </w:r>
      <w:r w:rsidR="00077E7D" w:rsidRPr="00632013">
        <w:rPr>
          <w:sz w:val="24"/>
          <w:szCs w:val="24"/>
        </w:rPr>
        <w:t>Západočeské univerzitě</w:t>
      </w:r>
      <w:r w:rsidR="000A1AB1">
        <w:rPr>
          <w:sz w:val="24"/>
          <w:szCs w:val="24"/>
        </w:rPr>
        <w:t xml:space="preserve"> v Plzni</w:t>
      </w:r>
      <w:r w:rsidR="00077E7D" w:rsidRPr="00632013">
        <w:rPr>
          <w:sz w:val="24"/>
          <w:szCs w:val="24"/>
        </w:rPr>
        <w:t>.</w:t>
      </w:r>
    </w:p>
    <w:p w14:paraId="717D4DF4" w14:textId="77777777" w:rsidR="0099272E" w:rsidRPr="002A66D8" w:rsidRDefault="0099272E" w:rsidP="004C050D">
      <w:pPr>
        <w:ind w:left="705"/>
        <w:jc w:val="both"/>
        <w:rPr>
          <w:sz w:val="24"/>
          <w:szCs w:val="24"/>
        </w:rPr>
      </w:pPr>
    </w:p>
    <w:p w14:paraId="7A503D7E" w14:textId="77777777" w:rsidR="00077E7D" w:rsidRPr="00077E7D" w:rsidRDefault="004471DE" w:rsidP="00077E7D">
      <w:pPr>
        <w:pStyle w:val="Odstavecseseznamem"/>
        <w:numPr>
          <w:ilvl w:val="0"/>
          <w:numId w:val="27"/>
        </w:numPr>
        <w:tabs>
          <w:tab w:val="left" w:pos="3402"/>
        </w:tabs>
        <w:ind w:left="709" w:hanging="283"/>
        <w:jc w:val="both"/>
        <w:rPr>
          <w:sz w:val="24"/>
          <w:szCs w:val="24"/>
        </w:rPr>
      </w:pPr>
      <w:r w:rsidRPr="006D1022">
        <w:rPr>
          <w:sz w:val="24"/>
          <w:szCs w:val="24"/>
        </w:rPr>
        <w:t xml:space="preserve">Název výsledku: </w:t>
      </w:r>
      <w:r>
        <w:rPr>
          <w:sz w:val="24"/>
          <w:szCs w:val="24"/>
        </w:rPr>
        <w:tab/>
      </w:r>
      <w:r w:rsidR="00CC27BB">
        <w:rPr>
          <w:b/>
          <w:bCs/>
          <w:sz w:val="24"/>
          <w:szCs w:val="24"/>
        </w:rPr>
        <w:t>SW pro monitorování</w:t>
      </w:r>
      <w:r w:rsidR="00077E7D" w:rsidRPr="00077E7D">
        <w:rPr>
          <w:b/>
          <w:bCs/>
          <w:sz w:val="24"/>
          <w:szCs w:val="24"/>
        </w:rPr>
        <w:t xml:space="preserve">, automatizované testování a </w:t>
      </w:r>
    </w:p>
    <w:p w14:paraId="46B49973" w14:textId="7B134088" w:rsidR="004471DE" w:rsidRPr="006D1022" w:rsidRDefault="00077E7D" w:rsidP="00077E7D">
      <w:pPr>
        <w:pStyle w:val="Odstavecseseznamem"/>
        <w:tabs>
          <w:tab w:val="left" w:pos="3402"/>
        </w:tabs>
        <w:ind w:left="3402"/>
        <w:jc w:val="both"/>
        <w:rPr>
          <w:sz w:val="24"/>
          <w:szCs w:val="24"/>
        </w:rPr>
      </w:pPr>
      <w:r w:rsidRPr="00077E7D">
        <w:rPr>
          <w:b/>
          <w:bCs/>
          <w:sz w:val="24"/>
          <w:szCs w:val="24"/>
        </w:rPr>
        <w:t>vyhodnocení dlouhodobých testů vysokorychlostního vřetena</w:t>
      </w:r>
    </w:p>
    <w:p w14:paraId="196FBBDA" w14:textId="027A9058" w:rsidR="004471DE" w:rsidRPr="006D1022" w:rsidRDefault="004471DE" w:rsidP="004471DE">
      <w:pPr>
        <w:tabs>
          <w:tab w:val="left" w:pos="3402"/>
        </w:tabs>
        <w:ind w:left="705"/>
        <w:jc w:val="both"/>
        <w:rPr>
          <w:sz w:val="24"/>
          <w:szCs w:val="24"/>
        </w:rPr>
      </w:pPr>
      <w:r w:rsidRPr="006D1022">
        <w:rPr>
          <w:sz w:val="24"/>
          <w:szCs w:val="24"/>
        </w:rPr>
        <w:t xml:space="preserve">Typ výsledku: </w:t>
      </w:r>
      <w:r>
        <w:rPr>
          <w:sz w:val="24"/>
          <w:szCs w:val="24"/>
        </w:rPr>
        <w:tab/>
      </w:r>
      <w:r w:rsidR="00077E7D">
        <w:rPr>
          <w:sz w:val="24"/>
          <w:szCs w:val="24"/>
        </w:rPr>
        <w:t>R – Software</w:t>
      </w:r>
    </w:p>
    <w:p w14:paraId="1CC8BC3B" w14:textId="79A172F5" w:rsidR="00077E7D" w:rsidRDefault="004471DE" w:rsidP="00077E7D">
      <w:pPr>
        <w:tabs>
          <w:tab w:val="left" w:pos="3402"/>
        </w:tabs>
        <w:ind w:left="705"/>
        <w:jc w:val="both"/>
        <w:rPr>
          <w:sz w:val="24"/>
          <w:szCs w:val="24"/>
        </w:rPr>
      </w:pPr>
      <w:r w:rsidRPr="006D1022">
        <w:rPr>
          <w:sz w:val="24"/>
          <w:szCs w:val="24"/>
        </w:rPr>
        <w:t xml:space="preserve">Vlastnictví výsledku: </w:t>
      </w:r>
      <w:r>
        <w:rPr>
          <w:sz w:val="24"/>
          <w:szCs w:val="24"/>
        </w:rPr>
        <w:tab/>
      </w:r>
      <w:r w:rsidR="00077E7D">
        <w:rPr>
          <w:sz w:val="24"/>
          <w:szCs w:val="24"/>
        </w:rPr>
        <w:t>Novibra Boskovice s.r.o.</w:t>
      </w:r>
      <w:r w:rsidR="00077E7D" w:rsidRPr="00A7535A">
        <w:rPr>
          <w:sz w:val="24"/>
          <w:szCs w:val="24"/>
        </w:rPr>
        <w:t xml:space="preserve"> - 0%</w:t>
      </w:r>
    </w:p>
    <w:p w14:paraId="73B5D181" w14:textId="7887AA8A" w:rsidR="00077E7D" w:rsidRDefault="00077E7D" w:rsidP="00077E7D">
      <w:pPr>
        <w:tabs>
          <w:tab w:val="left" w:pos="3402"/>
        </w:tabs>
        <w:ind w:left="705"/>
        <w:jc w:val="both"/>
        <w:rPr>
          <w:sz w:val="24"/>
          <w:szCs w:val="24"/>
        </w:rPr>
      </w:pPr>
      <w:r>
        <w:rPr>
          <w:sz w:val="24"/>
          <w:szCs w:val="24"/>
        </w:rPr>
        <w:tab/>
      </w:r>
      <w:r w:rsidRPr="00A7535A">
        <w:rPr>
          <w:sz w:val="24"/>
          <w:szCs w:val="24"/>
        </w:rPr>
        <w:t>Západočeská univerzita</w:t>
      </w:r>
      <w:r w:rsidR="000A1AB1">
        <w:rPr>
          <w:sz w:val="24"/>
          <w:szCs w:val="24"/>
        </w:rPr>
        <w:t xml:space="preserve"> v Plzni</w:t>
      </w:r>
      <w:r w:rsidRPr="00A7535A">
        <w:rPr>
          <w:sz w:val="24"/>
          <w:szCs w:val="24"/>
        </w:rPr>
        <w:t xml:space="preserve"> - </w:t>
      </w:r>
      <w:r>
        <w:rPr>
          <w:sz w:val="24"/>
          <w:szCs w:val="24"/>
        </w:rPr>
        <w:t>10</w:t>
      </w:r>
      <w:r w:rsidRPr="00A7535A">
        <w:rPr>
          <w:sz w:val="24"/>
          <w:szCs w:val="24"/>
        </w:rPr>
        <w:t>0%</w:t>
      </w:r>
    </w:p>
    <w:p w14:paraId="24368199" w14:textId="3CC46C52" w:rsidR="00736DEF" w:rsidRPr="00077E7D" w:rsidRDefault="004471DE" w:rsidP="00077E7D">
      <w:pPr>
        <w:tabs>
          <w:tab w:val="left" w:pos="3402"/>
        </w:tabs>
        <w:ind w:left="705"/>
        <w:jc w:val="both"/>
        <w:rPr>
          <w:sz w:val="24"/>
          <w:szCs w:val="24"/>
          <w:highlight w:val="yellow"/>
        </w:rPr>
      </w:pPr>
      <w:r w:rsidRPr="006D1022">
        <w:rPr>
          <w:sz w:val="24"/>
          <w:szCs w:val="24"/>
        </w:rPr>
        <w:t>Způsob využití výsledku</w:t>
      </w:r>
      <w:r w:rsidRPr="00632013">
        <w:rPr>
          <w:sz w:val="24"/>
          <w:szCs w:val="24"/>
        </w:rPr>
        <w:t xml:space="preserve">: </w:t>
      </w:r>
      <w:r w:rsidRPr="00632013">
        <w:rPr>
          <w:sz w:val="24"/>
          <w:szCs w:val="24"/>
        </w:rPr>
        <w:tab/>
      </w:r>
      <w:r w:rsidR="00077E7D" w:rsidRPr="00632013">
        <w:rPr>
          <w:sz w:val="24"/>
          <w:szCs w:val="24"/>
        </w:rPr>
        <w:t>Výsledek bude využit jako součást monitorovací platformy textilních vřeten ve výrobních závodech pro dlouhodobý monitoring provozu vřeten a jako součást výrobního resp. testovacího řetězce v produkci vysokorychlostních vřeten společnosti Novibra. SW najde uplatnění i jako součást dodávaných služeb společností Novibra jejím zákazníkům.</w:t>
      </w:r>
    </w:p>
    <w:p w14:paraId="5A7DC656" w14:textId="77777777" w:rsidR="00893564" w:rsidRDefault="00893564" w:rsidP="00893564">
      <w:pPr>
        <w:tabs>
          <w:tab w:val="left" w:pos="3402"/>
        </w:tabs>
        <w:ind w:left="705"/>
        <w:jc w:val="both"/>
        <w:rPr>
          <w:sz w:val="24"/>
          <w:szCs w:val="24"/>
        </w:rPr>
      </w:pPr>
    </w:p>
    <w:p w14:paraId="5DD76812" w14:textId="77777777" w:rsidR="00077E7D" w:rsidRPr="00077E7D" w:rsidRDefault="004471DE" w:rsidP="00077E7D">
      <w:pPr>
        <w:pStyle w:val="Odstavecseseznamem"/>
        <w:numPr>
          <w:ilvl w:val="0"/>
          <w:numId w:val="27"/>
        </w:numPr>
        <w:tabs>
          <w:tab w:val="left" w:pos="3402"/>
        </w:tabs>
        <w:ind w:left="709" w:hanging="349"/>
        <w:jc w:val="both"/>
        <w:rPr>
          <w:sz w:val="24"/>
          <w:szCs w:val="24"/>
        </w:rPr>
      </w:pPr>
      <w:r w:rsidRPr="00A7535A">
        <w:rPr>
          <w:sz w:val="24"/>
          <w:szCs w:val="24"/>
        </w:rPr>
        <w:t>Název výsledku</w:t>
      </w:r>
      <w:r w:rsidRPr="006D1022">
        <w:rPr>
          <w:sz w:val="24"/>
          <w:szCs w:val="24"/>
        </w:rPr>
        <w:t xml:space="preserve">: </w:t>
      </w:r>
      <w:r>
        <w:rPr>
          <w:sz w:val="24"/>
          <w:szCs w:val="24"/>
        </w:rPr>
        <w:tab/>
      </w:r>
      <w:r w:rsidR="00A7535A" w:rsidRPr="00A7535A">
        <w:rPr>
          <w:b/>
          <w:bCs/>
          <w:sz w:val="24"/>
          <w:szCs w:val="24"/>
        </w:rPr>
        <w:t xml:space="preserve">Prototyp </w:t>
      </w:r>
      <w:r w:rsidR="00077E7D">
        <w:rPr>
          <w:b/>
          <w:bCs/>
          <w:sz w:val="24"/>
          <w:szCs w:val="24"/>
        </w:rPr>
        <w:t>vysokorychlostního vřetene ELS40K</w:t>
      </w:r>
    </w:p>
    <w:p w14:paraId="4820C231" w14:textId="0A223852" w:rsidR="004471DE" w:rsidRPr="006D1022" w:rsidRDefault="004471DE" w:rsidP="00077E7D">
      <w:pPr>
        <w:pStyle w:val="Odstavecseseznamem"/>
        <w:tabs>
          <w:tab w:val="left" w:pos="3402"/>
        </w:tabs>
        <w:ind w:left="709"/>
        <w:jc w:val="both"/>
        <w:rPr>
          <w:sz w:val="24"/>
          <w:szCs w:val="24"/>
        </w:rPr>
      </w:pPr>
      <w:r w:rsidRPr="006D1022">
        <w:rPr>
          <w:sz w:val="24"/>
          <w:szCs w:val="24"/>
        </w:rPr>
        <w:t xml:space="preserve">Typ výsledku: </w:t>
      </w:r>
      <w:r>
        <w:rPr>
          <w:sz w:val="24"/>
          <w:szCs w:val="24"/>
        </w:rPr>
        <w:tab/>
      </w:r>
      <w:r w:rsidR="00A7535A">
        <w:rPr>
          <w:sz w:val="24"/>
          <w:szCs w:val="24"/>
        </w:rPr>
        <w:t>Gprot – Prototyp</w:t>
      </w:r>
    </w:p>
    <w:p w14:paraId="14CF6E7A" w14:textId="0D8398A3" w:rsidR="00077E7D" w:rsidRDefault="004471DE" w:rsidP="00077E7D">
      <w:pPr>
        <w:tabs>
          <w:tab w:val="left" w:pos="3402"/>
        </w:tabs>
        <w:ind w:left="705"/>
        <w:jc w:val="both"/>
        <w:rPr>
          <w:sz w:val="24"/>
          <w:szCs w:val="24"/>
        </w:rPr>
      </w:pPr>
      <w:r w:rsidRPr="006D1022">
        <w:rPr>
          <w:sz w:val="24"/>
          <w:szCs w:val="24"/>
        </w:rPr>
        <w:t xml:space="preserve">Vlastnictví výsledku: </w:t>
      </w:r>
      <w:r>
        <w:rPr>
          <w:sz w:val="24"/>
          <w:szCs w:val="24"/>
        </w:rPr>
        <w:tab/>
      </w:r>
      <w:r w:rsidR="00077E7D">
        <w:rPr>
          <w:sz w:val="24"/>
          <w:szCs w:val="24"/>
        </w:rPr>
        <w:t>Novibra Boskovice s.r.o.</w:t>
      </w:r>
      <w:r w:rsidR="00077E7D" w:rsidRPr="00A7535A">
        <w:rPr>
          <w:sz w:val="24"/>
          <w:szCs w:val="24"/>
        </w:rPr>
        <w:t xml:space="preserve"> - </w:t>
      </w:r>
      <w:r w:rsidR="00077E7D">
        <w:rPr>
          <w:sz w:val="24"/>
          <w:szCs w:val="24"/>
        </w:rPr>
        <w:t>10</w:t>
      </w:r>
      <w:r w:rsidR="00077E7D" w:rsidRPr="00A7535A">
        <w:rPr>
          <w:sz w:val="24"/>
          <w:szCs w:val="24"/>
        </w:rPr>
        <w:t>0%</w:t>
      </w:r>
    </w:p>
    <w:p w14:paraId="74CE02A7" w14:textId="709F36B0" w:rsidR="00077E7D" w:rsidRDefault="00077E7D" w:rsidP="00077E7D">
      <w:pPr>
        <w:tabs>
          <w:tab w:val="left" w:pos="3402"/>
        </w:tabs>
        <w:ind w:left="705"/>
        <w:jc w:val="both"/>
        <w:rPr>
          <w:sz w:val="24"/>
          <w:szCs w:val="24"/>
        </w:rPr>
      </w:pPr>
      <w:r>
        <w:rPr>
          <w:sz w:val="24"/>
          <w:szCs w:val="24"/>
        </w:rPr>
        <w:tab/>
      </w:r>
      <w:r w:rsidRPr="00A7535A">
        <w:rPr>
          <w:sz w:val="24"/>
          <w:szCs w:val="24"/>
        </w:rPr>
        <w:t>Západočeská univerzita</w:t>
      </w:r>
      <w:r w:rsidR="000A1AB1">
        <w:rPr>
          <w:sz w:val="24"/>
          <w:szCs w:val="24"/>
        </w:rPr>
        <w:t xml:space="preserve"> v Plzni</w:t>
      </w:r>
      <w:r w:rsidRPr="00A7535A">
        <w:rPr>
          <w:sz w:val="24"/>
          <w:szCs w:val="24"/>
        </w:rPr>
        <w:t xml:space="preserve"> - 0%</w:t>
      </w:r>
    </w:p>
    <w:p w14:paraId="19CD4FF9" w14:textId="3FB93E88" w:rsidR="00A7535A" w:rsidRPr="00077E7D" w:rsidRDefault="004471DE" w:rsidP="00077E7D">
      <w:pPr>
        <w:tabs>
          <w:tab w:val="left" w:pos="3402"/>
        </w:tabs>
        <w:ind w:left="705"/>
        <w:jc w:val="both"/>
        <w:rPr>
          <w:sz w:val="24"/>
          <w:szCs w:val="24"/>
          <w:highlight w:val="yellow"/>
        </w:rPr>
      </w:pPr>
      <w:r w:rsidRPr="006D1022">
        <w:rPr>
          <w:sz w:val="24"/>
          <w:szCs w:val="24"/>
        </w:rPr>
        <w:t xml:space="preserve">Způsob využití výsledku: </w:t>
      </w:r>
      <w:r>
        <w:rPr>
          <w:sz w:val="24"/>
          <w:szCs w:val="24"/>
        </w:rPr>
        <w:tab/>
      </w:r>
      <w:r w:rsidR="00077E7D" w:rsidRPr="00632013">
        <w:rPr>
          <w:sz w:val="24"/>
          <w:szCs w:val="24"/>
        </w:rPr>
        <w:t>Výsledek najde uplatnění jako náhrada za současná vřetena používaná v přádelnách s vřeteny s prstencovým dopřádáním. Prototyp bude výsledkem změny v postupu vývoje textilních vřeten. Nový přístup založený na digitálním modelu, s ověřenými mechanicko-fyzikálními vlastnostmi bude mít vliv na rychlost a efektivitu návrhu změn a úprav budoucích variant vysokorychlostních vřeten. Nově získané znalosti o vlivu jednotlivých prvků vřetena na jeho celkové mechanické chování přinesou zásadní know-how pro cílený návrh úprav vyvíjených vřeten a zásadní zjednodušení procesu testování nových prototypů. Dosažení prototypu má významný ekonomický potenciál a přispěje nemalou měrou k cíli udržet pozici společnosti Novibra jako lídra v oblasti vývoje a výroby vřeten pro textilní průmysl.</w:t>
      </w: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54741285"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 xml:space="preserve">onává </w:t>
      </w:r>
      <w:r w:rsidR="004471DE" w:rsidRPr="009D5B1B">
        <w:rPr>
          <w:sz w:val="24"/>
          <w:szCs w:val="24"/>
        </w:rPr>
        <w:t xml:space="preserve">jedna </w:t>
      </w:r>
      <w:r w:rsidR="00FE7682">
        <w:rPr>
          <w:sz w:val="24"/>
          <w:szCs w:val="24"/>
        </w:rPr>
        <w:t xml:space="preserve">ze </w:t>
      </w:r>
      <w:r w:rsidR="004471DE" w:rsidRPr="009D5B1B">
        <w:rPr>
          <w:sz w:val="24"/>
          <w:szCs w:val="24"/>
        </w:rPr>
        <w:t>smluvní</w:t>
      </w:r>
      <w:r w:rsidR="00FE7682">
        <w:rPr>
          <w:sz w:val="24"/>
          <w:szCs w:val="24"/>
        </w:rPr>
        <w:t>ch</w:t>
      </w:r>
      <w:r w:rsidR="004471DE" w:rsidRPr="009D5B1B">
        <w:rPr>
          <w:sz w:val="24"/>
          <w:szCs w:val="24"/>
        </w:rPr>
        <w:t xml:space="preserve"> stran nebo </w:t>
      </w:r>
      <w:r w:rsidR="008F54B8" w:rsidRPr="006E0ED7">
        <w:rPr>
          <w:sz w:val="24"/>
          <w:szCs w:val="24"/>
        </w:rPr>
        <w:t xml:space="preserve">více </w:t>
      </w:r>
      <w:r w:rsidR="004471DE" w:rsidRPr="006E0ED7">
        <w:rPr>
          <w:sz w:val="24"/>
          <w:szCs w:val="24"/>
        </w:rPr>
        <w:t>smluvní</w:t>
      </w:r>
      <w:r w:rsidR="008F54B8" w:rsidRPr="006E0ED7">
        <w:rPr>
          <w:sz w:val="24"/>
          <w:szCs w:val="24"/>
        </w:rPr>
        <w:t>ch</w:t>
      </w:r>
      <w:r w:rsidR="004471DE" w:rsidRPr="006E0ED7">
        <w:rPr>
          <w:sz w:val="24"/>
          <w:szCs w:val="24"/>
        </w:rPr>
        <w:t xml:space="preserve"> stran 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3CA37FEC" w14:textId="77777777" w:rsidR="00893564" w:rsidRPr="006E0ED7" w:rsidRDefault="00893564"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4A089098" w:rsidR="00635D46" w:rsidRPr="006E0ED7" w:rsidRDefault="004471DE" w:rsidP="005208A5">
      <w:pPr>
        <w:pStyle w:val="Zkladntext"/>
        <w:numPr>
          <w:ilvl w:val="0"/>
          <w:numId w:val="18"/>
        </w:numPr>
        <w:spacing w:after="120"/>
        <w:ind w:hanging="720"/>
        <w:jc w:val="both"/>
        <w:rPr>
          <w:szCs w:val="24"/>
        </w:rPr>
      </w:pPr>
      <w:r w:rsidRPr="006E0ED7">
        <w:rPr>
          <w:szCs w:val="24"/>
        </w:rPr>
        <w:t xml:space="preserve">Smluvní strany se zavazují vyžít </w:t>
      </w:r>
      <w:r w:rsidR="000946FE" w:rsidRPr="006E0ED7">
        <w:rPr>
          <w:szCs w:val="24"/>
        </w:rPr>
        <w:t>v</w:t>
      </w:r>
      <w:r w:rsidRPr="006E0ED7">
        <w:rPr>
          <w:szCs w:val="24"/>
        </w:rPr>
        <w:t xml:space="preserve">ýsledky způsobem uvedeným v předchozím článku nejdéle do </w:t>
      </w:r>
      <w:r w:rsidR="00DA75C1">
        <w:t>5</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w:t>
      </w:r>
      <w:r w:rsidR="00FE7682" w:rsidRPr="006E0ED7">
        <w:rPr>
          <w:szCs w:val="24"/>
        </w:rPr>
        <w:lastRenderedPageBreak/>
        <w:t xml:space="preserve">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č. 130/2002 Sb., o podpoře výzkumu, experimentálního vývoje a inovací z veřejných prostředků a o změně 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350702A" w14:textId="77777777" w:rsidR="000946FE" w:rsidRPr="006E0ED7" w:rsidRDefault="000946FE" w:rsidP="009D5B1B">
      <w:pPr>
        <w:pStyle w:val="Zkladntext"/>
        <w:numPr>
          <w:ilvl w:val="0"/>
          <w:numId w:val="18"/>
        </w:numPr>
        <w:spacing w:after="120"/>
        <w:ind w:hanging="720"/>
        <w:jc w:val="both"/>
        <w:rPr>
          <w:szCs w:val="24"/>
        </w:rPr>
      </w:pPr>
      <w:r w:rsidRPr="006E0ED7">
        <w:rPr>
          <w:szCs w:val="24"/>
        </w:rPr>
        <w:t>Smluvní strana, která je výlučným vlastníkem výsledku, jej může užívat sama bez jakéhokoliv omezení.</w:t>
      </w:r>
    </w:p>
    <w:p w14:paraId="6EE21497" w14:textId="313D7AEF"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a komerčně </w:t>
      </w:r>
      <w:r w:rsidR="007771C4" w:rsidRPr="00F034FF">
        <w:rPr>
          <w:szCs w:val="24"/>
        </w:rPr>
        <w:t>pouze na základě předchozí písemné dohody</w:t>
      </w:r>
      <w:r w:rsidR="007771C4">
        <w:rPr>
          <w:szCs w:val="24"/>
        </w:rPr>
        <w:t xml:space="preserve"> uzavřené všemi spoluvlastníky výsledku</w:t>
      </w:r>
      <w:r w:rsidR="007771C4" w:rsidRPr="00F034FF">
        <w:rPr>
          <w:szCs w:val="24"/>
        </w:rPr>
        <w:t>, která stanoví konkrétní podmínky takového užití, vč. finanční kompenzace</w:t>
      </w:r>
      <w:r w:rsidR="000946FE" w:rsidRPr="006E0ED7">
        <w:t>. Komerčním užitím výsledku se rozumí</w:t>
      </w:r>
      <w:r w:rsidR="000946FE" w:rsidRPr="006E0ED7">
        <w:rPr>
          <w:szCs w:val="24"/>
        </w:rPr>
        <w:t xml:space="preserve"> jeho užití v rámci stávajícího či nového výrobku, technologie či služby a jejich uplatnění na trhu nebo použití pro koncepci a poskytování služby</w:t>
      </w:r>
      <w:r w:rsidR="007771C4">
        <w:rPr>
          <w:szCs w:val="24"/>
        </w:rPr>
        <w:t>.</w:t>
      </w:r>
    </w:p>
    <w:p w14:paraId="7BCBD8FA" w14:textId="0A70CA42" w:rsidR="00574059" w:rsidRPr="00077E7D" w:rsidRDefault="00946BAA" w:rsidP="00077E7D">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68FDC678" w14:textId="0694213D" w:rsidR="009D2B69" w:rsidRDefault="00574059">
      <w:pPr>
        <w:pStyle w:val="Zkladntext"/>
        <w:jc w:val="center"/>
        <w:rPr>
          <w:b/>
        </w:rPr>
      </w:pPr>
      <w:r>
        <w:rPr>
          <w:b/>
        </w:rPr>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2701F659"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893564">
        <w:rPr>
          <w:sz w:val="24"/>
          <w:szCs w:val="24"/>
        </w:rPr>
        <w:t>a) až d)</w:t>
      </w:r>
      <w:r w:rsidR="00DC02B1"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lastRenderedPageBreak/>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3334C9DD" w14:textId="346E0FF2" w:rsidR="009D2B69" w:rsidRPr="006E0ED7" w:rsidRDefault="008259DF">
      <w:pPr>
        <w:pStyle w:val="Zkladntext"/>
        <w:jc w:val="center"/>
        <w:rPr>
          <w:b/>
        </w:rPr>
      </w:pPr>
      <w:r w:rsidRPr="006E0ED7">
        <w:rPr>
          <w:b/>
        </w:rPr>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3D9DFA15"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E10AB5">
        <w:rPr>
          <w:sz w:val="24"/>
          <w:szCs w:val="24"/>
        </w:rPr>
        <w:t>3</w:t>
      </w:r>
      <w:r w:rsidR="00893564">
        <w:rPr>
          <w:sz w:val="24"/>
          <w:szCs w:val="24"/>
        </w:rPr>
        <w:t xml:space="preserve"> let.</w:t>
      </w:r>
      <w:r w:rsidR="00834ED7" w:rsidRPr="00834ED7">
        <w:t xml:space="preserve"> </w:t>
      </w:r>
      <w:r w:rsidR="00834ED7" w:rsidRPr="00834ED7">
        <w:rPr>
          <w:sz w:val="24"/>
          <w:szCs w:val="24"/>
        </w:rPr>
        <w:t>Ukončením platnosti této smlouvy nejsou dotčena ustanovení smlouvy upravující spoluvlastnické podíly stran ke společně vytvořenému výsledků.</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oběma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r w:rsidRPr="002B2D50">
        <w:rPr>
          <w:sz w:val="24"/>
          <w:szCs w:val="24"/>
        </w:rPr>
        <w:t>se</w:t>
      </w:r>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112BD208" w:rsidR="009D2B69" w:rsidRPr="002B2D50" w:rsidRDefault="00AF14D0" w:rsidP="009D5B1B">
      <w:pPr>
        <w:pStyle w:val="Odstavecseseznamem"/>
        <w:numPr>
          <w:ilvl w:val="0"/>
          <w:numId w:val="20"/>
        </w:numPr>
        <w:spacing w:after="120"/>
        <w:ind w:hanging="720"/>
        <w:contextualSpacing w:val="0"/>
        <w:jc w:val="both"/>
        <w:rPr>
          <w:sz w:val="24"/>
          <w:szCs w:val="24"/>
        </w:rPr>
      </w:pPr>
      <w:bookmarkStart w:id="3"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obě </w:t>
      </w:r>
      <w:r w:rsidR="007771C4" w:rsidRPr="00052C39">
        <w:rPr>
          <w:sz w:val="24"/>
          <w:szCs w:val="24"/>
        </w:rPr>
        <w:lastRenderedPageBreak/>
        <w:t>smluvní strany.</w:t>
      </w:r>
      <w:r w:rsidR="007771C4">
        <w:rPr>
          <w:sz w:val="24"/>
          <w:szCs w:val="24"/>
        </w:rPr>
        <w:t xml:space="preserve"> </w:t>
      </w:r>
      <w:r w:rsidRPr="00624A5B">
        <w:rPr>
          <w:sz w:val="24"/>
          <w:szCs w:val="24"/>
        </w:rPr>
        <w:t>Pokud je tato smlouva uzavírána v listinné formě, je</w:t>
      </w:r>
      <w:bookmarkEnd w:id="3"/>
      <w:r w:rsidRPr="00624A5B">
        <w:rPr>
          <w:sz w:val="24"/>
          <w:szCs w:val="24"/>
        </w:rPr>
        <w:t xml:space="preserve"> vyhotovena ve </w:t>
      </w:r>
      <w:r w:rsidR="00DA75C1" w:rsidRPr="00DA75C1">
        <w:rPr>
          <w:sz w:val="24"/>
          <w:szCs w:val="24"/>
        </w:rPr>
        <w:t>3</w:t>
      </w:r>
      <w:r w:rsidRPr="00624A5B">
        <w:rPr>
          <w:sz w:val="24"/>
          <w:szCs w:val="24"/>
        </w:rPr>
        <w:t xml:space="preserve"> </w:t>
      </w:r>
      <w:r w:rsidR="007771C4">
        <w:rPr>
          <w:sz w:val="24"/>
          <w:szCs w:val="24"/>
        </w:rPr>
        <w:t>stejnopisech</w:t>
      </w:r>
      <w:r w:rsidRPr="00624A5B">
        <w:rPr>
          <w:sz w:val="24"/>
          <w:szCs w:val="24"/>
        </w:rPr>
        <w:t>, z nichž každá Smluvní strana obdrží</w:t>
      </w:r>
      <w:r w:rsidR="007771C4">
        <w:rPr>
          <w:sz w:val="24"/>
          <w:szCs w:val="24"/>
        </w:rPr>
        <w:t xml:space="preserve"> po jednom</w:t>
      </w:r>
      <w:r w:rsidR="009D2B69" w:rsidRPr="002B2D50">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61AF112D" w14:textId="11548A47" w:rsidR="009D2B69" w:rsidRDefault="009D2B69" w:rsidP="00981A5E">
      <w:pPr>
        <w:pStyle w:val="Zkladntext"/>
      </w:pPr>
      <w:r>
        <w:t>V </w:t>
      </w:r>
      <w:r w:rsidR="00554CD1">
        <w:t xml:space="preserve">Plzni </w:t>
      </w:r>
      <w:r w:rsidR="008A2111">
        <w:t xml:space="preserve">dne </w:t>
      </w:r>
      <w:r w:rsidR="008A2111">
        <w:tab/>
      </w:r>
      <w:r w:rsidR="008A2111">
        <w:tab/>
      </w:r>
      <w:r w:rsidR="008A2111">
        <w:tab/>
      </w:r>
      <w:r w:rsidR="008A2111">
        <w:tab/>
      </w:r>
      <w:r w:rsidR="0034355A">
        <w:tab/>
      </w:r>
      <w:r w:rsidR="000A1AB1">
        <w:tab/>
      </w:r>
      <w:r w:rsidR="008A2111">
        <w:t>V </w:t>
      </w:r>
      <w:r w:rsidR="00E17C47">
        <w:t>Boskovicích</w:t>
      </w:r>
      <w:r w:rsidR="008A2111">
        <w:t xml:space="preserve"> dne</w:t>
      </w:r>
    </w:p>
    <w:p w14:paraId="1432D500" w14:textId="77777777" w:rsidR="00FA1D8C" w:rsidRDefault="00FA1D8C" w:rsidP="00981A5E">
      <w:pPr>
        <w:pStyle w:val="Zkladntext"/>
      </w:pPr>
    </w:p>
    <w:p w14:paraId="201F167E" w14:textId="68B69140" w:rsidR="009D2B69" w:rsidRDefault="00554CD1">
      <w:pPr>
        <w:pStyle w:val="Zkladntext"/>
      </w:pPr>
      <w:r>
        <w:t>Západočesk</w:t>
      </w:r>
      <w:r w:rsidR="007771C4">
        <w:t>á</w:t>
      </w:r>
      <w:r>
        <w:t xml:space="preserve"> univerzit</w:t>
      </w:r>
      <w:r w:rsidR="007771C4">
        <w:t>a</w:t>
      </w:r>
      <w:r>
        <w:t xml:space="preserve"> v Plzni</w:t>
      </w:r>
      <w:r w:rsidR="009D2B69">
        <w:tab/>
      </w:r>
      <w:r w:rsidR="009D2B69">
        <w:tab/>
      </w:r>
      <w:r w:rsidR="009D2B69">
        <w:tab/>
      </w:r>
      <w:r w:rsidR="00E17C47">
        <w:t>Novibra Boskovice s.r.o.</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66B5271B" w14:textId="77777777" w:rsidR="000A1AB1" w:rsidRDefault="000A1AB1">
      <w:pPr>
        <w:pStyle w:val="Zkladntext"/>
      </w:pPr>
    </w:p>
    <w:p w14:paraId="46681FDF" w14:textId="6422F690" w:rsidR="00E17C47" w:rsidRDefault="00283B49" w:rsidP="00981A5E">
      <w:pPr>
        <w:pStyle w:val="Zkladntext"/>
      </w:pPr>
      <w:r>
        <w:t>doc. Ing.</w:t>
      </w:r>
      <w:r w:rsidR="007771C4">
        <w:t xml:space="preserve"> Jiří Hammerbauer, Ph.D.</w:t>
      </w:r>
      <w:r w:rsidR="009D2B69">
        <w:tab/>
      </w:r>
      <w:r w:rsidR="009D2B69">
        <w:tab/>
      </w:r>
      <w:r w:rsidR="00961874">
        <w:tab/>
      </w:r>
      <w:r w:rsidR="00E17C47">
        <w:t>Ing. Jan Hans</w:t>
      </w:r>
    </w:p>
    <w:p w14:paraId="40B80140" w14:textId="2C59E195" w:rsidR="00961874" w:rsidRDefault="00E17C47" w:rsidP="00981A5E">
      <w:pPr>
        <w:pStyle w:val="Zkladntext"/>
      </w:pPr>
      <w:r>
        <w:t>p</w:t>
      </w:r>
      <w:r w:rsidR="00554CD1" w:rsidRPr="007771C4">
        <w:rPr>
          <w:sz w:val="22"/>
          <w:szCs w:val="22"/>
        </w:rPr>
        <w:t xml:space="preserve">rorektor pro </w:t>
      </w:r>
      <w:r w:rsidR="007771C4" w:rsidRPr="007771C4">
        <w:rPr>
          <w:sz w:val="22"/>
          <w:szCs w:val="22"/>
        </w:rPr>
        <w:t>tvůrčí činnost a doktorské studium</w:t>
      </w:r>
      <w:r>
        <w:rPr>
          <w:sz w:val="22"/>
          <w:szCs w:val="22"/>
        </w:rPr>
        <w:t xml:space="preserve">            </w:t>
      </w:r>
      <w:r w:rsidR="00961874">
        <w:rPr>
          <w:sz w:val="22"/>
          <w:szCs w:val="22"/>
        </w:rPr>
        <w:tab/>
        <w:t>jednatel společnosti</w:t>
      </w:r>
      <w:r w:rsidR="00554CD1">
        <w:tab/>
      </w:r>
    </w:p>
    <w:p w14:paraId="024D4C87" w14:textId="77777777" w:rsidR="00961874" w:rsidRDefault="00961874" w:rsidP="00981A5E">
      <w:pPr>
        <w:pStyle w:val="Zkladntext"/>
      </w:pPr>
    </w:p>
    <w:p w14:paraId="6AD0BDAA" w14:textId="77777777" w:rsidR="00961874" w:rsidRDefault="00961874" w:rsidP="00981A5E">
      <w:pPr>
        <w:pStyle w:val="Zkladntext"/>
      </w:pPr>
    </w:p>
    <w:p w14:paraId="281F4541" w14:textId="77777777" w:rsidR="00961874" w:rsidRDefault="00961874" w:rsidP="00981A5E">
      <w:pPr>
        <w:pStyle w:val="Zkladntext"/>
      </w:pPr>
    </w:p>
    <w:p w14:paraId="5C49F22F" w14:textId="77777777" w:rsidR="00961874" w:rsidRDefault="00961874" w:rsidP="00981A5E">
      <w:pPr>
        <w:pStyle w:val="Zkladntext"/>
      </w:pPr>
    </w:p>
    <w:p w14:paraId="3160C0F0" w14:textId="77777777" w:rsidR="00961874" w:rsidRDefault="00961874" w:rsidP="00981A5E">
      <w:pPr>
        <w:pStyle w:val="Zkladntext"/>
      </w:pPr>
    </w:p>
    <w:p w14:paraId="2E610163" w14:textId="457B3C20" w:rsidR="00961874" w:rsidRDefault="00961874" w:rsidP="00981A5E">
      <w:pPr>
        <w:pStyle w:val="Zkladntext"/>
      </w:pPr>
      <w:r>
        <w:tab/>
      </w:r>
      <w:r>
        <w:tab/>
      </w:r>
      <w:r>
        <w:tab/>
      </w:r>
      <w:r>
        <w:tab/>
      </w:r>
      <w:r>
        <w:tab/>
      </w:r>
      <w:r>
        <w:tab/>
      </w:r>
      <w:r>
        <w:tab/>
        <w:t>Zbyněk Ambroz</w:t>
      </w:r>
      <w:r>
        <w:tab/>
      </w:r>
    </w:p>
    <w:p w14:paraId="5E8EF752" w14:textId="62A661DE" w:rsidR="00961874" w:rsidRDefault="00961874" w:rsidP="00981A5E">
      <w:pPr>
        <w:pStyle w:val="Zkladntext"/>
        <w:rPr>
          <w:sz w:val="22"/>
          <w:szCs w:val="22"/>
        </w:rPr>
      </w:pPr>
      <w:r>
        <w:tab/>
      </w:r>
      <w:r>
        <w:tab/>
      </w:r>
      <w:r>
        <w:tab/>
      </w:r>
      <w:r>
        <w:tab/>
      </w:r>
      <w:r>
        <w:tab/>
      </w:r>
      <w:r>
        <w:tab/>
      </w:r>
      <w:r>
        <w:tab/>
      </w:r>
      <w:r>
        <w:rPr>
          <w:sz w:val="22"/>
          <w:szCs w:val="22"/>
        </w:rPr>
        <w:t>jednatel společnosti</w:t>
      </w:r>
    </w:p>
    <w:p w14:paraId="7C1C84D0" w14:textId="77777777" w:rsidR="00961874" w:rsidRDefault="00961874" w:rsidP="00981A5E">
      <w:pPr>
        <w:pStyle w:val="Zkladntext"/>
      </w:pPr>
    </w:p>
    <w:p w14:paraId="52DFB11E" w14:textId="1BDCE4DF" w:rsidR="009D2B69" w:rsidRDefault="00554CD1" w:rsidP="00981A5E">
      <w:pPr>
        <w:pStyle w:val="Zkladntext"/>
        <w:rPr>
          <w:highlight w:val="yellow"/>
        </w:rPr>
      </w:pPr>
      <w:r>
        <w:tab/>
      </w:r>
      <w:r>
        <w:tab/>
      </w:r>
    </w:p>
    <w:p w14:paraId="0D956E01" w14:textId="38A9C679" w:rsidR="00D00F74" w:rsidRDefault="00D00F74" w:rsidP="00981A5E">
      <w:pPr>
        <w:pStyle w:val="Zkladntext"/>
      </w:pPr>
    </w:p>
    <w:p w14:paraId="61D01974" w14:textId="77777777" w:rsidR="00D00F74" w:rsidRDefault="00D00F74" w:rsidP="00D00F74">
      <w:pPr>
        <w:pStyle w:val="Zkladntext"/>
      </w:pP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648BA">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35CD" w14:textId="77777777" w:rsidR="001E1E54" w:rsidRDefault="001E1E54">
      <w:r>
        <w:separator/>
      </w:r>
    </w:p>
  </w:endnote>
  <w:endnote w:type="continuationSeparator" w:id="0">
    <w:p w14:paraId="4506B4E7" w14:textId="77777777" w:rsidR="001E1E54" w:rsidRDefault="001E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1919" w14:textId="77777777" w:rsidR="001E1E54" w:rsidRDefault="001E1E54">
      <w:r>
        <w:separator/>
      </w:r>
    </w:p>
  </w:footnote>
  <w:footnote w:type="continuationSeparator" w:id="0">
    <w:p w14:paraId="1455CE4D" w14:textId="77777777" w:rsidR="001E1E54" w:rsidRDefault="001E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A9940D4C"/>
    <w:lvl w:ilvl="0" w:tplc="8736B3EA">
      <w:start w:val="1"/>
      <w:numFmt w:val="lowerLetter"/>
      <w:lvlText w:val="%1)"/>
      <w:lvlJc w:val="left"/>
      <w:pPr>
        <w:ind w:left="1410" w:hanging="705"/>
      </w:pPr>
      <w:rPr>
        <w:rFonts w:hint="default"/>
        <w:b w:val="0"/>
        <w:bCs w:val="0"/>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376202452">
    <w:abstractNumId w:val="19"/>
  </w:num>
  <w:num w:numId="2" w16cid:durableId="1963726746">
    <w:abstractNumId w:val="27"/>
  </w:num>
  <w:num w:numId="3" w16cid:durableId="410543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393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0292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371147">
    <w:abstractNumId w:val="13"/>
  </w:num>
  <w:num w:numId="7" w16cid:durableId="1411542859">
    <w:abstractNumId w:val="21"/>
  </w:num>
  <w:num w:numId="8" w16cid:durableId="434372726">
    <w:abstractNumId w:val="32"/>
  </w:num>
  <w:num w:numId="9" w16cid:durableId="948782976">
    <w:abstractNumId w:val="17"/>
  </w:num>
  <w:num w:numId="10" w16cid:durableId="1037243677">
    <w:abstractNumId w:val="33"/>
  </w:num>
  <w:num w:numId="11" w16cid:durableId="390928059">
    <w:abstractNumId w:val="25"/>
  </w:num>
  <w:num w:numId="12" w16cid:durableId="573593281">
    <w:abstractNumId w:val="0"/>
  </w:num>
  <w:num w:numId="13" w16cid:durableId="1357077816">
    <w:abstractNumId w:val="3"/>
  </w:num>
  <w:num w:numId="14" w16cid:durableId="545222587">
    <w:abstractNumId w:val="5"/>
  </w:num>
  <w:num w:numId="15" w16cid:durableId="664285421">
    <w:abstractNumId w:val="10"/>
  </w:num>
  <w:num w:numId="16" w16cid:durableId="1350184079">
    <w:abstractNumId w:val="9"/>
  </w:num>
  <w:num w:numId="17" w16cid:durableId="1715235670">
    <w:abstractNumId w:val="20"/>
  </w:num>
  <w:num w:numId="18" w16cid:durableId="1438453157">
    <w:abstractNumId w:val="22"/>
  </w:num>
  <w:num w:numId="19" w16cid:durableId="188228628">
    <w:abstractNumId w:val="1"/>
  </w:num>
  <w:num w:numId="20" w16cid:durableId="1988783346">
    <w:abstractNumId w:val="26"/>
  </w:num>
  <w:num w:numId="21" w16cid:durableId="934630900">
    <w:abstractNumId w:val="15"/>
  </w:num>
  <w:num w:numId="22" w16cid:durableId="771322097">
    <w:abstractNumId w:val="18"/>
  </w:num>
  <w:num w:numId="23" w16cid:durableId="1121456076">
    <w:abstractNumId w:val="6"/>
  </w:num>
  <w:num w:numId="24" w16cid:durableId="1580559832">
    <w:abstractNumId w:val="31"/>
  </w:num>
  <w:num w:numId="25" w16cid:durableId="84882232">
    <w:abstractNumId w:val="12"/>
  </w:num>
  <w:num w:numId="26" w16cid:durableId="440221246">
    <w:abstractNumId w:val="29"/>
  </w:num>
  <w:num w:numId="27" w16cid:durableId="1949921669">
    <w:abstractNumId w:val="4"/>
  </w:num>
  <w:num w:numId="28" w16cid:durableId="980188600">
    <w:abstractNumId w:val="8"/>
  </w:num>
  <w:num w:numId="29" w16cid:durableId="485243010">
    <w:abstractNumId w:val="14"/>
  </w:num>
  <w:num w:numId="30" w16cid:durableId="2123261722">
    <w:abstractNumId w:val="28"/>
  </w:num>
  <w:num w:numId="31" w16cid:durableId="1176924595">
    <w:abstractNumId w:val="7"/>
  </w:num>
  <w:num w:numId="32" w16cid:durableId="1651329212">
    <w:abstractNumId w:val="24"/>
  </w:num>
  <w:num w:numId="33" w16cid:durableId="1820266947">
    <w:abstractNumId w:val="2"/>
  </w:num>
  <w:num w:numId="34" w16cid:durableId="664165450">
    <w:abstractNumId w:val="11"/>
  </w:num>
  <w:num w:numId="35" w16cid:durableId="1095188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EF6"/>
    <w:rsid w:val="00015B69"/>
    <w:rsid w:val="000370A8"/>
    <w:rsid w:val="0004573D"/>
    <w:rsid w:val="00047F28"/>
    <w:rsid w:val="00072696"/>
    <w:rsid w:val="000754AD"/>
    <w:rsid w:val="00077E7D"/>
    <w:rsid w:val="000946FE"/>
    <w:rsid w:val="000A1AB1"/>
    <w:rsid w:val="000B0270"/>
    <w:rsid w:val="000B26A8"/>
    <w:rsid w:val="000E2A5E"/>
    <w:rsid w:val="000E6AA1"/>
    <w:rsid w:val="000F386B"/>
    <w:rsid w:val="000F44F0"/>
    <w:rsid w:val="00116556"/>
    <w:rsid w:val="00121FF9"/>
    <w:rsid w:val="001233C9"/>
    <w:rsid w:val="001253A1"/>
    <w:rsid w:val="0014407B"/>
    <w:rsid w:val="00144C3C"/>
    <w:rsid w:val="0014671A"/>
    <w:rsid w:val="00156BB1"/>
    <w:rsid w:val="001729B4"/>
    <w:rsid w:val="00187672"/>
    <w:rsid w:val="00197C66"/>
    <w:rsid w:val="001A0F53"/>
    <w:rsid w:val="001A2C55"/>
    <w:rsid w:val="001D15C1"/>
    <w:rsid w:val="001D3AB0"/>
    <w:rsid w:val="001D4799"/>
    <w:rsid w:val="001E1E54"/>
    <w:rsid w:val="001E55B9"/>
    <w:rsid w:val="001E66F4"/>
    <w:rsid w:val="001F6D41"/>
    <w:rsid w:val="00201003"/>
    <w:rsid w:val="00210598"/>
    <w:rsid w:val="0021775F"/>
    <w:rsid w:val="00220125"/>
    <w:rsid w:val="00221B12"/>
    <w:rsid w:val="00226DC6"/>
    <w:rsid w:val="00251D7B"/>
    <w:rsid w:val="00253C84"/>
    <w:rsid w:val="00254DAE"/>
    <w:rsid w:val="00262623"/>
    <w:rsid w:val="00280FE5"/>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0282"/>
    <w:rsid w:val="00361744"/>
    <w:rsid w:val="00361F86"/>
    <w:rsid w:val="00363F12"/>
    <w:rsid w:val="00381E88"/>
    <w:rsid w:val="00386C09"/>
    <w:rsid w:val="003A33FB"/>
    <w:rsid w:val="003A391E"/>
    <w:rsid w:val="003A4812"/>
    <w:rsid w:val="003B044C"/>
    <w:rsid w:val="003C7A6B"/>
    <w:rsid w:val="003D0594"/>
    <w:rsid w:val="003E29C2"/>
    <w:rsid w:val="003E5B2C"/>
    <w:rsid w:val="003F11FD"/>
    <w:rsid w:val="00446358"/>
    <w:rsid w:val="004471DE"/>
    <w:rsid w:val="00447DD6"/>
    <w:rsid w:val="0045735C"/>
    <w:rsid w:val="00465B51"/>
    <w:rsid w:val="00475569"/>
    <w:rsid w:val="0047791A"/>
    <w:rsid w:val="0048436B"/>
    <w:rsid w:val="004851ED"/>
    <w:rsid w:val="00496538"/>
    <w:rsid w:val="00497D50"/>
    <w:rsid w:val="004A2DD8"/>
    <w:rsid w:val="004A783F"/>
    <w:rsid w:val="004B2D5E"/>
    <w:rsid w:val="004B4BFE"/>
    <w:rsid w:val="004C050D"/>
    <w:rsid w:val="004E6921"/>
    <w:rsid w:val="004E6FCE"/>
    <w:rsid w:val="004F3397"/>
    <w:rsid w:val="00500460"/>
    <w:rsid w:val="00506211"/>
    <w:rsid w:val="00516F75"/>
    <w:rsid w:val="005208A5"/>
    <w:rsid w:val="0053474E"/>
    <w:rsid w:val="00535574"/>
    <w:rsid w:val="00554CD1"/>
    <w:rsid w:val="005558AB"/>
    <w:rsid w:val="00574059"/>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013"/>
    <w:rsid w:val="006324CA"/>
    <w:rsid w:val="00635D46"/>
    <w:rsid w:val="0063628D"/>
    <w:rsid w:val="006433AF"/>
    <w:rsid w:val="00645E93"/>
    <w:rsid w:val="006474CC"/>
    <w:rsid w:val="00650677"/>
    <w:rsid w:val="00650D35"/>
    <w:rsid w:val="0065282D"/>
    <w:rsid w:val="00655A1E"/>
    <w:rsid w:val="00655FB3"/>
    <w:rsid w:val="00661D68"/>
    <w:rsid w:val="00672645"/>
    <w:rsid w:val="0068366E"/>
    <w:rsid w:val="00691847"/>
    <w:rsid w:val="006922EA"/>
    <w:rsid w:val="006938E8"/>
    <w:rsid w:val="00694146"/>
    <w:rsid w:val="006A28CB"/>
    <w:rsid w:val="006C49EB"/>
    <w:rsid w:val="006D0A09"/>
    <w:rsid w:val="006D482F"/>
    <w:rsid w:val="006E0ED7"/>
    <w:rsid w:val="006E4333"/>
    <w:rsid w:val="006F1645"/>
    <w:rsid w:val="0070173D"/>
    <w:rsid w:val="0071039D"/>
    <w:rsid w:val="007139B6"/>
    <w:rsid w:val="00714548"/>
    <w:rsid w:val="00722287"/>
    <w:rsid w:val="00724DFC"/>
    <w:rsid w:val="00736DEF"/>
    <w:rsid w:val="00741E56"/>
    <w:rsid w:val="00744F3A"/>
    <w:rsid w:val="0075732C"/>
    <w:rsid w:val="007731C8"/>
    <w:rsid w:val="007771C4"/>
    <w:rsid w:val="0078252D"/>
    <w:rsid w:val="007A7C5E"/>
    <w:rsid w:val="007B1025"/>
    <w:rsid w:val="007D368F"/>
    <w:rsid w:val="007E0858"/>
    <w:rsid w:val="007E6A6C"/>
    <w:rsid w:val="007F6B2D"/>
    <w:rsid w:val="008043A9"/>
    <w:rsid w:val="00804BAB"/>
    <w:rsid w:val="00805334"/>
    <w:rsid w:val="008149E3"/>
    <w:rsid w:val="008259DF"/>
    <w:rsid w:val="00834ED7"/>
    <w:rsid w:val="0083570F"/>
    <w:rsid w:val="00836209"/>
    <w:rsid w:val="00851E4A"/>
    <w:rsid w:val="0086129A"/>
    <w:rsid w:val="00893564"/>
    <w:rsid w:val="008A2111"/>
    <w:rsid w:val="008B28E1"/>
    <w:rsid w:val="008B65B0"/>
    <w:rsid w:val="008C1C5F"/>
    <w:rsid w:val="008D1F26"/>
    <w:rsid w:val="008D363A"/>
    <w:rsid w:val="008E01C9"/>
    <w:rsid w:val="008F0E1C"/>
    <w:rsid w:val="008F54B8"/>
    <w:rsid w:val="00904625"/>
    <w:rsid w:val="009113DA"/>
    <w:rsid w:val="00920E25"/>
    <w:rsid w:val="00922E54"/>
    <w:rsid w:val="00926EB5"/>
    <w:rsid w:val="00927411"/>
    <w:rsid w:val="00940287"/>
    <w:rsid w:val="00943971"/>
    <w:rsid w:val="00946BAA"/>
    <w:rsid w:val="00952E10"/>
    <w:rsid w:val="00954A21"/>
    <w:rsid w:val="00961874"/>
    <w:rsid w:val="00964446"/>
    <w:rsid w:val="0096488D"/>
    <w:rsid w:val="00981A5E"/>
    <w:rsid w:val="0099272E"/>
    <w:rsid w:val="009B37D6"/>
    <w:rsid w:val="009B3BA1"/>
    <w:rsid w:val="009B434C"/>
    <w:rsid w:val="009B749F"/>
    <w:rsid w:val="009C61DA"/>
    <w:rsid w:val="009D2B69"/>
    <w:rsid w:val="009D3921"/>
    <w:rsid w:val="009D5B1B"/>
    <w:rsid w:val="009F2A90"/>
    <w:rsid w:val="009F5595"/>
    <w:rsid w:val="00A0028E"/>
    <w:rsid w:val="00A213ED"/>
    <w:rsid w:val="00A22B2A"/>
    <w:rsid w:val="00A23B93"/>
    <w:rsid w:val="00A43F85"/>
    <w:rsid w:val="00A46583"/>
    <w:rsid w:val="00A5390B"/>
    <w:rsid w:val="00A53A9D"/>
    <w:rsid w:val="00A7535A"/>
    <w:rsid w:val="00A80865"/>
    <w:rsid w:val="00A80E49"/>
    <w:rsid w:val="00AA31B4"/>
    <w:rsid w:val="00AA4AE7"/>
    <w:rsid w:val="00AB061E"/>
    <w:rsid w:val="00AB29FD"/>
    <w:rsid w:val="00AC3086"/>
    <w:rsid w:val="00AE559E"/>
    <w:rsid w:val="00AF14D0"/>
    <w:rsid w:val="00AF423F"/>
    <w:rsid w:val="00AF438A"/>
    <w:rsid w:val="00AF4D96"/>
    <w:rsid w:val="00B01C94"/>
    <w:rsid w:val="00B04A12"/>
    <w:rsid w:val="00B05A53"/>
    <w:rsid w:val="00B15A26"/>
    <w:rsid w:val="00B23BE8"/>
    <w:rsid w:val="00B31C51"/>
    <w:rsid w:val="00B42822"/>
    <w:rsid w:val="00B5372A"/>
    <w:rsid w:val="00B57071"/>
    <w:rsid w:val="00B67676"/>
    <w:rsid w:val="00B910F7"/>
    <w:rsid w:val="00B963C7"/>
    <w:rsid w:val="00BB1A5C"/>
    <w:rsid w:val="00BC5D7B"/>
    <w:rsid w:val="00BD1945"/>
    <w:rsid w:val="00BF4973"/>
    <w:rsid w:val="00C0743F"/>
    <w:rsid w:val="00C14D08"/>
    <w:rsid w:val="00C16BDB"/>
    <w:rsid w:val="00C2376D"/>
    <w:rsid w:val="00C26D33"/>
    <w:rsid w:val="00C337E1"/>
    <w:rsid w:val="00C401DC"/>
    <w:rsid w:val="00C40BC1"/>
    <w:rsid w:val="00C435E8"/>
    <w:rsid w:val="00C44E76"/>
    <w:rsid w:val="00C540B5"/>
    <w:rsid w:val="00C56D47"/>
    <w:rsid w:val="00C71FBD"/>
    <w:rsid w:val="00C73210"/>
    <w:rsid w:val="00C80298"/>
    <w:rsid w:val="00C846C5"/>
    <w:rsid w:val="00C9008F"/>
    <w:rsid w:val="00C94127"/>
    <w:rsid w:val="00CA7E2B"/>
    <w:rsid w:val="00CB05A6"/>
    <w:rsid w:val="00CC27BB"/>
    <w:rsid w:val="00CC79C6"/>
    <w:rsid w:val="00CE0AE5"/>
    <w:rsid w:val="00CE5423"/>
    <w:rsid w:val="00CF7ADF"/>
    <w:rsid w:val="00D000DB"/>
    <w:rsid w:val="00D0097B"/>
    <w:rsid w:val="00D00F74"/>
    <w:rsid w:val="00D02515"/>
    <w:rsid w:val="00D055E5"/>
    <w:rsid w:val="00D11CDE"/>
    <w:rsid w:val="00D11D30"/>
    <w:rsid w:val="00D172D5"/>
    <w:rsid w:val="00D26A98"/>
    <w:rsid w:val="00D53EA0"/>
    <w:rsid w:val="00D6270D"/>
    <w:rsid w:val="00D648BA"/>
    <w:rsid w:val="00D65B05"/>
    <w:rsid w:val="00D66AF9"/>
    <w:rsid w:val="00D66C88"/>
    <w:rsid w:val="00D66FDE"/>
    <w:rsid w:val="00D679C9"/>
    <w:rsid w:val="00D707A4"/>
    <w:rsid w:val="00D81034"/>
    <w:rsid w:val="00D90D37"/>
    <w:rsid w:val="00D90FB0"/>
    <w:rsid w:val="00D9622C"/>
    <w:rsid w:val="00DA443E"/>
    <w:rsid w:val="00DA7279"/>
    <w:rsid w:val="00DA75C1"/>
    <w:rsid w:val="00DB10F7"/>
    <w:rsid w:val="00DB4E89"/>
    <w:rsid w:val="00DB74FF"/>
    <w:rsid w:val="00DC02B1"/>
    <w:rsid w:val="00DC526F"/>
    <w:rsid w:val="00DE158C"/>
    <w:rsid w:val="00DE6049"/>
    <w:rsid w:val="00DF0B4A"/>
    <w:rsid w:val="00DF5624"/>
    <w:rsid w:val="00E013FB"/>
    <w:rsid w:val="00E05DE4"/>
    <w:rsid w:val="00E06101"/>
    <w:rsid w:val="00E10AB5"/>
    <w:rsid w:val="00E17C47"/>
    <w:rsid w:val="00E27B86"/>
    <w:rsid w:val="00E5302F"/>
    <w:rsid w:val="00E60F39"/>
    <w:rsid w:val="00E62EEF"/>
    <w:rsid w:val="00E73EBC"/>
    <w:rsid w:val="00E7540F"/>
    <w:rsid w:val="00EC2678"/>
    <w:rsid w:val="00EC748A"/>
    <w:rsid w:val="00ED0FD2"/>
    <w:rsid w:val="00ED26E3"/>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B06AC"/>
    <w:rsid w:val="00FC46FE"/>
    <w:rsid w:val="00FE7682"/>
    <w:rsid w:val="00FF3387"/>
    <w:rsid w:val="00FF6E67"/>
    <w:rsid w:val="3DF034D1"/>
    <w:rsid w:val="4E84A8B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E7D"/>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6129-8CF8-400F-8601-F3D5000D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1735</Words>
  <Characters>10242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subject/>
  <dc:creator>Mgr. Jitka GAMMONS</dc:creator>
  <cp:keywords/>
  <cp:lastModifiedBy>Blanka Grebeňová</cp:lastModifiedBy>
  <cp:revision>2</cp:revision>
  <cp:lastPrinted>2014-12-17T15:11:00Z</cp:lastPrinted>
  <dcterms:created xsi:type="dcterms:W3CDTF">2026-02-05T11:33:00Z</dcterms:created>
  <dcterms:modified xsi:type="dcterms:W3CDTF">2026-02-05T11:33:00Z</dcterms:modified>
</cp:coreProperties>
</file>