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BCEF" w14:textId="77777777" w:rsidR="00BE0CCF" w:rsidRPr="009F4C92" w:rsidRDefault="00BE0CCF" w:rsidP="00BE0CCF">
      <w:pPr>
        <w:tabs>
          <w:tab w:val="left" w:pos="1560"/>
        </w:tabs>
        <w:spacing w:after="0"/>
        <w:rPr>
          <w:sz w:val="18"/>
          <w:szCs w:val="18"/>
        </w:rPr>
      </w:pPr>
      <w:r w:rsidRPr="009F4C92">
        <w:rPr>
          <w:sz w:val="18"/>
          <w:szCs w:val="18"/>
        </w:rPr>
        <w:t>ČÍSLO JEDNACÍ:</w:t>
      </w:r>
      <w:r w:rsidRPr="009F4C92">
        <w:rPr>
          <w:sz w:val="18"/>
          <w:szCs w:val="18"/>
        </w:rPr>
        <w:tab/>
      </w:r>
      <w:bookmarkStart w:id="0" w:name="číslo_jednací"/>
      <w:sdt>
        <w:sdtPr>
          <w:rPr>
            <w:sz w:val="18"/>
            <w:szCs w:val="18"/>
          </w:rPr>
          <w:alias w:val="cislo_jednaci"/>
          <w:tag w:val="cislo_jednaci"/>
          <w:id w:val="1566047701"/>
          <w:placeholder>
            <w:docPart w:val="7E56406F3D994ED492ED57A29BA7D772"/>
          </w:placeholder>
          <w:text/>
        </w:sdtPr>
        <w:sdtEndPr/>
        <w:sdtContent>
          <w:r>
            <w:rPr>
              <w:sz w:val="18"/>
              <w:szCs w:val="18"/>
            </w:rPr>
            <w:t>SMK/002689/2026</w:t>
          </w:r>
        </w:sdtContent>
      </w:sdt>
      <w:bookmarkEnd w:id="0"/>
    </w:p>
    <w:p w14:paraId="2623F0F8" w14:textId="77777777" w:rsidR="00BE0CCF" w:rsidRPr="009F4C92" w:rsidRDefault="00BE0CCF" w:rsidP="00BE0CCF">
      <w:pPr>
        <w:tabs>
          <w:tab w:val="left" w:pos="1560"/>
        </w:tabs>
        <w:spacing w:after="0"/>
        <w:rPr>
          <w:sz w:val="18"/>
          <w:szCs w:val="18"/>
        </w:rPr>
      </w:pPr>
      <w:r w:rsidRPr="009F4C92">
        <w:rPr>
          <w:sz w:val="18"/>
          <w:szCs w:val="18"/>
        </w:rPr>
        <w:t>SPISOVÁ ZNAČKA: SMK/</w:t>
      </w:r>
      <w:r>
        <w:rPr>
          <w:sz w:val="18"/>
          <w:szCs w:val="18"/>
        </w:rPr>
        <w:t>002689/2026</w:t>
      </w:r>
    </w:p>
    <w:p w14:paraId="4BE03342" w14:textId="77777777" w:rsidR="00BE0CCF" w:rsidRPr="009F4C92" w:rsidRDefault="00BE0CCF" w:rsidP="00BE0CCF">
      <w:pPr>
        <w:tabs>
          <w:tab w:val="left" w:pos="1560"/>
        </w:tabs>
        <w:spacing w:after="0"/>
        <w:rPr>
          <w:sz w:val="18"/>
          <w:szCs w:val="18"/>
        </w:rPr>
      </w:pPr>
      <w:r w:rsidRPr="009F4C92">
        <w:rPr>
          <w:sz w:val="18"/>
          <w:szCs w:val="18"/>
        </w:rPr>
        <w:t xml:space="preserve">ČÍSLO SMLOUVY: </w:t>
      </w:r>
      <w:r>
        <w:rPr>
          <w:sz w:val="18"/>
          <w:szCs w:val="18"/>
        </w:rPr>
        <w:t xml:space="preserve"> SML/0035/2026</w:t>
      </w:r>
    </w:p>
    <w:p w14:paraId="731B4AA8" w14:textId="77777777" w:rsidR="00BE0CCF" w:rsidRPr="009F4C92" w:rsidRDefault="00BE0CCF" w:rsidP="00BE0CCF">
      <w:pPr>
        <w:pStyle w:val="Zhlav"/>
        <w:ind w:left="1276"/>
        <w:rPr>
          <w:sz w:val="18"/>
          <w:szCs w:val="18"/>
        </w:rPr>
      </w:pPr>
    </w:p>
    <w:p w14:paraId="790C0D82" w14:textId="77777777" w:rsidR="00BE0CCF" w:rsidRPr="00944D28" w:rsidRDefault="00BE0CCF" w:rsidP="00BE0CCF">
      <w:pPr>
        <w:pStyle w:val="Zhlav"/>
        <w:ind w:left="1276"/>
      </w:pPr>
    </w:p>
    <w:p w14:paraId="5E6F2571" w14:textId="77777777" w:rsidR="00BE0CCF" w:rsidRDefault="00BE0CCF" w:rsidP="00BE0CCF">
      <w:pPr>
        <w:pStyle w:val="Zhlav"/>
        <w:ind w:left="1276"/>
        <w:jc w:val="center"/>
        <w:rPr>
          <w:sz w:val="24"/>
        </w:rPr>
      </w:pPr>
    </w:p>
    <w:p w14:paraId="68FC4B92" w14:textId="77777777" w:rsidR="00BE0CCF" w:rsidRPr="00B87076" w:rsidRDefault="00BE0CCF" w:rsidP="00BE0CCF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1EC12FB" w14:textId="77777777" w:rsidR="00BE0CCF" w:rsidRDefault="00BE0CCF" w:rsidP="00BE0CCF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>
        <w:rPr>
          <w:rFonts w:cs="Arial"/>
          <w:b/>
          <w:bCs/>
          <w:sz w:val="26"/>
        </w:rPr>
        <w:t xml:space="preserve">é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48A0F316" w14:textId="77777777" w:rsidR="00BE0CCF" w:rsidRPr="00B87076" w:rsidRDefault="00BE0CCF" w:rsidP="00BE0CCF">
      <w:pPr>
        <w:spacing w:after="0"/>
        <w:jc w:val="center"/>
        <w:rPr>
          <w:rFonts w:cs="Arial"/>
          <w:b/>
          <w:sz w:val="24"/>
          <w:szCs w:val="24"/>
        </w:rPr>
      </w:pPr>
    </w:p>
    <w:p w14:paraId="619A6CE8" w14:textId="77777777" w:rsidR="00BE0CCF" w:rsidRPr="0077307C" w:rsidRDefault="00BE0CCF" w:rsidP="00BE0CC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C50D8EB" w14:textId="77777777" w:rsidR="00BE0CCF" w:rsidRPr="00C97CE6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449EAB01" w14:textId="77777777" w:rsidR="00BE0CCF" w:rsidRPr="004F6FE8" w:rsidRDefault="00BE0CCF" w:rsidP="00BE0CCF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1613141E" w14:textId="77777777" w:rsidR="00BE0CCF" w:rsidRPr="004F6FE8" w:rsidRDefault="00BE0CCF" w:rsidP="00BE0CCF">
      <w:pPr>
        <w:spacing w:after="0"/>
        <w:rPr>
          <w:rFonts w:cs="Arial"/>
          <w:b/>
        </w:rPr>
      </w:pPr>
    </w:p>
    <w:p w14:paraId="74F772B3" w14:textId="77777777" w:rsidR="00BE0CCF" w:rsidRPr="009F4C92" w:rsidRDefault="00BE0CCF" w:rsidP="00BE0CCF">
      <w:pPr>
        <w:spacing w:after="0"/>
        <w:rPr>
          <w:rFonts w:cs="Arial"/>
          <w:b/>
          <w:sz w:val="22"/>
        </w:rPr>
      </w:pPr>
      <w:r w:rsidRPr="009F4C92">
        <w:rPr>
          <w:rFonts w:cs="Arial"/>
          <w:sz w:val="22"/>
        </w:rPr>
        <w:t>poskytovatel:</w:t>
      </w:r>
      <w:r w:rsidRPr="009F4C92">
        <w:rPr>
          <w:rFonts w:cs="Arial"/>
          <w:b/>
          <w:sz w:val="22"/>
        </w:rPr>
        <w:tab/>
      </w:r>
      <w:r w:rsidRPr="009F4C92">
        <w:rPr>
          <w:rFonts w:cs="Arial"/>
          <w:b/>
          <w:sz w:val="22"/>
        </w:rPr>
        <w:tab/>
      </w:r>
      <w:r w:rsidRPr="009F4C92">
        <w:rPr>
          <w:rFonts w:cs="Arial"/>
          <w:b/>
          <w:sz w:val="22"/>
        </w:rPr>
        <w:tab/>
        <w:t>statutární město Karviná</w:t>
      </w:r>
    </w:p>
    <w:p w14:paraId="53F838E2" w14:textId="77777777" w:rsidR="00BE0CCF" w:rsidRPr="009F4C92" w:rsidRDefault="00BE0CCF" w:rsidP="00BE0CCF">
      <w:pPr>
        <w:spacing w:after="0"/>
        <w:rPr>
          <w:rFonts w:cs="Arial"/>
          <w:sz w:val="22"/>
        </w:rPr>
      </w:pPr>
      <w:r w:rsidRPr="009F4C92">
        <w:rPr>
          <w:rFonts w:cs="Arial"/>
          <w:sz w:val="22"/>
        </w:rPr>
        <w:t>zastoupen:</w:t>
      </w:r>
      <w:r w:rsidRPr="009F4C92">
        <w:rPr>
          <w:rFonts w:cs="Arial"/>
          <w:sz w:val="22"/>
        </w:rPr>
        <w:tab/>
      </w:r>
      <w:r w:rsidRPr="009F4C92">
        <w:rPr>
          <w:rFonts w:cs="Arial"/>
          <w:sz w:val="22"/>
        </w:rPr>
        <w:tab/>
      </w:r>
      <w:r w:rsidRPr="009F4C92">
        <w:rPr>
          <w:rFonts w:cs="Arial"/>
          <w:sz w:val="22"/>
        </w:rPr>
        <w:tab/>
        <w:t xml:space="preserve">Ing. Janem Wolfem,  primátorem města </w:t>
      </w:r>
    </w:p>
    <w:p w14:paraId="74AB19AE" w14:textId="77777777" w:rsidR="00BE0CCF" w:rsidRPr="009F4C92" w:rsidRDefault="00BE0CCF" w:rsidP="00BE0CCF">
      <w:pPr>
        <w:spacing w:after="0"/>
        <w:rPr>
          <w:rFonts w:cs="Arial"/>
          <w:sz w:val="22"/>
        </w:rPr>
      </w:pPr>
      <w:r w:rsidRPr="009F4C92">
        <w:rPr>
          <w:rFonts w:cs="Arial"/>
          <w:sz w:val="22"/>
        </w:rPr>
        <w:t>k podpisu smlouvy oprávněna na základě pověření ze dne 01.12.2022 Ing. Martina Šrámková, MPA, vedoucí Odboru školství a rozvoje Magistrátu města Karviné</w:t>
      </w:r>
    </w:p>
    <w:p w14:paraId="63051169" w14:textId="77777777" w:rsidR="00BE0CCF" w:rsidRPr="009F4C92" w:rsidRDefault="00BE0CCF" w:rsidP="00BE0CCF">
      <w:pPr>
        <w:spacing w:after="0"/>
        <w:rPr>
          <w:rFonts w:cs="Arial"/>
          <w:sz w:val="22"/>
        </w:rPr>
      </w:pPr>
      <w:r w:rsidRPr="009F4C92">
        <w:rPr>
          <w:rFonts w:cs="Arial"/>
          <w:sz w:val="22"/>
        </w:rPr>
        <w:t>sídlo:</w:t>
      </w:r>
      <w:r w:rsidRPr="009F4C92">
        <w:rPr>
          <w:rFonts w:cs="Arial"/>
          <w:sz w:val="22"/>
        </w:rPr>
        <w:tab/>
      </w:r>
      <w:r w:rsidRPr="009F4C92">
        <w:rPr>
          <w:rFonts w:cs="Arial"/>
          <w:sz w:val="22"/>
        </w:rPr>
        <w:tab/>
      </w:r>
      <w:r w:rsidRPr="009F4C92">
        <w:rPr>
          <w:rFonts w:cs="Arial"/>
          <w:sz w:val="22"/>
        </w:rPr>
        <w:tab/>
      </w:r>
      <w:r w:rsidRPr="009F4C92">
        <w:rPr>
          <w:rFonts w:cs="Arial"/>
          <w:sz w:val="22"/>
        </w:rPr>
        <w:tab/>
        <w:t>Fryštátská 72/1, 733 24 Karviná-Fryštát</w:t>
      </w:r>
    </w:p>
    <w:p w14:paraId="5479C3E2" w14:textId="77777777" w:rsidR="00BE0CCF" w:rsidRPr="009F4C92" w:rsidRDefault="00BE0CCF" w:rsidP="00BE0CCF">
      <w:pPr>
        <w:spacing w:after="0"/>
        <w:rPr>
          <w:rFonts w:cs="Arial"/>
          <w:color w:val="000000" w:themeColor="text1"/>
          <w:sz w:val="22"/>
        </w:rPr>
      </w:pPr>
      <w:r w:rsidRPr="009F4C92">
        <w:rPr>
          <w:rFonts w:cs="Arial"/>
          <w:color w:val="000000" w:themeColor="text1"/>
          <w:sz w:val="22"/>
        </w:rPr>
        <w:t>IČ:</w:t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  <w:t>00297534</w:t>
      </w:r>
    </w:p>
    <w:p w14:paraId="5E5C8DAA" w14:textId="77777777" w:rsidR="00BE0CCF" w:rsidRPr="009F4C92" w:rsidRDefault="00BE0CCF" w:rsidP="00BE0CCF">
      <w:pPr>
        <w:spacing w:after="0"/>
        <w:rPr>
          <w:rFonts w:cs="Arial"/>
          <w:b/>
          <w:color w:val="000000" w:themeColor="text1"/>
          <w:sz w:val="22"/>
        </w:rPr>
      </w:pPr>
      <w:r w:rsidRPr="009F4C92">
        <w:rPr>
          <w:rFonts w:cs="Arial"/>
          <w:color w:val="000000" w:themeColor="text1"/>
          <w:sz w:val="22"/>
        </w:rPr>
        <w:t>DIČ:</w:t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  <w:t>CZ</w:t>
      </w:r>
      <w:r>
        <w:rPr>
          <w:rFonts w:cs="Arial"/>
          <w:color w:val="000000" w:themeColor="text1"/>
          <w:sz w:val="22"/>
        </w:rPr>
        <w:t>699007109</w:t>
      </w:r>
    </w:p>
    <w:p w14:paraId="1FB3A76C" w14:textId="77777777" w:rsidR="00BE0CCF" w:rsidRPr="009F4C92" w:rsidRDefault="00BE0CCF" w:rsidP="00BE0CCF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9F4C92">
        <w:rPr>
          <w:rFonts w:cs="Arial"/>
          <w:color w:val="000000" w:themeColor="text1"/>
          <w:sz w:val="22"/>
        </w:rPr>
        <w:t>číslo účtu:</w:t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pacing w:val="-2"/>
          <w:sz w:val="22"/>
        </w:rPr>
        <w:t>27-1721542349/0800</w:t>
      </w:r>
    </w:p>
    <w:p w14:paraId="4A2AACF4" w14:textId="77777777" w:rsidR="00BE0CCF" w:rsidRPr="009F4C92" w:rsidRDefault="00BE0CCF" w:rsidP="00BE0CCF">
      <w:pPr>
        <w:spacing w:after="0"/>
        <w:ind w:left="2832" w:hanging="2832"/>
        <w:rPr>
          <w:rFonts w:cs="Arial"/>
          <w:color w:val="000000" w:themeColor="text1"/>
          <w:spacing w:val="-2"/>
          <w:sz w:val="22"/>
        </w:rPr>
      </w:pPr>
      <w:r w:rsidRPr="009F4C92">
        <w:rPr>
          <w:rFonts w:cs="Arial"/>
          <w:color w:val="000000" w:themeColor="text1"/>
          <w:spacing w:val="-2"/>
          <w:sz w:val="22"/>
        </w:rPr>
        <w:t>bankovní spojení:</w:t>
      </w:r>
      <w:r w:rsidRPr="009F4C92">
        <w:rPr>
          <w:rFonts w:cs="Arial"/>
          <w:color w:val="000000" w:themeColor="text1"/>
          <w:spacing w:val="-2"/>
          <w:sz w:val="22"/>
        </w:rPr>
        <w:tab/>
        <w:t>Česká spořitelna a.s., pobočka Karviná-Fryštát</w:t>
      </w:r>
    </w:p>
    <w:p w14:paraId="6239FADC" w14:textId="77777777" w:rsidR="00BE0CCF" w:rsidRPr="009F4C92" w:rsidRDefault="00BE0CCF" w:rsidP="00BE0CCF">
      <w:pPr>
        <w:spacing w:after="0"/>
        <w:ind w:left="2832" w:hanging="2832"/>
        <w:rPr>
          <w:rFonts w:cs="Arial"/>
          <w:color w:val="000000" w:themeColor="text1"/>
          <w:sz w:val="22"/>
        </w:rPr>
      </w:pPr>
    </w:p>
    <w:p w14:paraId="6559AB2D" w14:textId="77777777" w:rsidR="00BE0CCF" w:rsidRPr="009F4C92" w:rsidRDefault="00BE0CCF" w:rsidP="00BE0CCF">
      <w:pPr>
        <w:spacing w:after="0"/>
        <w:rPr>
          <w:rFonts w:cs="Arial"/>
          <w:color w:val="000000" w:themeColor="text1"/>
          <w:sz w:val="22"/>
        </w:rPr>
      </w:pPr>
      <w:r w:rsidRPr="009F4C92">
        <w:rPr>
          <w:rFonts w:cs="Arial"/>
          <w:color w:val="000000" w:themeColor="text1"/>
          <w:sz w:val="22"/>
        </w:rPr>
        <w:t>(dále jen „poskytovatel“)</w:t>
      </w:r>
    </w:p>
    <w:p w14:paraId="3C08D4B6" w14:textId="77777777" w:rsidR="00BE0CCF" w:rsidRPr="009F4C92" w:rsidRDefault="00BE0CCF" w:rsidP="00BE0CCF">
      <w:pPr>
        <w:spacing w:after="0"/>
        <w:rPr>
          <w:rFonts w:cs="Arial"/>
          <w:b/>
          <w:color w:val="000000" w:themeColor="text1"/>
          <w:sz w:val="22"/>
        </w:rPr>
      </w:pPr>
      <w:r w:rsidRPr="009F4C92">
        <w:rPr>
          <w:rFonts w:cs="Arial"/>
          <w:b/>
          <w:color w:val="000000" w:themeColor="text1"/>
          <w:sz w:val="22"/>
        </w:rPr>
        <w:t> </w:t>
      </w:r>
    </w:p>
    <w:p w14:paraId="39D50B28" w14:textId="77777777" w:rsidR="00BE0CCF" w:rsidRPr="009F4C92" w:rsidRDefault="00BE0CCF" w:rsidP="00BE0CCF">
      <w:pPr>
        <w:spacing w:after="0"/>
        <w:rPr>
          <w:rFonts w:cs="Arial"/>
          <w:color w:val="000000" w:themeColor="text1"/>
          <w:sz w:val="22"/>
        </w:rPr>
      </w:pPr>
      <w:r w:rsidRPr="009F4C92">
        <w:rPr>
          <w:rFonts w:cs="Arial"/>
          <w:color w:val="000000" w:themeColor="text1"/>
          <w:sz w:val="22"/>
        </w:rPr>
        <w:t>a</w:t>
      </w:r>
    </w:p>
    <w:p w14:paraId="3D19CA7C" w14:textId="77777777" w:rsidR="00BE0CCF" w:rsidRPr="009F4C92" w:rsidRDefault="00BE0CCF" w:rsidP="00BE0CCF">
      <w:pPr>
        <w:spacing w:after="0" w:line="240" w:lineRule="auto"/>
        <w:ind w:left="2124" w:hanging="2124"/>
        <w:rPr>
          <w:rFonts w:cs="Arial"/>
          <w:b/>
          <w:sz w:val="22"/>
        </w:rPr>
      </w:pPr>
      <w:r w:rsidRPr="009F4C92">
        <w:rPr>
          <w:rFonts w:cs="Arial"/>
          <w:color w:val="000000" w:themeColor="text1"/>
          <w:sz w:val="22"/>
        </w:rPr>
        <w:t>příjemce:</w:t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b/>
          <w:color w:val="000000" w:themeColor="text1"/>
          <w:sz w:val="22"/>
        </w:rPr>
        <w:t>MFK Karviná a.s.</w:t>
      </w:r>
    </w:p>
    <w:p w14:paraId="2179BF6E" w14:textId="77777777" w:rsidR="00BE0CCF" w:rsidRPr="009F4C92" w:rsidRDefault="00BE0CCF" w:rsidP="00BE0CCF">
      <w:pPr>
        <w:pStyle w:val="Normln0"/>
        <w:tabs>
          <w:tab w:val="num" w:pos="426"/>
          <w:tab w:val="left" w:pos="2835"/>
        </w:tabs>
        <w:spacing w:line="240" w:lineRule="auto"/>
        <w:ind w:left="2832" w:hanging="2832"/>
        <w:jc w:val="both"/>
        <w:rPr>
          <w:rFonts w:ascii="Arial" w:hAnsi="Arial" w:cs="Arial"/>
          <w:i/>
          <w:sz w:val="22"/>
          <w:szCs w:val="22"/>
        </w:rPr>
      </w:pPr>
      <w:r w:rsidRPr="009F4C92">
        <w:rPr>
          <w:rFonts w:ascii="Arial" w:hAnsi="Arial" w:cs="Arial"/>
          <w:color w:val="000000" w:themeColor="text1"/>
          <w:sz w:val="22"/>
          <w:szCs w:val="22"/>
        </w:rPr>
        <w:t>zapsán:</w:t>
      </w:r>
      <w:r w:rsidRPr="009F4C9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F4C9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F4C92">
        <w:rPr>
          <w:rFonts w:ascii="Arial" w:hAnsi="Arial" w:cs="Arial"/>
          <w:sz w:val="22"/>
          <w:szCs w:val="22"/>
        </w:rPr>
        <w:t xml:space="preserve">u Krajského soudu v Ostravě, spisová značka B 3202 </w:t>
      </w:r>
      <w:r w:rsidRPr="009F4C92">
        <w:rPr>
          <w:rFonts w:ascii="Arial" w:hAnsi="Arial" w:cs="Arial"/>
          <w:i/>
          <w:sz w:val="22"/>
          <w:szCs w:val="22"/>
        </w:rPr>
        <w:t xml:space="preserve"> </w:t>
      </w:r>
    </w:p>
    <w:p w14:paraId="56B1A445" w14:textId="77777777" w:rsidR="00BE0CCF" w:rsidRPr="009F4C92" w:rsidRDefault="00BE0CCF" w:rsidP="00BE0CCF">
      <w:pPr>
        <w:spacing w:after="0" w:line="240" w:lineRule="auto"/>
        <w:rPr>
          <w:rFonts w:cs="Arial"/>
          <w:color w:val="000000" w:themeColor="text1"/>
          <w:sz w:val="22"/>
        </w:rPr>
      </w:pPr>
      <w:r w:rsidRPr="009F4C92">
        <w:rPr>
          <w:rFonts w:cs="Arial"/>
          <w:color w:val="000000" w:themeColor="text1"/>
          <w:sz w:val="22"/>
        </w:rPr>
        <w:t>zastoupen:</w:t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  <w:t>Petrem Hortem, členem představenstva</w:t>
      </w:r>
    </w:p>
    <w:p w14:paraId="77F7C594" w14:textId="77777777" w:rsidR="00BE0CCF" w:rsidRPr="009F4C92" w:rsidRDefault="00BE0CCF" w:rsidP="00BE0CCF">
      <w:pPr>
        <w:spacing w:after="0" w:line="240" w:lineRule="auto"/>
        <w:rPr>
          <w:rFonts w:cs="Arial"/>
          <w:color w:val="000000" w:themeColor="text1"/>
          <w:sz w:val="22"/>
        </w:rPr>
      </w:pPr>
      <w:r w:rsidRPr="009F4C92">
        <w:rPr>
          <w:rFonts w:cs="Arial"/>
          <w:color w:val="000000" w:themeColor="text1"/>
          <w:sz w:val="22"/>
        </w:rPr>
        <w:t>sídlo:</w:t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  <w:t xml:space="preserve"> </w:t>
      </w:r>
      <w:r w:rsidRPr="009F4C92">
        <w:rPr>
          <w:rFonts w:cs="Arial"/>
          <w:color w:val="000000" w:themeColor="text1"/>
          <w:sz w:val="22"/>
        </w:rPr>
        <w:tab/>
        <w:t>Karviná-Nové Město, Sportovní 898/4, PSČ 735 06</w:t>
      </w:r>
    </w:p>
    <w:p w14:paraId="7763A8C9" w14:textId="77777777" w:rsidR="00BE0CCF" w:rsidRPr="009F4C92" w:rsidRDefault="00BE0CCF" w:rsidP="00BE0CCF">
      <w:pPr>
        <w:spacing w:after="0" w:line="240" w:lineRule="auto"/>
        <w:rPr>
          <w:rFonts w:cs="Arial"/>
          <w:sz w:val="22"/>
        </w:rPr>
      </w:pPr>
      <w:r w:rsidRPr="009F4C92">
        <w:rPr>
          <w:rFonts w:cs="Arial"/>
          <w:color w:val="000000" w:themeColor="text1"/>
          <w:sz w:val="22"/>
        </w:rPr>
        <w:t>IČ:</w:t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  <w:t>27795454</w:t>
      </w:r>
    </w:p>
    <w:p w14:paraId="454F281F" w14:textId="77777777" w:rsidR="00BE0CCF" w:rsidRPr="009F4C92" w:rsidRDefault="00BE0CCF" w:rsidP="00BE0CCF">
      <w:pPr>
        <w:spacing w:after="0" w:line="240" w:lineRule="auto"/>
        <w:rPr>
          <w:rFonts w:cs="Arial"/>
          <w:color w:val="000000" w:themeColor="text1"/>
          <w:sz w:val="22"/>
        </w:rPr>
      </w:pPr>
      <w:r w:rsidRPr="009F4C92">
        <w:rPr>
          <w:rFonts w:cs="Arial"/>
          <w:color w:val="000000" w:themeColor="text1"/>
          <w:sz w:val="22"/>
        </w:rPr>
        <w:t>DIČ:</w:t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  <w:t>CZ 27795454</w:t>
      </w:r>
    </w:p>
    <w:p w14:paraId="08C305E8" w14:textId="77777777" w:rsidR="00BE0CCF" w:rsidRPr="009F4C92" w:rsidRDefault="00BE0CCF" w:rsidP="00BE0CCF">
      <w:pPr>
        <w:spacing w:after="0"/>
        <w:rPr>
          <w:rFonts w:cs="Arial"/>
          <w:sz w:val="22"/>
        </w:rPr>
      </w:pPr>
      <w:r w:rsidRPr="009F4C92">
        <w:rPr>
          <w:rFonts w:cs="Arial"/>
          <w:color w:val="000000" w:themeColor="text1"/>
          <w:sz w:val="22"/>
        </w:rPr>
        <w:t>číslo účtu:</w:t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color w:val="000000" w:themeColor="text1"/>
          <w:sz w:val="22"/>
        </w:rPr>
        <w:tab/>
      </w:r>
      <w:r w:rsidRPr="009F4C92">
        <w:rPr>
          <w:rFonts w:cs="Arial"/>
          <w:sz w:val="22"/>
        </w:rPr>
        <w:t xml:space="preserve"> 35-9483240287/0100</w:t>
      </w:r>
    </w:p>
    <w:p w14:paraId="3CC64430" w14:textId="77777777" w:rsidR="00BE0CCF" w:rsidRPr="009F4C92" w:rsidRDefault="00BE0CCF" w:rsidP="00BE0CCF">
      <w:pPr>
        <w:spacing w:after="0"/>
        <w:rPr>
          <w:rFonts w:cs="Arial"/>
          <w:sz w:val="22"/>
        </w:rPr>
      </w:pPr>
      <w:r w:rsidRPr="009F4C92">
        <w:rPr>
          <w:rFonts w:cs="Arial"/>
          <w:color w:val="000000" w:themeColor="text1"/>
          <w:spacing w:val="-2"/>
          <w:sz w:val="22"/>
        </w:rPr>
        <w:t>bankovní spojení:</w:t>
      </w:r>
      <w:r w:rsidRPr="009F4C92">
        <w:rPr>
          <w:rFonts w:cs="Arial"/>
          <w:color w:val="000000" w:themeColor="text1"/>
          <w:spacing w:val="-2"/>
          <w:sz w:val="22"/>
        </w:rPr>
        <w:tab/>
      </w:r>
      <w:r w:rsidRPr="009F4C92">
        <w:rPr>
          <w:rFonts w:cs="Arial"/>
          <w:color w:val="000000" w:themeColor="text1"/>
          <w:spacing w:val="-2"/>
          <w:sz w:val="22"/>
        </w:rPr>
        <w:tab/>
      </w:r>
      <w:r w:rsidRPr="009F4C92">
        <w:rPr>
          <w:rFonts w:cs="Arial"/>
          <w:sz w:val="22"/>
        </w:rPr>
        <w:t xml:space="preserve"> Komerční banka, a.s.</w:t>
      </w:r>
    </w:p>
    <w:p w14:paraId="1D32B40A" w14:textId="77777777" w:rsidR="00BE0CCF" w:rsidRPr="009F4C92" w:rsidRDefault="00BE0CCF" w:rsidP="00BE0CCF">
      <w:pPr>
        <w:spacing w:after="0"/>
        <w:rPr>
          <w:rFonts w:cs="Arial"/>
          <w:sz w:val="22"/>
        </w:rPr>
      </w:pPr>
    </w:p>
    <w:p w14:paraId="3D31ABDD" w14:textId="77777777" w:rsidR="00BE0CCF" w:rsidRPr="009F4C92" w:rsidRDefault="00BE0CCF" w:rsidP="00BE0CCF">
      <w:pPr>
        <w:spacing w:after="0"/>
        <w:rPr>
          <w:rFonts w:cs="Arial"/>
          <w:color w:val="000000" w:themeColor="text1"/>
          <w:sz w:val="22"/>
        </w:rPr>
      </w:pPr>
      <w:r w:rsidRPr="009F4C92">
        <w:rPr>
          <w:rFonts w:cs="Arial"/>
          <w:color w:val="000000" w:themeColor="text1"/>
          <w:sz w:val="22"/>
        </w:rPr>
        <w:t xml:space="preserve"> (dále jen „příjemce“)</w:t>
      </w:r>
    </w:p>
    <w:p w14:paraId="359B1B05" w14:textId="77777777" w:rsidR="00BE0CCF" w:rsidRPr="0096123E" w:rsidRDefault="00BE0CCF" w:rsidP="00BE0CCF">
      <w:pPr>
        <w:pStyle w:val="Zhlav"/>
        <w:rPr>
          <w:rFonts w:cs="Arial"/>
          <w:szCs w:val="20"/>
        </w:rPr>
      </w:pPr>
    </w:p>
    <w:p w14:paraId="1A687193" w14:textId="77777777" w:rsidR="00BE0CCF" w:rsidRPr="00F76200" w:rsidRDefault="00BE0CCF" w:rsidP="00BE0CCF">
      <w:pPr>
        <w:spacing w:after="0"/>
        <w:rPr>
          <w:rFonts w:cs="Arial"/>
          <w:color w:val="000000" w:themeColor="text1"/>
          <w:sz w:val="22"/>
        </w:rPr>
      </w:pPr>
    </w:p>
    <w:p w14:paraId="33D9D750" w14:textId="77777777" w:rsidR="00BE0CCF" w:rsidRPr="004421AD" w:rsidRDefault="00BE0CCF" w:rsidP="00BE0CCF">
      <w:pPr>
        <w:spacing w:after="0"/>
        <w:rPr>
          <w:rFonts w:cs="Arial"/>
          <w:color w:val="000000" w:themeColor="text1"/>
          <w:sz w:val="22"/>
        </w:rPr>
      </w:pPr>
    </w:p>
    <w:p w14:paraId="4725F9C5" w14:textId="77777777" w:rsidR="00BE0CCF" w:rsidRDefault="00BE0CCF" w:rsidP="00BE0CC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6EBCF03" w14:textId="77777777" w:rsidR="00BE0CCF" w:rsidRPr="00C97CE6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6F7174C3" w14:textId="77777777" w:rsidR="00BE0CCF" w:rsidRPr="004F6FE8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E995266" w14:textId="77777777" w:rsidR="00BE0CCF" w:rsidRPr="00B1542B" w:rsidRDefault="00BE0CCF" w:rsidP="00BE0CCF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Tato smlouva je veřejnoprávní smlouvou uzavřenou dle § 10a odst. 5 zákona č. 250/2000 Sb., o rozpočtových pravidlech územních rozpočtů, ve znění pozdějších </w:t>
      </w:r>
      <w:r w:rsidRPr="00B1542B">
        <w:rPr>
          <w:rFonts w:cs="Arial"/>
          <w:sz w:val="22"/>
        </w:rPr>
        <w:t>předpisů (dále jen „zákon č. 250/2000 Sb.“).</w:t>
      </w:r>
    </w:p>
    <w:p w14:paraId="0AFB131C" w14:textId="77777777" w:rsidR="00BE0CCF" w:rsidRDefault="00BE0CCF" w:rsidP="00BE0CCF">
      <w:pPr>
        <w:pStyle w:val="Zkladntext"/>
        <w:numPr>
          <w:ilvl w:val="0"/>
          <w:numId w:val="1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 xml:space="preserve">Dotace je ve smyslu zákona č. 320/2001 Sb., o finanční kontrole ve veřejné správě a o změně některých zákonů (zákon o finanční kontrole), ve znění pozdějších předpisů </w:t>
      </w:r>
      <w:r w:rsidRPr="004F6FE8">
        <w:rPr>
          <w:rFonts w:cs="Arial"/>
          <w:sz w:val="22"/>
        </w:rPr>
        <w:lastRenderedPageBreak/>
        <w:t>(dále jen „zákon o finanční kontrole“), veřejnou finanční podporou a vztahují se na ni ustanovení tohoto zákona.</w:t>
      </w:r>
    </w:p>
    <w:p w14:paraId="5D18DCFB" w14:textId="77777777" w:rsidR="00BE0CCF" w:rsidRPr="00756F89" w:rsidRDefault="00BE0CCF" w:rsidP="00BE0CCF">
      <w:pPr>
        <w:pStyle w:val="Zkladntext"/>
        <w:widowControl w:val="0"/>
        <w:numPr>
          <w:ilvl w:val="0"/>
          <w:numId w:val="1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Pr="00756F89">
        <w:rPr>
          <w:rFonts w:cs="Arial"/>
          <w:sz w:val="22"/>
        </w:rPr>
        <w:t>individuálně posouzené žádosti.</w:t>
      </w:r>
    </w:p>
    <w:p w14:paraId="1DE271C9" w14:textId="77777777" w:rsidR="00BE0CCF" w:rsidRDefault="00BE0CCF" w:rsidP="00BE0CCF">
      <w:pPr>
        <w:pStyle w:val="Zhlav"/>
        <w:rPr>
          <w:sz w:val="24"/>
        </w:rPr>
      </w:pPr>
    </w:p>
    <w:p w14:paraId="1333F561" w14:textId="77777777" w:rsidR="00BE0CCF" w:rsidRPr="00C97CE6" w:rsidRDefault="00BE0CCF" w:rsidP="00BE0CC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4B59370C" w14:textId="77777777" w:rsidR="00BE0CCF" w:rsidRPr="00C97CE6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38A192AA" w14:textId="77777777" w:rsidR="00BE0CCF" w:rsidRPr="004F6FE8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9844C4A" w14:textId="77777777" w:rsidR="00BE0CCF" w:rsidRDefault="00BE0CCF" w:rsidP="00BE0CCF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536F8621" w14:textId="77777777" w:rsidR="00BE0CCF" w:rsidRPr="004F6FE8" w:rsidRDefault="00BE0CCF" w:rsidP="00BE0CCF">
      <w:pPr>
        <w:pStyle w:val="Zkladntext"/>
        <w:spacing w:before="120"/>
        <w:rPr>
          <w:rFonts w:cs="Arial"/>
          <w:b/>
          <w:bCs/>
          <w:sz w:val="22"/>
        </w:rPr>
      </w:pPr>
    </w:p>
    <w:p w14:paraId="78797242" w14:textId="77777777" w:rsidR="00BE0CCF" w:rsidRPr="00C97CE6" w:rsidRDefault="00BE0CCF" w:rsidP="00BE0CC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62138BF" w14:textId="77777777" w:rsidR="00BE0CCF" w:rsidRPr="00C97CE6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238AF172" w14:textId="77777777" w:rsidR="00BE0CCF" w:rsidRDefault="00BE0CCF" w:rsidP="00BE0CCF">
      <w:p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</w:p>
    <w:p w14:paraId="245D7822" w14:textId="77777777" w:rsidR="00BE0CCF" w:rsidRPr="007144B7" w:rsidRDefault="00BE0CCF" w:rsidP="00BE0C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7144B7">
        <w:rPr>
          <w:rFonts w:eastAsia="Times New Roman" w:cs="Arial"/>
          <w:sz w:val="22"/>
          <w:lang w:eastAsia="cs-CZ" w:bidi="ar-SA"/>
        </w:rPr>
        <w:t xml:space="preserve">Celková výše účelové dotace činí </w:t>
      </w:r>
      <w:r>
        <w:rPr>
          <w:rFonts w:eastAsia="Times New Roman" w:cs="Arial"/>
          <w:sz w:val="22"/>
          <w:lang w:eastAsia="cs-CZ" w:bidi="ar-SA"/>
        </w:rPr>
        <w:t>10.00</w:t>
      </w:r>
      <w:r w:rsidRPr="007144B7">
        <w:rPr>
          <w:rFonts w:eastAsia="Times New Roman" w:cs="Arial"/>
          <w:sz w:val="22"/>
          <w:lang w:eastAsia="cs-CZ" w:bidi="ar-SA"/>
        </w:rPr>
        <w:t xml:space="preserve">0.000 Kč, z toho část ve výši </w:t>
      </w:r>
      <w:r>
        <w:rPr>
          <w:rFonts w:eastAsia="Times New Roman" w:cs="Arial"/>
          <w:sz w:val="22"/>
          <w:lang w:eastAsia="cs-CZ" w:bidi="ar-SA"/>
        </w:rPr>
        <w:t>10.00</w:t>
      </w:r>
      <w:r w:rsidRPr="007144B7">
        <w:rPr>
          <w:rFonts w:eastAsia="Times New Roman" w:cs="Arial"/>
          <w:sz w:val="22"/>
          <w:lang w:eastAsia="cs-CZ" w:bidi="ar-SA"/>
        </w:rPr>
        <w:t>0.000 Kč je neinvestiční a část ve výši  0 Kč je investiční.</w:t>
      </w:r>
    </w:p>
    <w:p w14:paraId="30D68266" w14:textId="77777777" w:rsidR="00BE0CCF" w:rsidRDefault="00BE0CCF" w:rsidP="00BE0CCF">
      <w:pPr>
        <w:autoSpaceDE w:val="0"/>
        <w:autoSpaceDN w:val="0"/>
        <w:adjustRightInd w:val="0"/>
        <w:spacing w:after="0"/>
        <w:ind w:left="284" w:hanging="284"/>
        <w:rPr>
          <w:rFonts w:cs="Arial"/>
          <w:b/>
          <w:bCs/>
          <w:color w:val="000000"/>
        </w:rPr>
      </w:pPr>
    </w:p>
    <w:p w14:paraId="305558EC" w14:textId="77777777" w:rsidR="00BE0CCF" w:rsidRDefault="00BE0CCF" w:rsidP="00BE0CCF">
      <w:pPr>
        <w:autoSpaceDE w:val="0"/>
        <w:autoSpaceDN w:val="0"/>
        <w:adjustRightInd w:val="0"/>
        <w:spacing w:after="0"/>
        <w:ind w:left="284" w:hanging="284"/>
        <w:rPr>
          <w:rFonts w:eastAsia="Times New Roman" w:cs="Arial"/>
          <w:sz w:val="22"/>
          <w:lang w:eastAsia="cs-CZ" w:bidi="ar-SA"/>
        </w:rPr>
      </w:pPr>
    </w:p>
    <w:p w14:paraId="554135B7" w14:textId="77777777" w:rsidR="00BE0CCF" w:rsidRPr="000906F5" w:rsidRDefault="00BE0CCF" w:rsidP="00BE0CCF">
      <w:pPr>
        <w:pStyle w:val="Odstavecseseznamem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>
        <w:rPr>
          <w:rFonts w:eastAsia="Times New Roman" w:cs="Arial"/>
          <w:sz w:val="22"/>
          <w:lang w:eastAsia="cs-CZ" w:bidi="ar-SA"/>
        </w:rPr>
        <w:t>odst. 1 tohoto článku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1B6A178" w14:textId="77777777" w:rsidR="00BE0CCF" w:rsidRDefault="00BE0CCF" w:rsidP="00BE0CCF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165D5954" w14:textId="77777777" w:rsidR="00BE0CCF" w:rsidRPr="004E16A4" w:rsidRDefault="00BE0CCF" w:rsidP="00BE0CCF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1638B21A" w14:textId="77777777" w:rsidR="00BE0CCF" w:rsidRPr="00C97CE6" w:rsidRDefault="00BE0CCF" w:rsidP="00BE0CC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181546F8" w14:textId="77777777" w:rsidR="00BE0CCF" w:rsidRPr="00C97CE6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ÚČELOVÉ A ČASOVÉ URČENÍ DOTACE</w:t>
      </w:r>
    </w:p>
    <w:p w14:paraId="0350626D" w14:textId="77777777" w:rsidR="00BE0CCF" w:rsidRPr="004F6FE8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DDCAA44" w14:textId="77777777" w:rsidR="00BE0CCF" w:rsidRPr="00786BD5" w:rsidRDefault="00BE0CCF" w:rsidP="00BE0CCF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sz w:val="22"/>
        </w:rPr>
      </w:pPr>
      <w:r w:rsidRPr="00786BD5">
        <w:rPr>
          <w:rFonts w:cs="Arial"/>
          <w:sz w:val="22"/>
        </w:rPr>
        <w:t>Účelová dotace je určena na uznatelné náklady spojené</w:t>
      </w:r>
      <w:r w:rsidRPr="00786BD5">
        <w:rPr>
          <w:rFonts w:cs="Arial"/>
          <w:b/>
          <w:sz w:val="22"/>
        </w:rPr>
        <w:t xml:space="preserve"> </w:t>
      </w:r>
      <w:r w:rsidRPr="00786BD5">
        <w:rPr>
          <w:rFonts w:cs="Arial"/>
          <w:sz w:val="22"/>
        </w:rPr>
        <w:t>s realizací projektu „Profesionální fotbal 2026“ (dále jen „projekt“) blíže specifikovaného v žádosti o poskytnutí dotace ze dne 07.01.2026, č. j. SMK/002689/2026</w:t>
      </w:r>
      <w:r>
        <w:rPr>
          <w:rFonts w:cs="Arial"/>
          <w:sz w:val="22"/>
        </w:rPr>
        <w:t>.</w:t>
      </w:r>
    </w:p>
    <w:p w14:paraId="557CD529" w14:textId="77777777" w:rsidR="00BE0CCF" w:rsidRPr="00786BD5" w:rsidRDefault="00BE0CCF" w:rsidP="00BE0CCF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</w:t>
      </w:r>
      <w:r w:rsidRPr="00786BD5">
        <w:rPr>
          <w:rFonts w:cs="Arial"/>
          <w:sz w:val="22"/>
        </w:rPr>
        <w:t>dotaci 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>následujících 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>
        <w:rPr>
          <w:rFonts w:cs="Arial"/>
          <w:sz w:val="22"/>
        </w:rPr>
        <w:t>projektu: oblast materiálových výdajů, výdajů za služby, výdaje na odměny z dohod o provedené práci, z dohod o pracovní činnosti, příležitostnou činnost, mzdové náklady (mimo platy hráčů) včetně zákonných odvodů, provozní náklady a ostatní.</w:t>
      </w:r>
    </w:p>
    <w:p w14:paraId="310A6A4D" w14:textId="77777777" w:rsidR="00BE0CCF" w:rsidRDefault="00BE0CCF" w:rsidP="00BE0CCF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je povinen zrealizovat </w:t>
      </w:r>
      <w:r w:rsidRPr="00072070">
        <w:rPr>
          <w:rFonts w:cs="Arial"/>
          <w:bCs/>
          <w:color w:val="000000"/>
          <w:sz w:val="22"/>
        </w:rPr>
        <w:t xml:space="preserve">projekt do </w:t>
      </w:r>
      <w:r>
        <w:rPr>
          <w:rFonts w:cs="Arial"/>
          <w:bCs/>
          <w:color w:val="000000"/>
          <w:sz w:val="22"/>
        </w:rPr>
        <w:t>30.04.2027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779CCEBB" w14:textId="77777777" w:rsidR="00BE0CCF" w:rsidRPr="00C909BA" w:rsidRDefault="00BE0CCF" w:rsidP="00BE0CCF">
      <w:pPr>
        <w:pStyle w:val="Zkladntext"/>
        <w:widowControl w:val="0"/>
        <w:numPr>
          <w:ilvl w:val="0"/>
          <w:numId w:val="2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se příjemce projekt vůbec nerealizovat, je povinen do 15 dnů tuto skutečnost písemně s uvedením důvodů oznámit poskytovateli a ve stejné lhůtě poskytnutou dotace vrátit na účet poskytovatele uvedený v čl. I. této smlouvy.</w:t>
      </w:r>
    </w:p>
    <w:p w14:paraId="55B3D611" w14:textId="77777777" w:rsidR="00BE0CCF" w:rsidRDefault="00BE0CCF" w:rsidP="00BE0CCF">
      <w:pPr>
        <w:pStyle w:val="Zhlav"/>
        <w:rPr>
          <w:sz w:val="24"/>
        </w:rPr>
      </w:pPr>
    </w:p>
    <w:p w14:paraId="6F282702" w14:textId="77777777" w:rsidR="00BE0CCF" w:rsidRPr="00C97CE6" w:rsidRDefault="00BE0CCF" w:rsidP="00BE0CC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726D79F3" w14:textId="77777777" w:rsidR="00BE0CCF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CEC53CA" w14:textId="77777777" w:rsidR="00BE0CCF" w:rsidRPr="00C97CE6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157579B" w14:textId="77777777" w:rsidR="00BE0CCF" w:rsidRPr="006676B9" w:rsidRDefault="00BE0CCF" w:rsidP="00BE0CCF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  <w:r>
        <w:rPr>
          <w:rFonts w:cs="Arial"/>
          <w:sz w:val="22"/>
        </w:rPr>
        <w:t xml:space="preserve"> </w:t>
      </w:r>
      <w:r w:rsidRPr="008009B0">
        <w:rPr>
          <w:rFonts w:cs="Arial"/>
          <w:sz w:val="22"/>
        </w:rPr>
        <w:t>jednorázovým převodem ve prospěch účtu příjemce uvedeného v čl. I této smlouvy ve lhůtě do 21 dnů po nabytí účinnosti této smlouvy.</w:t>
      </w:r>
    </w:p>
    <w:p w14:paraId="4EC8AC73" w14:textId="77777777" w:rsidR="00BE0CCF" w:rsidRPr="006676B9" w:rsidRDefault="00BE0CCF" w:rsidP="00BE0CCF">
      <w:pPr>
        <w:pStyle w:val="Zhlav"/>
        <w:rPr>
          <w:i/>
          <w:sz w:val="24"/>
        </w:rPr>
      </w:pPr>
    </w:p>
    <w:p w14:paraId="038C9B23" w14:textId="77777777" w:rsidR="00BE0CCF" w:rsidRDefault="00BE0CCF" w:rsidP="00BE0CCF">
      <w:pPr>
        <w:pStyle w:val="Zhlav"/>
        <w:rPr>
          <w:sz w:val="24"/>
        </w:rPr>
      </w:pPr>
    </w:p>
    <w:p w14:paraId="44283BA5" w14:textId="77777777" w:rsidR="00BE0CCF" w:rsidRPr="00C97CE6" w:rsidRDefault="00BE0CCF" w:rsidP="00BE0CC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685100B" w14:textId="77777777" w:rsidR="00BE0CCF" w:rsidRPr="00C97CE6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49C54D70" w14:textId="77777777" w:rsidR="00BE0CCF" w:rsidRDefault="00BE0CCF" w:rsidP="00BE0CCF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31389A8E" w14:textId="77777777" w:rsidR="00BE0CCF" w:rsidRPr="00072070" w:rsidRDefault="00BE0CCF" w:rsidP="00BE0CCF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>
        <w:rPr>
          <w:rFonts w:cs="Arial"/>
          <w:sz w:val="22"/>
        </w:rPr>
        <w:t>30.06.2027.</w:t>
      </w:r>
    </w:p>
    <w:p w14:paraId="638DFD65" w14:textId="77777777" w:rsidR="00BE0CCF" w:rsidRDefault="00BE0CCF" w:rsidP="00BE0CCF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 xml:space="preserve">Za den předložení finančního vypořádání zaslaného prostřednictvím provozovatele poštovních služeb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>
        <w:rPr>
          <w:rFonts w:cs="Arial"/>
          <w:sz w:val="22"/>
        </w:rPr>
        <w:t xml:space="preserve"> tomuto provozovateli.</w:t>
      </w:r>
    </w:p>
    <w:p w14:paraId="593EF44A" w14:textId="77777777" w:rsidR="00BE0CCF" w:rsidRPr="002F5C85" w:rsidRDefault="00BE0CCF" w:rsidP="00BE0CCF">
      <w:pPr>
        <w:pStyle w:val="Textkomente"/>
        <w:numPr>
          <w:ilvl w:val="0"/>
          <w:numId w:val="8"/>
        </w:numPr>
        <w:jc w:val="both"/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musí být předloženo na formuláři dostupném na </w:t>
      </w:r>
      <w:hyperlink r:id="rId5" w:history="1">
        <w:r w:rsidRPr="00DB0770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Pr="00DB0770">
        <w:rPr>
          <w:rFonts w:cs="Arial"/>
          <w:sz w:val="22"/>
          <w:szCs w:val="22"/>
        </w:rPr>
        <w:t xml:space="preserve"> v sekci </w:t>
      </w:r>
      <w:r w:rsidRPr="00DB0770">
        <w:rPr>
          <w:sz w:val="22"/>
          <w:szCs w:val="22"/>
        </w:rPr>
        <w:t xml:space="preserve">karviná/magistrát/granty a dotace/poskytované městem </w:t>
      </w:r>
      <w:r w:rsidRPr="00DB0770">
        <w:rPr>
          <w:rFonts w:cs="Arial"/>
          <w:sz w:val="22"/>
          <w:szCs w:val="22"/>
        </w:rPr>
        <w:t>a musí</w:t>
      </w:r>
      <w:r w:rsidRPr="002F5C85">
        <w:rPr>
          <w:rFonts w:cs="Arial"/>
          <w:sz w:val="22"/>
          <w:szCs w:val="22"/>
        </w:rPr>
        <w:t xml:space="preserve"> obsahovat:</w:t>
      </w:r>
    </w:p>
    <w:p w14:paraId="5F2EAA99" w14:textId="77777777" w:rsidR="00BE0CCF" w:rsidRPr="00F1413E" w:rsidRDefault="00BE0CCF" w:rsidP="00BE0CCF">
      <w:pPr>
        <w:pStyle w:val="Zkladntext"/>
        <w:widowControl w:val="0"/>
        <w:numPr>
          <w:ilvl w:val="1"/>
          <w:numId w:val="8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1C53A91E" w14:textId="77777777" w:rsidR="00BE0CCF" w:rsidRDefault="00BE0CCF" w:rsidP="00BE0CCF">
      <w:pPr>
        <w:pStyle w:val="Odstavecseseznamem"/>
        <w:numPr>
          <w:ilvl w:val="1"/>
          <w:numId w:val="8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>
        <w:rPr>
          <w:rFonts w:cs="Arial"/>
          <w:sz w:val="22"/>
        </w:rPr>
        <w:t xml:space="preserve"> a dokladů prokazujících úhrady těchto nákladů.</w:t>
      </w:r>
    </w:p>
    <w:p w14:paraId="508BAF33" w14:textId="77777777" w:rsidR="00BE0CCF" w:rsidRPr="001908BB" w:rsidRDefault="00BE0CCF" w:rsidP="00BE0CCF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19CD266D" w14:textId="77777777" w:rsidR="00BE0CCF" w:rsidRPr="00625B0C" w:rsidRDefault="00BE0CCF" w:rsidP="00BE0CCF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i/>
          <w:sz w:val="22"/>
        </w:rPr>
      </w:pPr>
      <w:r w:rsidRPr="00625B0C">
        <w:rPr>
          <w:rFonts w:cs="Arial"/>
          <w:sz w:val="22"/>
        </w:rPr>
        <w:t xml:space="preserve">Číslo účtu, na který se vrací nevyčerpané finanční prostředky, je účet poskytovatele uvedený v článku I. této smlouvy. </w:t>
      </w:r>
    </w:p>
    <w:p w14:paraId="6E47D07A" w14:textId="77777777" w:rsidR="00BE0CCF" w:rsidRPr="00972BE2" w:rsidRDefault="00BE0CCF" w:rsidP="00BE0CCF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Pr="00972BE2">
        <w:rPr>
          <w:rFonts w:cs="Arial"/>
          <w:sz w:val="22"/>
        </w:rPr>
        <w:t>evyčerpané finanční prostředky</w:t>
      </w:r>
      <w:r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>
        <w:rPr>
          <w:rFonts w:cs="Arial"/>
          <w:sz w:val="22"/>
        </w:rPr>
        <w:t>.</w:t>
      </w:r>
    </w:p>
    <w:p w14:paraId="5415D0F4" w14:textId="77777777" w:rsidR="00BE0CCF" w:rsidRDefault="00BE0CCF" w:rsidP="00BE0CCF">
      <w:pPr>
        <w:pStyle w:val="Zkladntext"/>
        <w:widowControl w:val="0"/>
        <w:numPr>
          <w:ilvl w:val="0"/>
          <w:numId w:val="8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63FE0B90" w14:textId="77777777" w:rsidR="00BE0CCF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40E74DF" w14:textId="77777777" w:rsidR="00BE0CCF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59A65585" w14:textId="77777777" w:rsidR="00BE0CCF" w:rsidRPr="00C97CE6" w:rsidRDefault="00BE0CCF" w:rsidP="00BE0CC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5D2BA63B" w14:textId="77777777" w:rsidR="00BE0CCF" w:rsidRPr="00C97CE6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6E951A3F" w14:textId="77777777" w:rsidR="00BE0CCF" w:rsidRPr="00BB4A8B" w:rsidRDefault="00BE0CCF" w:rsidP="00BE0CCF">
      <w:pPr>
        <w:widowControl w:val="0"/>
        <w:spacing w:after="0"/>
        <w:rPr>
          <w:rFonts w:cs="Arial"/>
          <w:sz w:val="22"/>
        </w:rPr>
      </w:pPr>
    </w:p>
    <w:p w14:paraId="691CC38B" w14:textId="77777777" w:rsidR="00BE0CCF" w:rsidRDefault="00BE0CCF" w:rsidP="00BE0CCF">
      <w:pPr>
        <w:pStyle w:val="Odstavecseseznamem"/>
        <w:widowControl w:val="0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F8691A0" w14:textId="77777777" w:rsidR="00BE0CCF" w:rsidRPr="0089663A" w:rsidRDefault="00BE0CCF" w:rsidP="00BE0CC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>
        <w:rPr>
          <w:rFonts w:cs="Arial"/>
          <w:sz w:val="22"/>
        </w:rPr>
        <w:t>.</w:t>
      </w:r>
      <w:r w:rsidRPr="0089663A">
        <w:rPr>
          <w:rFonts w:cs="Arial"/>
          <w:sz w:val="22"/>
        </w:rPr>
        <w:t xml:space="preserve"> </w:t>
      </w:r>
    </w:p>
    <w:p w14:paraId="388D70B5" w14:textId="77777777" w:rsidR="00BE0CCF" w:rsidRPr="004861EB" w:rsidRDefault="00BE0CCF" w:rsidP="00BE0CC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vést oddělenou účetní evidenci celého realizovaného projektu a to v členění na náklady financované z prostředků dotace a náklady financované z jiných zdrojů (zvláštní analytickou evidencí např. účelovým znakem, organizačním číslem atd.); tato evidence musí být podložena účetními doklady ve smyslu zákona č. 563/1991 Sb., o účetnictví, ve znění pozdějších předpisů; vedení oddělené účetní evidence v případech dotací poskytovaných zpětně je splněno vyhotoven</w:t>
      </w:r>
      <w:r>
        <w:rPr>
          <w:rFonts w:cs="Arial"/>
          <w:sz w:val="22"/>
        </w:rPr>
        <w:t>í</w:t>
      </w:r>
      <w:r w:rsidRPr="004861EB">
        <w:rPr>
          <w:rFonts w:cs="Arial"/>
          <w:sz w:val="22"/>
        </w:rPr>
        <w:t>m přehledu účetních dokladů; čestné prohlášení příjemce o vynaložení finančních prostředků v rámci uznatelných nákladů realizovaného projektu není považováno za účetní doklad,</w:t>
      </w:r>
    </w:p>
    <w:p w14:paraId="25299178" w14:textId="77777777" w:rsidR="00BE0CCF" w:rsidRPr="004861EB" w:rsidRDefault="00BE0CCF" w:rsidP="00BE0CC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 Kč,</w:t>
      </w:r>
    </w:p>
    <w:p w14:paraId="46BE6789" w14:textId="77777777" w:rsidR="00BE0CCF" w:rsidRPr="004861EB" w:rsidRDefault="00BE0CCF" w:rsidP="00BE0CC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na požádání umožnit poskytovateli nahlédnutí do všech účetních dokladů týkajících se projektu,</w:t>
      </w:r>
    </w:p>
    <w:p w14:paraId="1196BC6D" w14:textId="77777777" w:rsidR="00BE0CCF" w:rsidRPr="004861EB" w:rsidRDefault="00BE0CCF" w:rsidP="00BE0CC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předložit poskytovateli finanční vypořádání</w:t>
      </w:r>
      <w:r>
        <w:rPr>
          <w:rFonts w:cs="Arial"/>
          <w:sz w:val="22"/>
        </w:rPr>
        <w:t xml:space="preserve"> dotace</w:t>
      </w:r>
      <w:r w:rsidRPr="004861EB">
        <w:rPr>
          <w:rFonts w:cs="Arial"/>
          <w:sz w:val="22"/>
        </w:rPr>
        <w:t xml:space="preserve">, </w:t>
      </w:r>
    </w:p>
    <w:p w14:paraId="5EC76A47" w14:textId="77777777" w:rsidR="00BE0CCF" w:rsidRPr="004861EB" w:rsidRDefault="00BE0CCF" w:rsidP="00BE0CCF">
      <w:pPr>
        <w:pStyle w:val="Odstavecseseznamem"/>
        <w:numPr>
          <w:ilvl w:val="1"/>
          <w:numId w:val="4"/>
        </w:numPr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řádně v souladu s právními předpisy uschovat originály všech účetních dokladů vztahujících se k projektu a na žádost poskytovatele tomuto poskytnout fotokopie originálních účetních dokladů týkajících se dotace včetně dokladů o jejich úhradě a v případě nesrovnalostí na výzvu poskytovatele předložit kopie všech účetních dokladů týkajících se ostatních nákladů projektu,</w:t>
      </w:r>
    </w:p>
    <w:p w14:paraId="234506FA" w14:textId="77777777" w:rsidR="00BE0CCF" w:rsidRPr="004861EB" w:rsidRDefault="00BE0CCF" w:rsidP="00BE0CCF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lastRenderedPageBreak/>
        <w:t>je-li příjemce zadavatelem veřejné zakázky nebo splní-li příjemce definici zadavatele veřejné zakázky podle § 4 zákona č. 134/2016 Sb., o zadávání veřejných zakázek, ve 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2A296EDA" w14:textId="77777777" w:rsidR="00BE0CCF" w:rsidRPr="004861EB" w:rsidRDefault="00BE0CCF" w:rsidP="00BE0CCF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 včetně drobného dlouhodobého majetku dle účetních předpisů pořízený z prostředků získaných z dotace poskytnuté na základě této smlouvy,</w:t>
      </w:r>
    </w:p>
    <w:p w14:paraId="128E665B" w14:textId="77777777" w:rsidR="00BE0CCF" w:rsidRPr="004861EB" w:rsidRDefault="00BE0CCF" w:rsidP="00BE0CC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umožnit poskytovateli v souladu se zákonem o finanční kontrole řádné provedení průběžné a následné kontroly hospodaření s veřejnými prostředky z poskytnuté dotace, včetně provedení kontroly faktické realizace </w:t>
      </w:r>
      <w:r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 potřebné účetní a jiné doklady,</w:t>
      </w:r>
    </w:p>
    <w:p w14:paraId="7BF97DA2" w14:textId="77777777" w:rsidR="00BE0CCF" w:rsidRPr="004861EB" w:rsidRDefault="00BE0CCF" w:rsidP="00BE0CC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informovat</w:t>
      </w:r>
      <w:r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příjemce; v případě změny účtu je příjemce povinen rovněž doložit vlastnictví k účtu, a to kopií příslušné smlouvy nebo potvrzením peněžního ústavu, přičemž z důvodu změn identifikačních údajů</w:t>
      </w:r>
      <w:r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dodatek,</w:t>
      </w:r>
    </w:p>
    <w:p w14:paraId="2D55A21E" w14:textId="77777777" w:rsidR="00BE0CCF" w:rsidRPr="004861EB" w:rsidRDefault="00BE0CCF" w:rsidP="00BE0CC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 ode dne kdy došlo k události, písemně informovat poskytovatele o vlastní přeměně nebo zrušení s likvidací, v případě přeměny i o tom, na který subjekt přejdou práva a povinnosti z této smlouvy,</w:t>
      </w:r>
    </w:p>
    <w:p w14:paraId="493932E3" w14:textId="77777777" w:rsidR="00BE0CCF" w:rsidRPr="004861EB" w:rsidRDefault="00BE0CCF" w:rsidP="00BE0CCF">
      <w:pPr>
        <w:numPr>
          <w:ilvl w:val="1"/>
          <w:numId w:val="4"/>
        </w:numPr>
        <w:tabs>
          <w:tab w:val="clear" w:pos="1440"/>
          <w:tab w:val="num" w:pos="720"/>
        </w:tabs>
        <w:spacing w:before="60" w:after="0" w:line="240" w:lineRule="auto"/>
        <w:ind w:left="714" w:hanging="357"/>
        <w:jc w:val="both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internetových stránkách města Karviné.</w:t>
      </w:r>
    </w:p>
    <w:p w14:paraId="32620E13" w14:textId="77777777" w:rsidR="00BE0CCF" w:rsidRDefault="00BE0CCF" w:rsidP="00BE0CCF">
      <w:pPr>
        <w:spacing w:before="60" w:after="0"/>
        <w:ind w:left="714"/>
        <w:rPr>
          <w:rFonts w:cs="Arial"/>
          <w:sz w:val="22"/>
        </w:rPr>
      </w:pPr>
    </w:p>
    <w:p w14:paraId="76C2C00C" w14:textId="77777777" w:rsidR="00BE0CCF" w:rsidRDefault="00BE0CCF" w:rsidP="00BE0CCF">
      <w:pPr>
        <w:pStyle w:val="Zhlav"/>
        <w:rPr>
          <w:sz w:val="24"/>
        </w:rPr>
      </w:pPr>
    </w:p>
    <w:p w14:paraId="284E81B3" w14:textId="77777777" w:rsidR="00BE0CCF" w:rsidRPr="00C97CE6" w:rsidRDefault="00BE0CCF" w:rsidP="00BE0CC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6D274E2" w14:textId="77777777" w:rsidR="00BE0CCF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32DAFF88" w14:textId="77777777" w:rsidR="00BE0CCF" w:rsidRPr="00C97CE6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689E0CC" w14:textId="77777777" w:rsidR="00BE0CCF" w:rsidRPr="003D28A2" w:rsidRDefault="00BE0CCF" w:rsidP="00BE0CCF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>Za uznatelný náklad se považuje užití finančních prostředků, které splňuje tyto podmínky:</w:t>
      </w:r>
    </w:p>
    <w:p w14:paraId="4281A429" w14:textId="77777777" w:rsidR="00BE0CCF" w:rsidRDefault="00BE0CCF" w:rsidP="00BE0CCF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</w:t>
      </w:r>
      <w:r>
        <w:rPr>
          <w:rFonts w:cs="Arial"/>
          <w:sz w:val="22"/>
        </w:rPr>
        <w:t xml:space="preserve">prokazatelně </w:t>
      </w:r>
      <w:r w:rsidRPr="003D28A2">
        <w:rPr>
          <w:rFonts w:cs="Arial"/>
          <w:sz w:val="22"/>
        </w:rPr>
        <w:t xml:space="preserve">použil na úhradu přímých nákladů (nikoliv </w:t>
      </w:r>
      <w:r>
        <w:rPr>
          <w:rFonts w:cs="Arial"/>
          <w:sz w:val="22"/>
        </w:rPr>
        <w:t xml:space="preserve">nepřímých </w:t>
      </w:r>
      <w:r w:rsidRPr="003D28A2">
        <w:rPr>
          <w:rFonts w:cs="Arial"/>
          <w:sz w:val="22"/>
        </w:rPr>
        <w:t>tzv. kalkulovaných či vnitropodnikových) projektu</w:t>
      </w:r>
      <w:r>
        <w:rPr>
          <w:rFonts w:cs="Arial"/>
          <w:sz w:val="22"/>
        </w:rPr>
        <w:t>,</w:t>
      </w:r>
    </w:p>
    <w:p w14:paraId="02839FA0" w14:textId="77777777" w:rsidR="00BE0CCF" w:rsidRPr="00072070" w:rsidRDefault="00BE0CCF" w:rsidP="00BE0CCF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vzniknout v období od </w:t>
      </w:r>
      <w:r>
        <w:rPr>
          <w:rFonts w:cs="Arial"/>
          <w:sz w:val="22"/>
        </w:rPr>
        <w:t>01.01.2026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30.04.2027</w:t>
      </w:r>
      <w:r w:rsidRPr="00072070">
        <w:rPr>
          <w:rFonts w:cs="Arial"/>
          <w:sz w:val="22"/>
        </w:rPr>
        <w:t xml:space="preserve"> a současně musí být uhrazený v období od </w:t>
      </w:r>
      <w:r>
        <w:rPr>
          <w:rFonts w:cs="Arial"/>
          <w:sz w:val="22"/>
        </w:rPr>
        <w:t>01.01.2026</w:t>
      </w:r>
      <w:r w:rsidRPr="00072070">
        <w:rPr>
          <w:rFonts w:cs="Arial"/>
          <w:sz w:val="22"/>
        </w:rPr>
        <w:t xml:space="preserve"> do </w:t>
      </w:r>
      <w:r>
        <w:rPr>
          <w:rFonts w:cs="Arial"/>
          <w:sz w:val="22"/>
        </w:rPr>
        <w:t>31.05.2027</w:t>
      </w:r>
      <w:r w:rsidRPr="00072070">
        <w:rPr>
          <w:rFonts w:cs="Arial"/>
          <w:sz w:val="22"/>
        </w:rPr>
        <w:t>,</w:t>
      </w:r>
    </w:p>
    <w:p w14:paraId="0E8F71BA" w14:textId="77777777" w:rsidR="00BE0CCF" w:rsidRPr="003D28A2" w:rsidRDefault="00BE0CCF" w:rsidP="00BE0CCF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>
        <w:rPr>
          <w:rFonts w:cs="Arial"/>
          <w:sz w:val="22"/>
        </w:rPr>
        <w:t>,</w:t>
      </w:r>
    </w:p>
    <w:p w14:paraId="300AB3AE" w14:textId="77777777" w:rsidR="00BE0CCF" w:rsidRPr="003D28A2" w:rsidRDefault="00BE0CCF" w:rsidP="00BE0CCF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byly vynaloženy na účel stanoven</w:t>
      </w:r>
      <w:r>
        <w:rPr>
          <w:rFonts w:cs="Arial"/>
          <w:sz w:val="22"/>
        </w:rPr>
        <w:t>ý v čl. V. odst. 2 této smlouvy,</w:t>
      </w:r>
    </w:p>
    <w:p w14:paraId="259BF327" w14:textId="77777777" w:rsidR="00BE0CCF" w:rsidRDefault="00BE0CCF" w:rsidP="00BE0CCF">
      <w:pPr>
        <w:numPr>
          <w:ilvl w:val="0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neinvestiční dotace musí splňovat podmínky daňově uznatelných nákladů dle §24 a §25 zákona č. 586/1992 Sb., o daních z příjmů s následujícími výjimkami, pokud v </w:t>
      </w:r>
      <w:r w:rsidRPr="003D28A2">
        <w:rPr>
          <w:rFonts w:cs="Arial"/>
          <w:sz w:val="22"/>
        </w:rPr>
        <w:t>účel</w:t>
      </w:r>
      <w:r>
        <w:rPr>
          <w:rFonts w:cs="Arial"/>
          <w:sz w:val="22"/>
        </w:rPr>
        <w:t>u</w:t>
      </w:r>
      <w:r w:rsidRPr="003D28A2">
        <w:rPr>
          <w:rFonts w:cs="Arial"/>
          <w:sz w:val="22"/>
        </w:rPr>
        <w:t xml:space="preserve"> stanoven</w:t>
      </w:r>
      <w:r>
        <w:rPr>
          <w:rFonts w:cs="Arial"/>
          <w:sz w:val="22"/>
        </w:rPr>
        <w:t>ém v čl. V. odst. 2 této smlouvy není uvedeno jinak:</w:t>
      </w:r>
    </w:p>
    <w:p w14:paraId="6ACBE9F2" w14:textId="77777777" w:rsidR="00BE0CCF" w:rsidRPr="003D28A2" w:rsidRDefault="00BE0CCF" w:rsidP="00BE0CCF">
      <w:pPr>
        <w:numPr>
          <w:ilvl w:val="1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uznatelný náklad nesmí být také použitý na:</w:t>
      </w:r>
    </w:p>
    <w:p w14:paraId="2BDACD65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4066580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náklady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04708FC2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doprovodné programy a společenské akce pro účastníky či pořadatele, které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6D47B80D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736CBBDD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2D6FF1EA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3AA075C0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DPH, pokud může žadatel uplatnit nárok na odpočet DPH vůči finančnímu úřadu nebo požádat o její vrácení v souladu se zákonem č. 235/2004 Sb., v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38D21520" w14:textId="77777777" w:rsidR="00BE0CCF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6E814650" w14:textId="77777777" w:rsidR="00BE0CCF" w:rsidRPr="009666F6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70735529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1396E787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1F3CF399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0059E7FD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14257941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7CA969C2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0A4B3A10" w14:textId="77777777" w:rsidR="00BE0CCF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02FF23CD" w14:textId="77777777" w:rsidR="00BE0CCF" w:rsidRPr="0089663A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110D147E" w14:textId="77777777" w:rsidR="00BE0CCF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3DD7CEE9" w14:textId="77777777" w:rsidR="00BE0CCF" w:rsidRDefault="00BE0CCF" w:rsidP="00BE0CCF">
      <w:pPr>
        <w:numPr>
          <w:ilvl w:val="2"/>
          <w:numId w:val="9"/>
        </w:numPr>
        <w:spacing w:before="60" w:after="0" w:line="240" w:lineRule="auto"/>
        <w:jc w:val="both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1B29A6C6" w14:textId="77777777" w:rsidR="00BE0CCF" w:rsidRDefault="00BE0CCF" w:rsidP="00BE0CCF">
      <w:pPr>
        <w:spacing w:before="60" w:after="0"/>
        <w:ind w:left="1224"/>
        <w:rPr>
          <w:rFonts w:cs="Arial"/>
          <w:sz w:val="22"/>
        </w:rPr>
      </w:pPr>
    </w:p>
    <w:p w14:paraId="27EFC383" w14:textId="77777777" w:rsidR="00BE0CCF" w:rsidRPr="003D28A2" w:rsidRDefault="00BE0CCF" w:rsidP="00BE0CCF">
      <w:pPr>
        <w:pStyle w:val="Odstavecseseznamem"/>
        <w:widowControl w:val="0"/>
        <w:numPr>
          <w:ilvl w:val="0"/>
          <w:numId w:val="9"/>
        </w:numPr>
        <w:spacing w:after="0" w:line="240" w:lineRule="auto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Příjemce je oprávněn</w:t>
      </w:r>
      <w:r>
        <w:rPr>
          <w:rFonts w:cs="Arial"/>
          <w:sz w:val="22"/>
        </w:rPr>
        <w:t xml:space="preserve"> uznatelné náklady na realizaci projektu ve výši Kč 100.000,-  vyúčtovat paušální částkou. Tyto paušálních náklady nemusí být prokazovány v rámci finančního vypořádání dotace. </w:t>
      </w:r>
    </w:p>
    <w:p w14:paraId="342C3A4E" w14:textId="77777777" w:rsidR="00BE0CCF" w:rsidRPr="00960F31" w:rsidRDefault="00BE0CCF" w:rsidP="00BE0CCF">
      <w:pPr>
        <w:pStyle w:val="Odstavecseseznamem"/>
        <w:widowControl w:val="0"/>
        <w:spacing w:after="0"/>
        <w:ind w:left="360"/>
        <w:rPr>
          <w:rFonts w:cs="Arial"/>
          <w:sz w:val="22"/>
        </w:rPr>
      </w:pPr>
    </w:p>
    <w:p w14:paraId="1FC58147" w14:textId="77777777" w:rsidR="00BE0CCF" w:rsidRDefault="00BE0CCF" w:rsidP="00BE0CCF">
      <w:pPr>
        <w:pStyle w:val="Zhlav"/>
        <w:rPr>
          <w:sz w:val="24"/>
        </w:rPr>
      </w:pPr>
    </w:p>
    <w:p w14:paraId="76FD4A72" w14:textId="77777777" w:rsidR="00BE0CCF" w:rsidRPr="00C97CE6" w:rsidRDefault="00BE0CCF" w:rsidP="00BE0CC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E1DE675" w14:textId="77777777" w:rsidR="00BE0CCF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0C1EF7D7" w14:textId="77777777" w:rsidR="00BE0CCF" w:rsidRPr="00C97CE6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B16A4C9" w14:textId="77777777" w:rsidR="00BE0CCF" w:rsidRDefault="00BE0CCF" w:rsidP="00BE0CCF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/>
        <w:jc w:val="both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4EBC76E7" w14:textId="77777777" w:rsidR="00BE0CCF" w:rsidRDefault="00BE0CCF" w:rsidP="00BE0CCF">
      <w:pPr>
        <w:pStyle w:val="Odstavecseseznamem"/>
        <w:widowControl w:val="0"/>
        <w:spacing w:after="0"/>
        <w:ind w:left="284"/>
        <w:rPr>
          <w:rFonts w:cs="Arial"/>
          <w:sz w:val="22"/>
        </w:rPr>
      </w:pPr>
    </w:p>
    <w:p w14:paraId="2F2A6B7D" w14:textId="77777777" w:rsidR="00BE0CCF" w:rsidRDefault="00BE0CCF" w:rsidP="00BE0CCF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096A5FA6" w14:textId="77777777" w:rsidR="00BE0CCF" w:rsidRPr="00BC59E0" w:rsidRDefault="00BE0CCF" w:rsidP="00BE0CCF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 avšak nejméně částka 1 001,- Kč.</w:t>
      </w:r>
    </w:p>
    <w:p w14:paraId="50E4107C" w14:textId="77777777" w:rsidR="00BE0CCF" w:rsidRPr="00BC59E0" w:rsidRDefault="00BE0CCF" w:rsidP="00BE0CCF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58595331" w14:textId="77777777" w:rsidR="00BE0CCF" w:rsidRPr="00BC59E0" w:rsidRDefault="00BE0CCF" w:rsidP="00BE0CCF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75D95916" w14:textId="77777777" w:rsidR="00BE0CCF" w:rsidRPr="00BC59E0" w:rsidRDefault="00BE0CCF" w:rsidP="00BE0CCF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E3B9C7A" w14:textId="77777777" w:rsidR="00BE0CCF" w:rsidRPr="00BC59E0" w:rsidRDefault="00BE0CCF" w:rsidP="00BE0CCF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3FEEB4FC" w14:textId="77777777" w:rsidR="00BE0CCF" w:rsidRPr="00BC59E0" w:rsidRDefault="00BE0CCF" w:rsidP="00BE0CCF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43A1F805" w14:textId="77777777" w:rsidR="00BE0CCF" w:rsidRPr="00BC59E0" w:rsidRDefault="00BE0CCF" w:rsidP="00BE0CCF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37B4B4CE" w14:textId="77777777" w:rsidR="00BE0CCF" w:rsidRPr="00BC59E0" w:rsidRDefault="00BE0CCF" w:rsidP="00BE0CCF">
      <w:pPr>
        <w:widowControl w:val="0"/>
        <w:spacing w:after="0"/>
        <w:ind w:left="4260" w:firstLine="696"/>
        <w:rPr>
          <w:rFonts w:cs="Arial"/>
          <w:bCs/>
          <w:sz w:val="22"/>
        </w:rPr>
      </w:pPr>
    </w:p>
    <w:p w14:paraId="2A890646" w14:textId="77777777" w:rsidR="00BE0CCF" w:rsidRPr="00BC59E0" w:rsidRDefault="00BE0CCF" w:rsidP="00BE0CCF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</w:t>
      </w:r>
      <w:r w:rsidRPr="00BC59E0">
        <w:rPr>
          <w:rFonts w:cs="Arial"/>
          <w:bCs/>
          <w:sz w:val="22"/>
        </w:rPr>
        <w:t xml:space="preserve"> dotace avšak nejméně částka 1 001,- Kč.</w:t>
      </w:r>
    </w:p>
    <w:p w14:paraId="65C27130" w14:textId="77777777" w:rsidR="00BE0CCF" w:rsidRPr="00BC59E0" w:rsidRDefault="00BE0CCF" w:rsidP="00BE0CCF">
      <w:pPr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6F7D1C65" w14:textId="77777777" w:rsidR="00BE0CCF" w:rsidRPr="00F96797" w:rsidRDefault="00BE0CCF" w:rsidP="00BE0CCF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</w:t>
      </w:r>
      <w:r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2DB7465A" w14:textId="77777777" w:rsidR="00BE0CCF" w:rsidRPr="006B3E23" w:rsidRDefault="00BE0CCF" w:rsidP="00BE0CCF">
      <w:pPr>
        <w:rPr>
          <w:rFonts w:cs="Arial"/>
          <w:bCs/>
          <w:sz w:val="22"/>
        </w:rPr>
      </w:pPr>
    </w:p>
    <w:p w14:paraId="6B12C7AE" w14:textId="77777777" w:rsidR="00BE0CCF" w:rsidRPr="007A76C1" w:rsidRDefault="00BE0CCF" w:rsidP="00BE0CCF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kterou příjemce splní do 15 dní po řádném termínu,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4A834802" w14:textId="77777777" w:rsidR="00BE0CCF" w:rsidRDefault="00BE0CCF" w:rsidP="00BE0CCF">
      <w:pPr>
        <w:pStyle w:val="Odstavecseseznamem"/>
        <w:widowControl w:val="0"/>
        <w:tabs>
          <w:tab w:val="left" w:pos="5580"/>
        </w:tabs>
        <w:spacing w:before="120" w:after="0"/>
        <w:rPr>
          <w:rFonts w:cs="Arial"/>
          <w:bCs/>
          <w:sz w:val="22"/>
        </w:rPr>
      </w:pPr>
    </w:p>
    <w:p w14:paraId="296E60DA" w14:textId="77777777" w:rsidR="00BE0CCF" w:rsidRPr="00BC59E0" w:rsidRDefault="00BE0CCF" w:rsidP="00BE0CCF">
      <w:pPr>
        <w:pStyle w:val="Odstavecseseznamem"/>
        <w:widowControl w:val="0"/>
        <w:numPr>
          <w:ilvl w:val="0"/>
          <w:numId w:val="5"/>
        </w:numPr>
        <w:tabs>
          <w:tab w:val="left" w:pos="5580"/>
        </w:tabs>
        <w:spacing w:before="120" w:after="0" w:line="240" w:lineRule="auto"/>
        <w:ind w:left="720"/>
        <w:jc w:val="both"/>
        <w:rPr>
          <w:rFonts w:cs="Arial"/>
          <w:sz w:val="22"/>
        </w:rPr>
      </w:pPr>
      <w:r w:rsidRPr="00BC59E0">
        <w:rPr>
          <w:rFonts w:cs="Arial"/>
          <w:sz w:val="22"/>
        </w:rPr>
        <w:t xml:space="preserve">nedodržení povinností příjemce dle čl. VIII.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sz w:val="22"/>
        </w:rPr>
        <w:t>10</w:t>
      </w:r>
      <w:r w:rsidRPr="00F96797">
        <w:rPr>
          <w:rFonts w:cs="Arial"/>
          <w:sz w:val="22"/>
        </w:rPr>
        <w:t xml:space="preserve"> % poskytnuté</w:t>
      </w:r>
      <w:r w:rsidRPr="00BC59E0">
        <w:rPr>
          <w:rFonts w:cs="Arial"/>
          <w:sz w:val="22"/>
        </w:rPr>
        <w:t xml:space="preserve"> dotace avšak nejméně částka 1 001,- Kč.</w:t>
      </w:r>
    </w:p>
    <w:p w14:paraId="0A8642CC" w14:textId="77777777" w:rsidR="00BE0CCF" w:rsidRDefault="00BE0CCF" w:rsidP="00BE0CCF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5BBD370B" w14:textId="77777777" w:rsidR="00BE0CCF" w:rsidRDefault="00BE0CCF" w:rsidP="00BE0CCF">
      <w:pPr>
        <w:pStyle w:val="Odstavecseseznamem"/>
        <w:widowControl w:val="0"/>
        <w:tabs>
          <w:tab w:val="left" w:pos="5580"/>
        </w:tabs>
        <w:spacing w:before="120" w:after="0"/>
        <w:rPr>
          <w:sz w:val="24"/>
        </w:rPr>
      </w:pPr>
    </w:p>
    <w:p w14:paraId="04F57DE9" w14:textId="77777777" w:rsidR="00BE0CCF" w:rsidRDefault="00BE0CCF" w:rsidP="00BE0CCF">
      <w:pPr>
        <w:pStyle w:val="Odstavecseseznamem"/>
        <w:widowControl w:val="0"/>
        <w:numPr>
          <w:ilvl w:val="0"/>
          <w:numId w:val="6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>
        <w:rPr>
          <w:rFonts w:cs="Arial"/>
          <w:sz w:val="22"/>
        </w:rPr>
        <w:t xml:space="preserve"> rozpočtové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 maximálně do výše celkově poskytnuté dotace.</w:t>
      </w:r>
    </w:p>
    <w:p w14:paraId="58EC101C" w14:textId="77777777" w:rsidR="00BE0CCF" w:rsidRDefault="00BE0CCF" w:rsidP="00BE0CCF">
      <w:pPr>
        <w:pStyle w:val="Zhlav"/>
        <w:rPr>
          <w:sz w:val="24"/>
        </w:rPr>
      </w:pPr>
    </w:p>
    <w:p w14:paraId="7332F269" w14:textId="77777777" w:rsidR="00BE0CCF" w:rsidRDefault="00BE0CCF" w:rsidP="00BE0CCF">
      <w:pPr>
        <w:pStyle w:val="Zhlav"/>
        <w:rPr>
          <w:sz w:val="24"/>
        </w:rPr>
      </w:pPr>
    </w:p>
    <w:p w14:paraId="048AAA19" w14:textId="77777777" w:rsidR="00BE0CCF" w:rsidRDefault="00BE0CCF" w:rsidP="00BE0CCF">
      <w:pPr>
        <w:pStyle w:val="Zhlav"/>
        <w:rPr>
          <w:sz w:val="24"/>
        </w:rPr>
      </w:pPr>
    </w:p>
    <w:p w14:paraId="56AC2F9D" w14:textId="77777777" w:rsidR="00BE0CCF" w:rsidRPr="00C97CE6" w:rsidRDefault="00BE0CCF" w:rsidP="00BE0CC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26AB6C29" w14:textId="77777777" w:rsidR="00BE0CCF" w:rsidRPr="00C97CE6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1961175F" w14:textId="77777777" w:rsidR="00BE0CCF" w:rsidRPr="001C6BF1" w:rsidRDefault="00BE0CCF" w:rsidP="00BE0CCF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3CCA4D03" w14:textId="77777777" w:rsidR="00BE0CCF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37F93A17" w14:textId="77777777" w:rsidR="00BE0CCF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F366190" w14:textId="77777777" w:rsidR="00BE0CCF" w:rsidRPr="002F583F" w:rsidRDefault="00BE0CCF" w:rsidP="00BE0CCF">
      <w:pPr>
        <w:pStyle w:val="Zhlav"/>
        <w:rPr>
          <w:rFonts w:cs="Arial"/>
          <w:sz w:val="22"/>
        </w:rPr>
      </w:pPr>
    </w:p>
    <w:p w14:paraId="1449D005" w14:textId="77777777" w:rsidR="00BE0CCF" w:rsidRPr="002F583F" w:rsidRDefault="00BE0CCF" w:rsidP="00BE0CCF">
      <w:pPr>
        <w:pStyle w:val="Odstavecseseznamem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bCs/>
          <w:color w:val="000000"/>
          <w:sz w:val="22"/>
        </w:rPr>
      </w:pPr>
    </w:p>
    <w:p w14:paraId="6EBE0949" w14:textId="77777777" w:rsidR="00BE0CCF" w:rsidRPr="002F583F" w:rsidRDefault="00BE0CCF" w:rsidP="00BE0CC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0B771B93" w14:textId="77777777" w:rsidR="00BE0CCF" w:rsidRPr="00B1542B" w:rsidRDefault="00BE0CCF" w:rsidP="00BE0CCF">
      <w:pPr>
        <w:pStyle w:val="Zkladntext"/>
        <w:widowControl w:val="0"/>
        <w:numPr>
          <w:ilvl w:val="0"/>
          <w:numId w:val="7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B1542B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</w:p>
    <w:p w14:paraId="73699929" w14:textId="77777777" w:rsidR="00BE0CCF" w:rsidRPr="002F583F" w:rsidRDefault="00BE0CCF" w:rsidP="00BE0CCF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3525B407" w14:textId="77777777" w:rsidR="00BE0CCF" w:rsidRPr="002F583F" w:rsidRDefault="00BE0CCF" w:rsidP="00BE0CCF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lastRenderedPageBreak/>
        <w:t xml:space="preserve">Tato smlouva nabývá účinnosti </w:t>
      </w:r>
      <w:r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smluv, které zajistí poskytovatel.</w:t>
      </w:r>
    </w:p>
    <w:p w14:paraId="02784D62" w14:textId="77777777" w:rsidR="00BE0CCF" w:rsidRPr="002F583F" w:rsidRDefault="00BE0CCF" w:rsidP="00BE0CCF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5C3D5E19" w14:textId="77777777" w:rsidR="00BE0CCF" w:rsidRPr="002F583F" w:rsidRDefault="00BE0CCF" w:rsidP="00BE0CCF">
      <w:pPr>
        <w:pStyle w:val="Zkladntext"/>
        <w:numPr>
          <w:ilvl w:val="0"/>
          <w:numId w:val="7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394FD973" w14:textId="77777777" w:rsidR="00BE0CCF" w:rsidRPr="002F583F" w:rsidRDefault="00BE0CCF" w:rsidP="00BE0CCF">
      <w:pPr>
        <w:widowControl w:val="0"/>
        <w:spacing w:after="0"/>
        <w:ind w:left="284"/>
        <w:rPr>
          <w:rFonts w:cs="Arial"/>
          <w:sz w:val="22"/>
        </w:rPr>
      </w:pPr>
    </w:p>
    <w:p w14:paraId="4755DEA1" w14:textId="107335CD" w:rsidR="00BE0CCF" w:rsidRPr="006676B9" w:rsidRDefault="00BE0CCF" w:rsidP="00BE0CCF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 xml:space="preserve">O poskytnutí účelové dotace </w:t>
      </w:r>
      <w:r w:rsidRPr="00B1542B">
        <w:rPr>
          <w:rFonts w:cs="Arial"/>
          <w:sz w:val="22"/>
        </w:rPr>
        <w:t>rozhodlo</w:t>
      </w:r>
      <w:r>
        <w:rPr>
          <w:rFonts w:cs="Arial"/>
          <w:sz w:val="22"/>
        </w:rPr>
        <w:t xml:space="preserve"> </w:t>
      </w:r>
      <w:r w:rsidRPr="00B1542B">
        <w:rPr>
          <w:rFonts w:cs="Arial"/>
          <w:sz w:val="22"/>
        </w:rPr>
        <w:t xml:space="preserve">Zastupitelstvo města Karviné </w:t>
      </w:r>
      <w:r w:rsidRPr="000B397E">
        <w:rPr>
          <w:rFonts w:cs="Arial"/>
          <w:sz w:val="22"/>
        </w:rPr>
        <w:t>svým usnesením č. </w:t>
      </w:r>
      <w:r w:rsidR="002B2ACB">
        <w:rPr>
          <w:rFonts w:cs="Arial"/>
          <w:sz w:val="22"/>
        </w:rPr>
        <w:t xml:space="preserve">489 </w:t>
      </w:r>
      <w:r w:rsidRPr="000B397E">
        <w:rPr>
          <w:rFonts w:cs="Arial"/>
          <w:sz w:val="22"/>
        </w:rPr>
        <w:t>ze dne</w:t>
      </w:r>
      <w:r>
        <w:rPr>
          <w:rFonts w:cs="Arial"/>
          <w:sz w:val="22"/>
        </w:rPr>
        <w:t xml:space="preserve"> 02.02.2026</w:t>
      </w:r>
      <w:r w:rsidRPr="000B397E">
        <w:rPr>
          <w:rFonts w:cs="Arial"/>
          <w:sz w:val="22"/>
        </w:rPr>
        <w:t xml:space="preserve">. </w:t>
      </w:r>
    </w:p>
    <w:p w14:paraId="444A95C3" w14:textId="77777777" w:rsidR="00BE0CCF" w:rsidRPr="0096123E" w:rsidRDefault="00BE0CCF" w:rsidP="00BE0CCF">
      <w:pPr>
        <w:pStyle w:val="Zhlav"/>
        <w:rPr>
          <w:rFonts w:cs="Arial"/>
          <w:szCs w:val="20"/>
        </w:rPr>
      </w:pPr>
    </w:p>
    <w:p w14:paraId="7C603A6B" w14:textId="77777777" w:rsidR="00BE0CCF" w:rsidRPr="0096123E" w:rsidRDefault="00BE0CCF" w:rsidP="00BE0CCF">
      <w:pPr>
        <w:rPr>
          <w:rFonts w:cs="Arial"/>
          <w:szCs w:val="20"/>
        </w:rPr>
      </w:pPr>
    </w:p>
    <w:p w14:paraId="12AE203F" w14:textId="77777777" w:rsidR="00BE0CCF" w:rsidRPr="00BC0D8F" w:rsidRDefault="00BE0CCF" w:rsidP="00BE0CCF">
      <w:pPr>
        <w:rPr>
          <w:rFonts w:cs="Arial"/>
          <w:b/>
          <w:sz w:val="22"/>
        </w:rPr>
      </w:pPr>
      <w:r w:rsidRPr="00BC0D8F">
        <w:rPr>
          <w:rFonts w:cs="Arial"/>
          <w:b/>
          <w:sz w:val="22"/>
        </w:rPr>
        <w:t>Za poskytovatele</w:t>
      </w:r>
      <w:r w:rsidRPr="00BC0D8F">
        <w:rPr>
          <w:rFonts w:cs="Arial"/>
          <w:b/>
          <w:sz w:val="22"/>
        </w:rPr>
        <w:tab/>
      </w:r>
      <w:r w:rsidRPr="00BC0D8F">
        <w:rPr>
          <w:rFonts w:cs="Arial"/>
          <w:b/>
          <w:sz w:val="22"/>
        </w:rPr>
        <w:tab/>
      </w:r>
      <w:r w:rsidRPr="00BC0D8F">
        <w:rPr>
          <w:rFonts w:cs="Arial"/>
          <w:b/>
          <w:sz w:val="22"/>
        </w:rPr>
        <w:tab/>
      </w:r>
      <w:r w:rsidRPr="00BC0D8F">
        <w:rPr>
          <w:rFonts w:cs="Arial"/>
          <w:b/>
          <w:sz w:val="22"/>
        </w:rPr>
        <w:tab/>
      </w:r>
      <w:r w:rsidRPr="00BC0D8F">
        <w:rPr>
          <w:rFonts w:cs="Arial"/>
          <w:b/>
          <w:sz w:val="22"/>
        </w:rPr>
        <w:tab/>
        <w:t>Za příjemce</w:t>
      </w:r>
    </w:p>
    <w:p w14:paraId="3D17D0A7" w14:textId="4760055F" w:rsidR="00BE0CCF" w:rsidRPr="00BC0D8F" w:rsidRDefault="00BE0CCF" w:rsidP="00BE0CCF">
      <w:pPr>
        <w:rPr>
          <w:rFonts w:cs="Arial"/>
          <w:sz w:val="22"/>
        </w:rPr>
      </w:pPr>
      <w:r w:rsidRPr="00BC0D8F">
        <w:rPr>
          <w:rFonts w:cs="Arial"/>
          <w:sz w:val="22"/>
        </w:rPr>
        <w:t>V</w:t>
      </w:r>
      <w:r w:rsidR="002D7E12">
        <w:rPr>
          <w:rFonts w:cs="Arial"/>
          <w:sz w:val="22"/>
        </w:rPr>
        <w:t> </w:t>
      </w:r>
      <w:r w:rsidRPr="00BC0D8F">
        <w:rPr>
          <w:rFonts w:cs="Arial"/>
          <w:sz w:val="22"/>
        </w:rPr>
        <w:t>Karviné</w:t>
      </w:r>
      <w:r w:rsidR="002D7E12">
        <w:rPr>
          <w:rFonts w:cs="Arial"/>
          <w:sz w:val="22"/>
        </w:rPr>
        <w:t xml:space="preserve"> 04.02.2026</w:t>
      </w:r>
      <w:r w:rsidRPr="00BC0D8F">
        <w:rPr>
          <w:rFonts w:cs="Arial"/>
          <w:sz w:val="22"/>
        </w:rPr>
        <w:tab/>
      </w:r>
      <w:r w:rsidRPr="00BC0D8F">
        <w:rPr>
          <w:rFonts w:cs="Arial"/>
          <w:sz w:val="22"/>
        </w:rPr>
        <w:tab/>
      </w:r>
      <w:r w:rsidRPr="00BC0D8F">
        <w:rPr>
          <w:rFonts w:cs="Arial"/>
          <w:sz w:val="22"/>
        </w:rPr>
        <w:tab/>
      </w:r>
      <w:r w:rsidRPr="00BC0D8F">
        <w:rPr>
          <w:rFonts w:cs="Arial"/>
          <w:sz w:val="22"/>
        </w:rPr>
        <w:tab/>
      </w:r>
      <w:r w:rsidR="002D7E12">
        <w:rPr>
          <w:rFonts w:cs="Arial"/>
          <w:sz w:val="22"/>
        </w:rPr>
        <w:tab/>
      </w:r>
      <w:r w:rsidRPr="00BC0D8F">
        <w:rPr>
          <w:rFonts w:cs="Arial"/>
          <w:sz w:val="22"/>
        </w:rPr>
        <w:t xml:space="preserve">V Karviné  </w:t>
      </w:r>
      <w:r w:rsidR="002D7E12">
        <w:rPr>
          <w:rFonts w:cs="Arial"/>
          <w:sz w:val="22"/>
        </w:rPr>
        <w:t>04.02.2026</w:t>
      </w:r>
    </w:p>
    <w:p w14:paraId="55AC603F" w14:textId="77777777" w:rsidR="00BE0CCF" w:rsidRPr="00BC0D8F" w:rsidRDefault="00BE0CCF" w:rsidP="00BE0CCF">
      <w:pPr>
        <w:rPr>
          <w:rFonts w:cs="Arial"/>
          <w:sz w:val="22"/>
        </w:rPr>
      </w:pPr>
    </w:p>
    <w:p w14:paraId="50F538F6" w14:textId="77777777" w:rsidR="00BE0CCF" w:rsidRPr="00BC0D8F" w:rsidRDefault="00BE0CCF" w:rsidP="00BE0CCF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BC0D8F">
        <w:rPr>
          <w:rFonts w:cs="Arial"/>
          <w:sz w:val="22"/>
        </w:rPr>
        <w:tab/>
      </w:r>
    </w:p>
    <w:p w14:paraId="6A971AAB" w14:textId="77777777" w:rsidR="00BE0CCF" w:rsidRPr="00BC0D8F" w:rsidRDefault="00BE0CCF" w:rsidP="00BE0CCF">
      <w:pPr>
        <w:rPr>
          <w:rFonts w:cs="Arial"/>
          <w:sz w:val="22"/>
        </w:rPr>
      </w:pPr>
    </w:p>
    <w:p w14:paraId="41E70224" w14:textId="77777777" w:rsidR="00BE0CCF" w:rsidRPr="00BC0D8F" w:rsidRDefault="00BE0CCF" w:rsidP="00BE0CCF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BC0D8F">
        <w:rPr>
          <w:rFonts w:cs="Arial"/>
          <w:sz w:val="22"/>
        </w:rPr>
        <w:tab/>
        <w:t>………………………………</w:t>
      </w:r>
      <w:r w:rsidRPr="00BC0D8F">
        <w:rPr>
          <w:rFonts w:cs="Arial"/>
          <w:sz w:val="22"/>
        </w:rPr>
        <w:tab/>
        <w:t>………………………………</w:t>
      </w:r>
    </w:p>
    <w:p w14:paraId="5649E7C2" w14:textId="77777777" w:rsidR="00BE0CCF" w:rsidRPr="00BC0D8F" w:rsidRDefault="00BE0CCF" w:rsidP="00BE0CCF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  <w:highlight w:val="yellow"/>
        </w:rPr>
      </w:pPr>
      <w:r w:rsidRPr="00BC0D8F">
        <w:rPr>
          <w:rFonts w:cs="Arial"/>
          <w:sz w:val="22"/>
        </w:rPr>
        <w:t xml:space="preserve">     </w:t>
      </w:r>
      <w:r w:rsidRPr="00BC0D8F">
        <w:rPr>
          <w:rFonts w:cs="Arial"/>
          <w:sz w:val="22"/>
        </w:rPr>
        <w:tab/>
        <w:t>Ing. Martina Šrámková, MPA</w:t>
      </w:r>
      <w:r w:rsidRPr="00BC0D8F">
        <w:rPr>
          <w:rFonts w:cs="Arial"/>
          <w:sz w:val="22"/>
        </w:rPr>
        <w:tab/>
        <w:t>Petr Hort</w:t>
      </w:r>
      <w:r w:rsidRPr="00BC0D8F">
        <w:rPr>
          <w:rFonts w:cs="Arial"/>
          <w:i/>
          <w:sz w:val="22"/>
          <w:highlight w:val="yellow"/>
        </w:rPr>
        <w:t xml:space="preserve"> </w:t>
      </w:r>
    </w:p>
    <w:p w14:paraId="6C4CDEA8" w14:textId="77777777" w:rsidR="00BE0CCF" w:rsidRPr="00BC0D8F" w:rsidRDefault="00BE0CCF" w:rsidP="00BE0CCF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  <w:r w:rsidRPr="00BC0D8F">
        <w:rPr>
          <w:rFonts w:cs="Arial"/>
          <w:sz w:val="22"/>
        </w:rPr>
        <w:t>vedoucí Odboru školství a rozvoje MMK</w:t>
      </w:r>
      <w:r w:rsidRPr="00BC0D8F">
        <w:rPr>
          <w:rFonts w:cs="Arial"/>
          <w:sz w:val="22"/>
        </w:rPr>
        <w:tab/>
        <w:t xml:space="preserve">člen představenstva </w:t>
      </w:r>
      <w:r w:rsidRPr="00BC0D8F">
        <w:rPr>
          <w:rFonts w:cs="Arial"/>
          <w:color w:val="000000" w:themeColor="text1"/>
          <w:sz w:val="22"/>
        </w:rPr>
        <w:t>MFK Karviná a.s.</w:t>
      </w:r>
    </w:p>
    <w:p w14:paraId="5C06C36C" w14:textId="77777777" w:rsidR="00BE0CCF" w:rsidRPr="00BC0D8F" w:rsidRDefault="00BE0CCF" w:rsidP="00BE0CCF">
      <w:pPr>
        <w:tabs>
          <w:tab w:val="center" w:pos="1560"/>
          <w:tab w:val="center" w:pos="6804"/>
        </w:tabs>
        <w:spacing w:after="0" w:line="240" w:lineRule="auto"/>
        <w:rPr>
          <w:rFonts w:cs="Arial"/>
          <w:i/>
          <w:sz w:val="22"/>
        </w:rPr>
      </w:pPr>
    </w:p>
    <w:p w14:paraId="0A83F1C3" w14:textId="77777777" w:rsidR="00BE0CCF" w:rsidRPr="00BC0D8F" w:rsidRDefault="00BE0CCF" w:rsidP="00BE0CCF">
      <w:pPr>
        <w:tabs>
          <w:tab w:val="center" w:pos="1560"/>
          <w:tab w:val="center" w:pos="6804"/>
        </w:tabs>
        <w:spacing w:after="0" w:line="240" w:lineRule="auto"/>
        <w:rPr>
          <w:rFonts w:cs="Arial"/>
          <w:sz w:val="22"/>
        </w:rPr>
      </w:pPr>
    </w:p>
    <w:p w14:paraId="02DE6C0F" w14:textId="77777777" w:rsidR="00BE0CCF" w:rsidRPr="00BC0D8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 w:val="22"/>
        </w:rPr>
      </w:pPr>
      <w:r w:rsidRPr="00BC0D8F">
        <w:rPr>
          <w:rFonts w:cs="Arial"/>
          <w:sz w:val="22"/>
        </w:rPr>
        <w:t xml:space="preserve"> </w:t>
      </w:r>
    </w:p>
    <w:p w14:paraId="29E420FD" w14:textId="77777777" w:rsidR="00BE0CC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2FD263D4" w14:textId="77777777" w:rsidR="00BE0CC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354C854C" w14:textId="77777777" w:rsidR="00BE0CC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3A280D0" w14:textId="77777777" w:rsidR="00BE0CC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1C347AFD" w14:textId="77777777" w:rsidR="00BE0CC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245F0411" w14:textId="77777777" w:rsidR="00BE0CC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6C2BD6F1" w14:textId="77777777" w:rsidR="00BE0CC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68E1C26D" w14:textId="77777777" w:rsidR="00BE0CC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37ECB893" w14:textId="77777777" w:rsidR="00BE0CC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0F71A53D" w14:textId="77777777" w:rsidR="00BE0CC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15DCD3BA" w14:textId="77777777" w:rsidR="00BE0CC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3B353BF" w14:textId="77777777" w:rsidR="00BE0CCF" w:rsidRDefault="00BE0CCF" w:rsidP="00BE0CCF">
      <w:pPr>
        <w:tabs>
          <w:tab w:val="center" w:pos="1560"/>
          <w:tab w:val="center" w:pos="6804"/>
        </w:tabs>
        <w:spacing w:after="0"/>
        <w:jc w:val="both"/>
        <w:rPr>
          <w:rFonts w:cs="Arial"/>
          <w:szCs w:val="20"/>
        </w:rPr>
      </w:pPr>
    </w:p>
    <w:p w14:paraId="516E8E58" w14:textId="77777777" w:rsidR="00BC56F8" w:rsidRDefault="00BC56F8"/>
    <w:sectPr w:rsidR="00BC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F8C724B"/>
    <w:multiLevelType w:val="hybridMultilevel"/>
    <w:tmpl w:val="F16C5F3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4445122">
    <w:abstractNumId w:val="7"/>
  </w:num>
  <w:num w:numId="2" w16cid:durableId="1038701789">
    <w:abstractNumId w:val="5"/>
  </w:num>
  <w:num w:numId="3" w16cid:durableId="1235358483">
    <w:abstractNumId w:val="2"/>
  </w:num>
  <w:num w:numId="4" w16cid:durableId="1996030946">
    <w:abstractNumId w:val="6"/>
  </w:num>
  <w:num w:numId="5" w16cid:durableId="1804420490">
    <w:abstractNumId w:val="10"/>
  </w:num>
  <w:num w:numId="6" w16cid:durableId="509217541">
    <w:abstractNumId w:val="9"/>
  </w:num>
  <w:num w:numId="7" w16cid:durableId="1384523823">
    <w:abstractNumId w:val="1"/>
  </w:num>
  <w:num w:numId="8" w16cid:durableId="43988879">
    <w:abstractNumId w:val="8"/>
  </w:num>
  <w:num w:numId="9" w16cid:durableId="462962603">
    <w:abstractNumId w:val="3"/>
  </w:num>
  <w:num w:numId="10" w16cid:durableId="85730166">
    <w:abstractNumId w:val="4"/>
  </w:num>
  <w:num w:numId="11" w16cid:durableId="1993942476">
    <w:abstractNumId w:val="0"/>
  </w:num>
  <w:num w:numId="12" w16cid:durableId="138772687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62"/>
    <w:rsid w:val="00193978"/>
    <w:rsid w:val="002B2ACB"/>
    <w:rsid w:val="002D7E12"/>
    <w:rsid w:val="002E65EB"/>
    <w:rsid w:val="00575562"/>
    <w:rsid w:val="00BC56F8"/>
    <w:rsid w:val="00BE0CCF"/>
    <w:rsid w:val="00C92CA3"/>
    <w:rsid w:val="00CA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E9EA6"/>
  <w15:chartTrackingRefBased/>
  <w15:docId w15:val="{75C2781D-C0CB-4B27-8D23-DCF8D0BE9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0CCF"/>
    <w:pPr>
      <w:spacing w:after="200" w:line="276" w:lineRule="auto"/>
    </w:pPr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575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75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755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75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755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75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75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75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75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755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755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755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7556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7556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7556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7556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7556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7556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75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75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75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75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75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7556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7556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7556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755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7556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7556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BE0C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E0CCF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styleId="Textkomente">
    <w:name w:val="annotation text"/>
    <w:basedOn w:val="Normln"/>
    <w:link w:val="TextkomenteChar"/>
    <w:uiPriority w:val="99"/>
    <w:unhideWhenUsed/>
    <w:rsid w:val="00BE0CCF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E0CCF"/>
    <w:rPr>
      <w:rFonts w:ascii="Arial" w:eastAsiaTheme="minorEastAsia" w:hAnsi="Arial"/>
      <w:kern w:val="0"/>
      <w:sz w:val="20"/>
      <w:szCs w:val="20"/>
      <w:lang w:bidi="en-US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BE0CCF"/>
    <w:pPr>
      <w:spacing w:after="120" w:line="240" w:lineRule="auto"/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E0CCF"/>
    <w:rPr>
      <w:rFonts w:ascii="Arial" w:eastAsiaTheme="minorEastAsia" w:hAnsi="Arial"/>
      <w:kern w:val="0"/>
      <w:sz w:val="20"/>
      <w:szCs w:val="22"/>
      <w:lang w:bidi="en-US"/>
      <w14:ligatures w14:val="none"/>
    </w:rPr>
  </w:style>
  <w:style w:type="paragraph" w:customStyle="1" w:styleId="Normln0">
    <w:name w:val="Normální~~~~~~"/>
    <w:basedOn w:val="Normln"/>
    <w:rsid w:val="00BE0CCF"/>
    <w:pPr>
      <w:widowControl w:val="0"/>
      <w:spacing w:after="0" w:line="288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BE0CCF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arvina.cz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E56406F3D994ED492ED57A29BA7D77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D1A2F2-A8E7-4396-AB0C-0EE60FDF360F}"/>
      </w:docPartPr>
      <w:docPartBody>
        <w:p w:rsidR="008E1160" w:rsidRDefault="008E1160" w:rsidP="008E1160">
          <w:pPr>
            <w:pStyle w:val="7E56406F3D994ED492ED57A29BA7D77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160"/>
    <w:rsid w:val="002E65EB"/>
    <w:rsid w:val="008E1160"/>
    <w:rsid w:val="00C92CA3"/>
    <w:rsid w:val="00CA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7E56406F3D994ED492ED57A29BA7D772">
    <w:name w:val="7E56406F3D994ED492ED57A29BA7D772"/>
    <w:rsid w:val="008E11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2190</Words>
  <Characters>12925</Characters>
  <Application>Microsoft Office Word</Application>
  <DocSecurity>0</DocSecurity>
  <Lines>107</Lines>
  <Paragraphs>30</Paragraphs>
  <ScaleCrop>false</ScaleCrop>
  <Company/>
  <LinksUpToDate>false</LinksUpToDate>
  <CharactersWithSpaces>15085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Hübnerová Marcela</dc:creator>
  <cp:keywords/>
  <dc:description/>
  <cp:lastModifiedBy>Hübnerová Marcela</cp:lastModifiedBy>
  <cp:revision>4</cp:revision>
  <cp:lastPrinted>2026-02-04T07:28:00Z</cp:lastPrinted>
  <dcterms:created xsi:type="dcterms:W3CDTF">2026-02-04T06:15:00Z</dcterms:created>
  <dcterms:modified xsi:type="dcterms:W3CDTF">2026-02-05T07:36:00Z</dcterms:modified>
</cp:coreProperties>
</file>