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BC4EEC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08534B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JL/</w:t>
      </w:r>
      <w:r w:rsidR="00047DB3" w:rsidRPr="00047DB3">
        <w:rPr>
          <w:sz w:val="20"/>
          <w:szCs w:val="20"/>
          <w:u w:val="none"/>
        </w:rPr>
        <w:t>238/2023</w:t>
      </w:r>
    </w:p>
    <w:p w:rsidR="00E51D2F" w:rsidRPr="00AD715B" w:rsidRDefault="00E51D2F" w:rsidP="00BB18F2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710069">
        <w:rPr>
          <w:sz w:val="22"/>
          <w:szCs w:val="22"/>
          <w:lang w:val="pt-BR"/>
        </w:rPr>
        <w:t>XXX</w:t>
      </w:r>
      <w:r w:rsidR="00E72472">
        <w:rPr>
          <w:sz w:val="22"/>
          <w:szCs w:val="22"/>
          <w:lang w:val="pt-BR"/>
        </w:rPr>
        <w:t xml:space="preserve">, </w:t>
      </w:r>
      <w:r w:rsidR="00E72472" w:rsidRPr="00AD715B">
        <w:rPr>
          <w:sz w:val="22"/>
          <w:szCs w:val="22"/>
          <w:lang w:val="pt-BR"/>
        </w:rPr>
        <w:t>ředite</w:t>
      </w:r>
      <w:r w:rsidR="00E72472">
        <w:rPr>
          <w:sz w:val="22"/>
          <w:szCs w:val="22"/>
          <w:lang w:val="pt-BR"/>
        </w:rPr>
        <w:t>lem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047DB3" w:rsidRPr="00047DB3" w:rsidRDefault="00047DB3" w:rsidP="00047DB3">
      <w:pPr>
        <w:rPr>
          <w:b/>
          <w:bCs/>
          <w:sz w:val="22"/>
          <w:szCs w:val="22"/>
        </w:rPr>
      </w:pPr>
      <w:r w:rsidRPr="00047DB3">
        <w:rPr>
          <w:b/>
          <w:bCs/>
          <w:sz w:val="22"/>
          <w:szCs w:val="22"/>
        </w:rPr>
        <w:t>ALIMPEX – Louny spol. s r.o.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se sídlem Českobrodská 1174, Praha 9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IČ: 26119773, DIČ: CZ26119773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zapsaná v obchodním rejstříku vedeném Městském soudem v Praze, oddíl C, vložka 71825</w:t>
      </w:r>
    </w:p>
    <w:p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 xml:space="preserve">zastoupena: </w:t>
      </w:r>
      <w:r w:rsidR="00710069">
        <w:rPr>
          <w:sz w:val="22"/>
          <w:szCs w:val="22"/>
        </w:rPr>
        <w:t>XXX</w:t>
      </w:r>
      <w:r w:rsidRPr="00047DB3">
        <w:rPr>
          <w:sz w:val="22"/>
          <w:szCs w:val="22"/>
        </w:rPr>
        <w:t>, jednatel</w:t>
      </w:r>
      <w:r w:rsidR="00E72472">
        <w:rPr>
          <w:sz w:val="22"/>
          <w:szCs w:val="22"/>
        </w:rPr>
        <w:t>em</w:t>
      </w:r>
    </w:p>
    <w:p w:rsidR="00742F54" w:rsidRPr="00AD715B" w:rsidRDefault="00047DB3" w:rsidP="00BB18F2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71006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BC4EEC" w:rsidP="0071006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31.7.2023 uzavřely rámcovou kupní smlouvu č. SLL JL/238/2023 (dále jen „</w:t>
      </w:r>
      <w:r w:rsidR="00895E81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895E81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mléčné výrobky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Pr="00BC4EEC" w:rsidRDefault="00BC4EEC" w:rsidP="0071006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5157"/>
      <w:r w:rsidRPr="001E27C3">
        <w:rPr>
          <w:color w:val="000000"/>
          <w:sz w:val="22"/>
          <w:szCs w:val="22"/>
        </w:rPr>
        <w:t xml:space="preserve">Smluvní strany konstatují, že Kupující v současné době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1E27C3">
        <w:rPr>
          <w:color w:val="000000"/>
          <w:sz w:val="22"/>
          <w:szCs w:val="22"/>
        </w:rPr>
        <w:t>ynamického nákupního systému (dále jen „DNS“)</w:t>
      </w:r>
      <w:bookmarkEnd w:id="0"/>
      <w:r>
        <w:rPr>
          <w:color w:val="000000"/>
          <w:sz w:val="22"/>
          <w:szCs w:val="22"/>
        </w:rPr>
        <w:t xml:space="preserve">.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BC4EEC" w:rsidP="00710069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5174"/>
      <w:r>
        <w:rPr>
          <w:color w:val="000000"/>
          <w:sz w:val="22"/>
          <w:szCs w:val="22"/>
        </w:rPr>
        <w:t>S </w:t>
      </w:r>
      <w:r w:rsidRPr="001E27C3">
        <w:rPr>
          <w:color w:val="000000"/>
          <w:sz w:val="22"/>
          <w:szCs w:val="22"/>
        </w:rPr>
        <w:t xml:space="preserve">ohledem na skutečnost, že v rámci zavádění DNS pro komoditu, která je předmětem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mlouvy, dosud nebyli úspěšně kvalifikováni noví dodavatelé a zadávací řízení bude v této části opakováno, mají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mluvní strany zájem na zajištění kontinuity dodávek zboží nezbytného pro provoz Kupujícího do doby, než bude zajištěn dodavatel nový. Z tohoto důvodu se Smluvní strany dohodly na prodloužení účinnosti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>mlouvy za níže uvedených podmínek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71006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710069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5192"/>
      <w:r w:rsidR="00BC4EEC" w:rsidRPr="00415AE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BC4EEC">
        <w:rPr>
          <w:i/>
          <w:sz w:val="22"/>
          <w:szCs w:val="22"/>
        </w:rPr>
        <w:t>d</w:t>
      </w:r>
      <w:r w:rsidR="00BC4EEC" w:rsidRPr="00415AE8">
        <w:rPr>
          <w:i/>
          <w:sz w:val="22"/>
          <w:szCs w:val="22"/>
        </w:rPr>
        <w:t>ynamického nákupního systému (DNS) nebo na základě nové smlouvy vzešlé z výběrového řízení, nejpozději však dnem 30. 06.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710069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710069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71006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895E81" w:rsidP="0071006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BC4EEC" w:rsidRPr="00EB2C62" w:rsidRDefault="00BC4EEC" w:rsidP="0071006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3" w:name="_Hlk218254921"/>
      <w:r w:rsidRPr="00415AE8">
        <w:rPr>
          <w:sz w:val="22"/>
          <w:szCs w:val="22"/>
        </w:rPr>
        <w:lastRenderedPageBreak/>
        <w:t>Smluvní strany s ohledem na provozní nutnost a navázání na předchozí smluvní vztah (ukončený k 01.01.2026) shodně deklarují, že účelem tohoto dodatku je zachování kontinuity dodávek a smluvního vztahu bez přerušení faktického plnění od 02.01.2026. Tím není dotčena zákonná povinnost uveřejnění dodatku v registru smluv</w:t>
      </w:r>
      <w:bookmarkEnd w:id="3"/>
      <w:r>
        <w:rPr>
          <w:sz w:val="22"/>
          <w:szCs w:val="22"/>
        </w:rPr>
        <w:t>.</w:t>
      </w:r>
    </w:p>
    <w:p w:rsidR="00EB2C62" w:rsidRPr="00EB2C62" w:rsidRDefault="00EB2C62" w:rsidP="0071006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710069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710069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E72472" w:rsidRPr="00AD715B">
              <w:rPr>
                <w:sz w:val="22"/>
                <w:szCs w:val="22"/>
                <w:lang w:val="pt-BR"/>
              </w:rPr>
              <w:t>, ředitel</w:t>
            </w:r>
            <w:r w:rsidR="00E72472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E1031D" w:rsidRDefault="00047DB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895E81" w:rsidRPr="00895E81" w:rsidRDefault="00710069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895E81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E72472" w:rsidRPr="00AD715B" w:rsidTr="00E1031D">
        <w:trPr>
          <w:trHeight w:val="80"/>
        </w:trPr>
        <w:tc>
          <w:tcPr>
            <w:tcW w:w="4503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2472" w:rsidRPr="00047DB3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E72472" w:rsidRPr="00AD715B" w:rsidTr="00E1031D">
        <w:trPr>
          <w:trHeight w:val="80"/>
        </w:trPr>
        <w:tc>
          <w:tcPr>
            <w:tcW w:w="4503" w:type="dxa"/>
          </w:tcPr>
          <w:p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5" w:type="dxa"/>
          </w:tcPr>
          <w:p w:rsidR="00E72472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:rsidR="00E72472" w:rsidRPr="00AD715B" w:rsidRDefault="00710069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4" w:name="_GoBack"/>
            <w:bookmarkEnd w:id="4"/>
            <w:r w:rsidR="00E72472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903AE0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8B" w:rsidRDefault="0006088B" w:rsidP="00790E8B">
      <w:r>
        <w:separator/>
      </w:r>
    </w:p>
  </w:endnote>
  <w:endnote w:type="continuationSeparator" w:id="0">
    <w:p w:rsidR="0006088B" w:rsidRDefault="0006088B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8B" w:rsidRDefault="0006088B" w:rsidP="00790E8B">
      <w:r>
        <w:separator/>
      </w:r>
    </w:p>
  </w:footnote>
  <w:footnote w:type="continuationSeparator" w:id="0">
    <w:p w:rsidR="0006088B" w:rsidRDefault="0006088B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088B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8534B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A7AAA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2CA0"/>
    <w:rsid w:val="003243C8"/>
    <w:rsid w:val="003249AE"/>
    <w:rsid w:val="00324C9F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A7D48"/>
    <w:rsid w:val="003C5CB2"/>
    <w:rsid w:val="003D57C0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095F"/>
    <w:rsid w:val="005A1D17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5F468F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3B23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0069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5E81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3AE0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4D1F"/>
    <w:rsid w:val="00B45F0B"/>
    <w:rsid w:val="00B4785F"/>
    <w:rsid w:val="00B53296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18F2"/>
    <w:rsid w:val="00BB23DE"/>
    <w:rsid w:val="00BB2A7B"/>
    <w:rsid w:val="00BB5250"/>
    <w:rsid w:val="00BC4EEC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34FD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202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2472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2AB0"/>
    <w:rsid w:val="00EA4816"/>
    <w:rsid w:val="00EA7668"/>
    <w:rsid w:val="00EB2C62"/>
    <w:rsid w:val="00EB4BEA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97F6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16EECC"/>
  <w15:chartTrackingRefBased/>
  <w15:docId w15:val="{CD3CFBD0-C4CB-4AB8-BA03-5F7B06F8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0808-8445-4F61-B5D9-15FAA6E9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2026-01-19T07:12:00Z</dcterms:created>
  <dcterms:modified xsi:type="dcterms:W3CDTF">2026-01-19T07:12:00Z</dcterms:modified>
</cp:coreProperties>
</file>