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7"/>
      </w:pPr>
      <w:r>
        <w:rPr/>
        <w:t>Aukce ID 2182 | 9915 - Ministerstvo spravedlnosti – elektřina nízké napětí</w:t>
      </w:r>
    </w:p>
    <w:p>
      <w:pPr>
        <w:spacing w:before="18"/>
        <w:ind w:left="116" w:right="0" w:firstLine="0"/>
        <w:jc w:val="left"/>
        <w:rPr>
          <w:rFonts w:ascii="Gill Sans MT" w:hAnsi="Gill Sans MT"/>
          <w:sz w:val="22"/>
        </w:rPr>
      </w:pPr>
      <w:r>
        <w:rPr>
          <w:rFonts w:ascii="Gill Sans MT" w:hAnsi="Gill Sans MT"/>
          <w:w w:val="105"/>
          <w:sz w:val="22"/>
        </w:rPr>
        <w:t>Referenční produkt</w:t>
      </w:r>
    </w:p>
    <w:p>
      <w:pPr>
        <w:pStyle w:val="BodyText"/>
      </w:pPr>
      <w:r>
        <w:rPr/>
        <w:t>CZECH BL CAL-26</w:t>
      </w:r>
    </w:p>
    <w:p>
      <w:pPr>
        <w:spacing w:before="18"/>
        <w:ind w:left="116" w:right="0" w:firstLine="0"/>
        <w:jc w:val="left"/>
        <w:rPr>
          <w:rFonts w:ascii="Gill Sans MT" w:hAnsi="Gill Sans MT"/>
          <w:sz w:val="22"/>
        </w:rPr>
      </w:pPr>
      <w:r>
        <w:rPr>
          <w:rFonts w:ascii="Gill Sans MT" w:hAnsi="Gill Sans MT"/>
          <w:w w:val="110"/>
          <w:sz w:val="22"/>
        </w:rPr>
        <w:t>Násobící koeficient</w:t>
      </w:r>
    </w:p>
    <w:p>
      <w:pPr>
        <w:pStyle w:val="BodyText"/>
      </w:pPr>
      <w:r>
        <w:rPr/>
        <w:t>1,102</w:t>
      </w:r>
    </w:p>
    <w:p>
      <w:pPr>
        <w:spacing w:before="17"/>
        <w:ind w:left="116" w:right="0" w:firstLine="0"/>
        <w:jc w:val="left"/>
        <w:rPr>
          <w:rFonts w:ascii="Gill Sans MT" w:hAnsi="Gill Sans MT"/>
          <w:sz w:val="22"/>
        </w:rPr>
      </w:pPr>
      <w:r>
        <w:rPr>
          <w:rFonts w:ascii="Gill Sans MT" w:hAnsi="Gill Sans MT"/>
          <w:w w:val="105"/>
          <w:sz w:val="22"/>
        </w:rPr>
        <w:t>Dodávkové období</w:t>
      </w:r>
    </w:p>
    <w:p>
      <w:pPr>
        <w:pStyle w:val="BodyText"/>
      </w:pPr>
      <w:r>
        <w:rPr/>
        <w:t>1. 1. 2026 - 31. 12. 2026</w:t>
      </w:r>
    </w:p>
    <w:p>
      <w:pPr>
        <w:spacing w:before="18"/>
        <w:ind w:left="116" w:right="0" w:firstLine="0"/>
        <w:jc w:val="left"/>
        <w:rPr>
          <w:rFonts w:ascii="Gill Sans MT" w:hAnsi="Gill Sans MT"/>
          <w:sz w:val="22"/>
        </w:rPr>
      </w:pPr>
      <w:r>
        <w:rPr>
          <w:rFonts w:ascii="Gill Sans MT" w:hAnsi="Gill Sans MT"/>
          <w:w w:val="110"/>
          <w:sz w:val="22"/>
        </w:rPr>
        <w:t>Výsledná jednotková cena fixace</w:t>
      </w:r>
    </w:p>
    <w:p>
      <w:pPr>
        <w:pStyle w:val="BodyText"/>
        <w:spacing w:before="9"/>
      </w:pPr>
      <w:r>
        <w:rPr/>
        <w:t>2 388,27</w:t>
      </w:r>
    </w:p>
    <w:p>
      <w:pPr>
        <w:pStyle w:val="BodyText"/>
        <w:spacing w:before="16"/>
      </w:pPr>
      <w:r>
        <w:rPr>
          <w:w w:val="105"/>
        </w:rPr>
        <w:t>Kč/MWh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BodyText"/>
        <w:spacing w:before="0"/>
      </w:pPr>
      <w:r>
        <w:rPr/>
        <w:t>Aukce ID 2161 | 9915 - Ministerstvo spravedlnosti – elektřina vysoké napětí</w:t>
      </w:r>
    </w:p>
    <w:p>
      <w:pPr>
        <w:spacing w:before="18"/>
        <w:ind w:left="116" w:right="0" w:firstLine="0"/>
        <w:jc w:val="left"/>
        <w:rPr>
          <w:rFonts w:ascii="Gill Sans MT" w:hAnsi="Gill Sans MT"/>
          <w:sz w:val="22"/>
        </w:rPr>
      </w:pPr>
      <w:r>
        <w:rPr>
          <w:rFonts w:ascii="Gill Sans MT" w:hAnsi="Gill Sans MT"/>
          <w:w w:val="105"/>
          <w:sz w:val="22"/>
        </w:rPr>
        <w:t>Referenční produkt</w:t>
      </w:r>
    </w:p>
    <w:p>
      <w:pPr>
        <w:pStyle w:val="BodyText"/>
      </w:pPr>
      <w:r>
        <w:rPr/>
        <w:t>CZECH BL CAL-26</w:t>
      </w:r>
    </w:p>
    <w:p>
      <w:pPr>
        <w:spacing w:before="18"/>
        <w:ind w:left="116" w:right="0" w:firstLine="0"/>
        <w:jc w:val="left"/>
        <w:rPr>
          <w:rFonts w:ascii="Gill Sans MT" w:hAnsi="Gill Sans MT"/>
          <w:sz w:val="22"/>
        </w:rPr>
      </w:pPr>
      <w:r>
        <w:rPr>
          <w:rFonts w:ascii="Gill Sans MT" w:hAnsi="Gill Sans MT"/>
          <w:w w:val="110"/>
          <w:sz w:val="22"/>
        </w:rPr>
        <w:t>Násobící koeficient</w:t>
      </w:r>
    </w:p>
    <w:p>
      <w:pPr>
        <w:pStyle w:val="BodyText"/>
        <w:spacing w:before="11"/>
      </w:pPr>
      <w:r>
        <w:rPr/>
        <w:t>1,119</w:t>
      </w:r>
    </w:p>
    <w:p>
      <w:pPr>
        <w:spacing w:before="18"/>
        <w:ind w:left="116" w:right="0" w:firstLine="0"/>
        <w:jc w:val="left"/>
        <w:rPr>
          <w:rFonts w:ascii="Gill Sans MT" w:hAnsi="Gill Sans MT"/>
          <w:sz w:val="22"/>
        </w:rPr>
      </w:pPr>
      <w:r>
        <w:rPr>
          <w:rFonts w:ascii="Gill Sans MT" w:hAnsi="Gill Sans MT"/>
          <w:w w:val="105"/>
          <w:sz w:val="22"/>
        </w:rPr>
        <w:t>Dodávkové období</w:t>
      </w:r>
    </w:p>
    <w:p>
      <w:pPr>
        <w:pStyle w:val="BodyText"/>
      </w:pPr>
      <w:r>
        <w:rPr/>
        <w:t>1. 1. 2026 - 31. 12. 2026</w:t>
      </w:r>
    </w:p>
    <w:p>
      <w:pPr>
        <w:spacing w:before="15"/>
        <w:ind w:left="116" w:right="0" w:firstLine="0"/>
        <w:jc w:val="left"/>
        <w:rPr>
          <w:rFonts w:ascii="Gill Sans MT" w:hAnsi="Gill Sans MT"/>
          <w:sz w:val="22"/>
        </w:rPr>
      </w:pPr>
      <w:r>
        <w:rPr>
          <w:rFonts w:ascii="Gill Sans MT" w:hAnsi="Gill Sans MT"/>
          <w:w w:val="110"/>
          <w:sz w:val="22"/>
        </w:rPr>
        <w:t>Výsledná jednotková cena fixace</w:t>
      </w:r>
    </w:p>
    <w:p>
      <w:pPr>
        <w:pStyle w:val="BodyText"/>
      </w:pPr>
      <w:r>
        <w:rPr/>
        <w:t>2 363,88</w:t>
      </w:r>
    </w:p>
    <w:p>
      <w:pPr>
        <w:pStyle w:val="BodyText"/>
        <w:spacing w:before="16"/>
      </w:pPr>
      <w:r>
        <w:rPr>
          <w:w w:val="105"/>
        </w:rPr>
        <w:t>Kč/MWh</w:t>
      </w:r>
    </w:p>
    <w:p>
      <w:pPr>
        <w:pStyle w:val="BodyText"/>
        <w:spacing w:before="5"/>
        <w:ind w:left="0"/>
        <w:rPr>
          <w:sz w:val="27"/>
        </w:rPr>
      </w:pPr>
    </w:p>
    <w:tbl>
      <w:tblPr>
        <w:tblW w:w="0" w:type="auto"/>
        <w:jc w:val="left"/>
        <w:tblInd w:w="177" w:type="dxa"/>
        <w:tblBorders>
          <w:top w:val="single" w:sz="8" w:space="0" w:color="E6E6E6"/>
          <w:left w:val="single" w:sz="8" w:space="0" w:color="E6E6E6"/>
          <w:bottom w:val="single" w:sz="8" w:space="0" w:color="E6E6E6"/>
          <w:right w:val="single" w:sz="8" w:space="0" w:color="E6E6E6"/>
          <w:insideH w:val="single" w:sz="8" w:space="0" w:color="E6E6E6"/>
          <w:insideV w:val="single" w:sz="8" w:space="0" w:color="E6E6E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8"/>
        <w:gridCol w:w="2097"/>
        <w:gridCol w:w="2093"/>
      </w:tblGrid>
      <w:tr>
        <w:trPr>
          <w:trHeight w:val="303" w:hRule="atLeast"/>
        </w:trPr>
        <w:tc>
          <w:tcPr>
            <w:tcW w:w="1818" w:type="dxa"/>
            <w:tcBorders>
              <w:bottom w:val="double" w:sz="3" w:space="0" w:color="E6E6E6"/>
              <w:right w:val="double" w:sz="3" w:space="0" w:color="E6E6E6"/>
            </w:tcBorders>
            <w:shd w:val="clear" w:color="auto" w:fill="F5F5F5"/>
          </w:tcPr>
          <w:p>
            <w:pPr>
              <w:pStyle w:val="TableParagraph"/>
              <w:spacing w:before="1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w w:val="95"/>
                <w:sz w:val="22"/>
              </w:rPr>
              <w:t>Distribuční sazba</w:t>
            </w:r>
          </w:p>
        </w:tc>
        <w:tc>
          <w:tcPr>
            <w:tcW w:w="2097" w:type="dxa"/>
            <w:tcBorders>
              <w:left w:val="double" w:sz="3" w:space="0" w:color="E6E6E6"/>
              <w:bottom w:val="double" w:sz="3" w:space="0" w:color="E6E6E6"/>
              <w:right w:val="double" w:sz="3" w:space="0" w:color="E6E6E6"/>
            </w:tcBorders>
            <w:shd w:val="clear" w:color="auto" w:fill="F5F5F5"/>
          </w:tcPr>
          <w:p>
            <w:pPr>
              <w:pStyle w:val="TableParagraph"/>
              <w:spacing w:before="14"/>
              <w:ind w:left="31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Cena</w:t>
            </w:r>
            <w:r>
              <w:rPr>
                <w:rFonts w:ascii="Arial" w:hAnsi="Arial"/>
                <w:b/>
                <w:spacing w:val="-4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–</w:t>
            </w:r>
            <w:r>
              <w:rPr>
                <w:rFonts w:ascii="Arial" w:hAnsi="Arial"/>
                <w:b/>
                <w:spacing w:val="-4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VT</w:t>
            </w:r>
            <w:r>
              <w:rPr>
                <w:rFonts w:ascii="Arial" w:hAnsi="Arial"/>
                <w:b/>
                <w:spacing w:val="-4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(Kč/MWh)</w:t>
            </w:r>
          </w:p>
        </w:tc>
        <w:tc>
          <w:tcPr>
            <w:tcW w:w="2093" w:type="dxa"/>
            <w:tcBorders>
              <w:left w:val="double" w:sz="3" w:space="0" w:color="E6E6E6"/>
              <w:bottom w:val="double" w:sz="3" w:space="0" w:color="E6E6E6"/>
            </w:tcBorders>
            <w:shd w:val="clear" w:color="auto" w:fill="F5F5F5"/>
          </w:tcPr>
          <w:p>
            <w:pPr>
              <w:pStyle w:val="TableParagraph"/>
              <w:spacing w:before="14"/>
              <w:ind w:left="29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Cena</w:t>
            </w:r>
            <w:r>
              <w:rPr>
                <w:rFonts w:ascii="Arial" w:hAnsi="Arial"/>
                <w:b/>
                <w:spacing w:val="-3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–</w:t>
            </w:r>
            <w:r>
              <w:rPr>
                <w:rFonts w:ascii="Arial" w:hAnsi="Arial"/>
                <w:b/>
                <w:spacing w:val="-3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NT</w:t>
            </w:r>
            <w:r>
              <w:rPr>
                <w:rFonts w:ascii="Arial" w:hAnsi="Arial"/>
                <w:b/>
                <w:spacing w:val="-38"/>
                <w:sz w:val="22"/>
              </w:rPr>
              <w:t> </w:t>
            </w:r>
            <w:r>
              <w:rPr>
                <w:rFonts w:ascii="Arial" w:hAnsi="Arial"/>
                <w:b/>
                <w:spacing w:val="-3"/>
                <w:sz w:val="22"/>
              </w:rPr>
              <w:t>(Kč/MWh)</w:t>
            </w:r>
          </w:p>
        </w:tc>
      </w:tr>
      <w:tr>
        <w:trPr>
          <w:trHeight w:val="309" w:hRule="atLeast"/>
        </w:trPr>
        <w:tc>
          <w:tcPr>
            <w:tcW w:w="1818" w:type="dxa"/>
            <w:tcBorders>
              <w:top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C01d</w:t>
            </w:r>
          </w:p>
        </w:tc>
        <w:tc>
          <w:tcPr>
            <w:tcW w:w="2097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w w:val="110"/>
                <w:sz w:val="22"/>
              </w:rPr>
              <w:t>2 405,11</w:t>
            </w:r>
          </w:p>
        </w:tc>
        <w:tc>
          <w:tcPr>
            <w:tcW w:w="2093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</w:tcBorders>
          </w:tcPr>
          <w:p>
            <w:pPr>
              <w:pStyle w:val="TableParagraph"/>
              <w:ind w:left="29"/>
              <w:rPr>
                <w:sz w:val="22"/>
              </w:rPr>
            </w:pPr>
            <w:r>
              <w:rPr>
                <w:w w:val="92"/>
                <w:sz w:val="22"/>
              </w:rPr>
              <w:t>–</w:t>
            </w:r>
          </w:p>
        </w:tc>
      </w:tr>
      <w:tr>
        <w:trPr>
          <w:trHeight w:val="307" w:hRule="atLeast"/>
        </w:trPr>
        <w:tc>
          <w:tcPr>
            <w:tcW w:w="1818" w:type="dxa"/>
            <w:tcBorders>
              <w:top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w w:val="105"/>
                <w:sz w:val="22"/>
              </w:rPr>
              <w:t>C02d</w:t>
            </w:r>
          </w:p>
        </w:tc>
        <w:tc>
          <w:tcPr>
            <w:tcW w:w="2097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spacing w:before="20"/>
              <w:ind w:left="31"/>
              <w:rPr>
                <w:sz w:val="22"/>
              </w:rPr>
            </w:pPr>
            <w:r>
              <w:rPr>
                <w:w w:val="110"/>
                <w:sz w:val="22"/>
              </w:rPr>
              <w:t>2 405,11</w:t>
            </w:r>
          </w:p>
        </w:tc>
        <w:tc>
          <w:tcPr>
            <w:tcW w:w="2093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</w:tcBorders>
          </w:tcPr>
          <w:p>
            <w:pPr>
              <w:pStyle w:val="TableParagraph"/>
              <w:spacing w:before="20"/>
              <w:ind w:left="29"/>
              <w:rPr>
                <w:sz w:val="22"/>
              </w:rPr>
            </w:pPr>
            <w:r>
              <w:rPr>
                <w:w w:val="92"/>
                <w:sz w:val="22"/>
              </w:rPr>
              <w:t>–</w:t>
            </w:r>
          </w:p>
        </w:tc>
      </w:tr>
      <w:tr>
        <w:trPr>
          <w:trHeight w:val="309" w:hRule="atLeast"/>
        </w:trPr>
        <w:tc>
          <w:tcPr>
            <w:tcW w:w="1818" w:type="dxa"/>
            <w:tcBorders>
              <w:top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C03d</w:t>
            </w:r>
          </w:p>
        </w:tc>
        <w:tc>
          <w:tcPr>
            <w:tcW w:w="2097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w w:val="110"/>
                <w:sz w:val="22"/>
              </w:rPr>
              <w:t>2 405,11</w:t>
            </w:r>
          </w:p>
        </w:tc>
        <w:tc>
          <w:tcPr>
            <w:tcW w:w="2093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</w:tcBorders>
          </w:tcPr>
          <w:p>
            <w:pPr>
              <w:pStyle w:val="TableParagraph"/>
              <w:ind w:left="29"/>
              <w:rPr>
                <w:sz w:val="22"/>
              </w:rPr>
            </w:pPr>
            <w:r>
              <w:rPr>
                <w:w w:val="92"/>
                <w:sz w:val="22"/>
              </w:rPr>
              <w:t>–</w:t>
            </w:r>
          </w:p>
        </w:tc>
      </w:tr>
      <w:tr>
        <w:trPr>
          <w:trHeight w:val="307" w:hRule="atLeast"/>
        </w:trPr>
        <w:tc>
          <w:tcPr>
            <w:tcW w:w="1818" w:type="dxa"/>
            <w:tcBorders>
              <w:top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w w:val="105"/>
                <w:sz w:val="22"/>
              </w:rPr>
              <w:t>C25d</w:t>
            </w:r>
          </w:p>
        </w:tc>
        <w:tc>
          <w:tcPr>
            <w:tcW w:w="2097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spacing w:before="20"/>
              <w:ind w:left="31"/>
              <w:rPr>
                <w:sz w:val="22"/>
              </w:rPr>
            </w:pPr>
            <w:r>
              <w:rPr>
                <w:w w:val="110"/>
                <w:sz w:val="22"/>
              </w:rPr>
              <w:t>2 649,43</w:t>
            </w:r>
          </w:p>
        </w:tc>
        <w:tc>
          <w:tcPr>
            <w:tcW w:w="2093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</w:tcBorders>
          </w:tcPr>
          <w:p>
            <w:pPr>
              <w:pStyle w:val="TableParagraph"/>
              <w:spacing w:before="20"/>
              <w:ind w:left="29"/>
              <w:rPr>
                <w:sz w:val="22"/>
              </w:rPr>
            </w:pPr>
            <w:r>
              <w:rPr>
                <w:w w:val="110"/>
                <w:sz w:val="22"/>
              </w:rPr>
              <w:t>1 685,59</w:t>
            </w:r>
          </w:p>
        </w:tc>
      </w:tr>
      <w:tr>
        <w:trPr>
          <w:trHeight w:val="309" w:hRule="atLeast"/>
        </w:trPr>
        <w:tc>
          <w:tcPr>
            <w:tcW w:w="1818" w:type="dxa"/>
            <w:tcBorders>
              <w:top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C26d</w:t>
            </w:r>
          </w:p>
        </w:tc>
        <w:tc>
          <w:tcPr>
            <w:tcW w:w="2097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w w:val="110"/>
                <w:sz w:val="22"/>
              </w:rPr>
              <w:t>2 649,43</w:t>
            </w:r>
          </w:p>
        </w:tc>
        <w:tc>
          <w:tcPr>
            <w:tcW w:w="2093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</w:tcBorders>
          </w:tcPr>
          <w:p>
            <w:pPr>
              <w:pStyle w:val="TableParagraph"/>
              <w:ind w:left="29"/>
              <w:rPr>
                <w:sz w:val="22"/>
              </w:rPr>
            </w:pPr>
            <w:r>
              <w:rPr>
                <w:w w:val="110"/>
                <w:sz w:val="22"/>
              </w:rPr>
              <w:t>1 685,59</w:t>
            </w:r>
          </w:p>
        </w:tc>
      </w:tr>
      <w:tr>
        <w:trPr>
          <w:trHeight w:val="307" w:hRule="atLeast"/>
        </w:trPr>
        <w:tc>
          <w:tcPr>
            <w:tcW w:w="1818" w:type="dxa"/>
            <w:tcBorders>
              <w:top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C45d</w:t>
            </w:r>
          </w:p>
        </w:tc>
        <w:tc>
          <w:tcPr>
            <w:tcW w:w="2097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w w:val="110"/>
                <w:sz w:val="22"/>
              </w:rPr>
              <w:t>2 588,91</w:t>
            </w:r>
          </w:p>
        </w:tc>
        <w:tc>
          <w:tcPr>
            <w:tcW w:w="2093" w:type="dxa"/>
            <w:tcBorders>
              <w:top w:val="double" w:sz="3" w:space="0" w:color="E6E6E6"/>
              <w:left w:val="double" w:sz="3" w:space="0" w:color="E6E6E6"/>
              <w:bottom w:val="double" w:sz="3" w:space="0" w:color="E6E6E6"/>
            </w:tcBorders>
          </w:tcPr>
          <w:p>
            <w:pPr>
              <w:pStyle w:val="TableParagraph"/>
              <w:ind w:left="29"/>
              <w:rPr>
                <w:sz w:val="22"/>
              </w:rPr>
            </w:pPr>
            <w:r>
              <w:rPr>
                <w:w w:val="110"/>
                <w:sz w:val="22"/>
              </w:rPr>
              <w:t>2 281,83</w:t>
            </w:r>
          </w:p>
        </w:tc>
      </w:tr>
      <w:tr>
        <w:trPr>
          <w:trHeight w:val="303" w:hRule="atLeast"/>
        </w:trPr>
        <w:tc>
          <w:tcPr>
            <w:tcW w:w="1818" w:type="dxa"/>
            <w:tcBorders>
              <w:top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C56d</w:t>
            </w:r>
          </w:p>
        </w:tc>
        <w:tc>
          <w:tcPr>
            <w:tcW w:w="2097" w:type="dxa"/>
            <w:tcBorders>
              <w:top w:val="double" w:sz="3" w:space="0" w:color="E6E6E6"/>
              <w:left w:val="double" w:sz="3" w:space="0" w:color="E6E6E6"/>
              <w:right w:val="double" w:sz="3" w:space="0" w:color="E6E6E6"/>
            </w:tcBorders>
          </w:tcPr>
          <w:p>
            <w:pPr>
              <w:pStyle w:val="TableParagraph"/>
              <w:ind w:left="31"/>
              <w:rPr>
                <w:sz w:val="22"/>
              </w:rPr>
            </w:pPr>
            <w:r>
              <w:rPr>
                <w:w w:val="110"/>
                <w:sz w:val="22"/>
              </w:rPr>
              <w:t>2 588,91</w:t>
            </w:r>
          </w:p>
        </w:tc>
        <w:tc>
          <w:tcPr>
            <w:tcW w:w="2093" w:type="dxa"/>
            <w:tcBorders>
              <w:top w:val="double" w:sz="3" w:space="0" w:color="E6E6E6"/>
              <w:left w:val="double" w:sz="3" w:space="0" w:color="E6E6E6"/>
            </w:tcBorders>
          </w:tcPr>
          <w:p>
            <w:pPr>
              <w:pStyle w:val="TableParagraph"/>
              <w:ind w:left="29"/>
              <w:rPr>
                <w:sz w:val="22"/>
              </w:rPr>
            </w:pPr>
            <w:r>
              <w:rPr>
                <w:w w:val="110"/>
                <w:sz w:val="22"/>
              </w:rPr>
              <w:t>2 317,69</w:t>
            </w:r>
          </w:p>
        </w:tc>
      </w:tr>
    </w:tbl>
    <w:sectPr>
      <w:type w:val="continuous"/>
      <w:pgSz w:w="11910" w:h="16840"/>
      <w:pgMar w:top="1320" w:bottom="280" w:left="13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Gill Sans MT">
    <w:altName w:val="Gill Sans MT"/>
    <w:charset w:val="EE"/>
    <w:family w:val="swiss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cs-CZ" w:bidi="cs-CZ"/>
    </w:rPr>
  </w:style>
  <w:style w:styleId="BodyText" w:type="paragraph">
    <w:name w:val="Body Text"/>
    <w:basedOn w:val="Normal"/>
    <w:uiPriority w:val="1"/>
    <w:qFormat/>
    <w:pPr>
      <w:spacing w:before="12"/>
      <w:ind w:left="116"/>
    </w:pPr>
    <w:rPr>
      <w:rFonts w:ascii="Arial" w:hAnsi="Arial" w:eastAsia="Arial" w:cs="Arial"/>
      <w:b/>
      <w:bCs/>
      <w:sz w:val="22"/>
      <w:szCs w:val="22"/>
      <w:lang w:val="cs-CZ" w:eastAsia="cs-CZ" w:bidi="cs-CZ"/>
    </w:rPr>
  </w:style>
  <w:style w:styleId="ListParagraph" w:type="paragraph">
    <w:name w:val="List Paragraph"/>
    <w:basedOn w:val="Normal"/>
    <w:uiPriority w:val="1"/>
    <w:qFormat/>
    <w:pPr/>
    <w:rPr>
      <w:lang w:val="cs-CZ" w:eastAsia="cs-CZ" w:bidi="cs-CZ"/>
    </w:rPr>
  </w:style>
  <w:style w:styleId="TableParagraph" w:type="paragraph">
    <w:name w:val="Table Paragraph"/>
    <w:basedOn w:val="Normal"/>
    <w:uiPriority w:val="1"/>
    <w:qFormat/>
    <w:pPr>
      <w:spacing w:before="22"/>
      <w:ind w:left="25"/>
    </w:pPr>
    <w:rPr>
      <w:rFonts w:ascii="Gill Sans MT" w:hAnsi="Gill Sans MT" w:eastAsia="Gill Sans MT" w:cs="Gill Sans MT"/>
      <w:lang w:val="cs-CZ" w:eastAsia="cs-CZ" w:bidi="cs-CZ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Břachová Kamila Mgr.</dc:creator>
  <dcterms:created xsi:type="dcterms:W3CDTF">2026-02-04T12:32:14Z</dcterms:created>
  <dcterms:modified xsi:type="dcterms:W3CDTF">2026-02-04T12:32:14Z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2026-02-04T00:00:00Z</vt:filetime>
  </property>
</Properties>
</file>