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t>              </w:t>
      </w: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TEST-LINE, Clinical Diagnostics, s.r.o.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Křižíkova 68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612 00 Brno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        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631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0"/>
        <w:gridCol w:w="634"/>
      </w:tblGrid>
      <w:tr>
        <w:trPr/>
        <w:tc>
          <w:tcPr>
            <w:tcW w:w="568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BLUEBLOT-LINE BORRELIA IGG BD-BGL024 TESTLINE</w:t>
            </w:r>
          </w:p>
        </w:tc>
        <w:tc>
          <w:tcPr>
            <w:tcW w:w="634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568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BLUEBLOT-LINE BORRELIA IGM BD-BML024 TESTLINE</w:t>
            </w:r>
          </w:p>
        </w:tc>
        <w:tc>
          <w:tcPr>
            <w:tcW w:w="634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568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BLUEBLOT-LINE CHLAMYDIA IGA BD-CAL024  TESTLINE</w:t>
            </w:r>
          </w:p>
        </w:tc>
        <w:tc>
          <w:tcPr>
            <w:tcW w:w="634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568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BLUEBLOT-LINE CHLAMYDIA IGG BD-CGL024  TESTLINE</w:t>
            </w:r>
          </w:p>
        </w:tc>
        <w:tc>
          <w:tcPr>
            <w:tcW w:w="634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568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EIA BORRELIA RECOMBINANT IGG BRG192 TESTLINE</w:t>
            </w:r>
          </w:p>
        </w:tc>
        <w:tc>
          <w:tcPr>
            <w:tcW w:w="634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568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EIA BORRELIA RECOMBINANT IGM BRM192 TESTLINE</w:t>
            </w:r>
          </w:p>
        </w:tc>
        <w:tc>
          <w:tcPr>
            <w:tcW w:w="634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568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EIA CMV IGG CMG096 TESTLINE</w:t>
            </w:r>
          </w:p>
        </w:tc>
        <w:tc>
          <w:tcPr>
            <w:tcW w:w="634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568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EIA CMV IGM 96T CMM096 TESTLINE</w:t>
            </w:r>
          </w:p>
        </w:tc>
        <w:tc>
          <w:tcPr>
            <w:tcW w:w="634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568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EIA EBV EA-D IGG EAG096 TEST-LINE</w:t>
            </w:r>
          </w:p>
        </w:tc>
        <w:tc>
          <w:tcPr>
            <w:tcW w:w="634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568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EIA CHLAMYDIA PNEUMONIAE IGA CHPA96 TESTLINE</w:t>
            </w:r>
          </w:p>
        </w:tc>
        <w:tc>
          <w:tcPr>
            <w:tcW w:w="634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568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EIA CHLAMYDIA PNEUMONIAE IGG CHPG96 TESTLINE</w:t>
            </w:r>
          </w:p>
        </w:tc>
        <w:tc>
          <w:tcPr>
            <w:tcW w:w="634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568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EIA MYCOPLASMA REC IGA MYAR96 TESTLINE</w:t>
            </w:r>
          </w:p>
        </w:tc>
        <w:tc>
          <w:tcPr>
            <w:tcW w:w="634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568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EIA MYCOPLASMA REC IGG MYGR96 TESTLINE</w:t>
            </w:r>
          </w:p>
        </w:tc>
        <w:tc>
          <w:tcPr>
            <w:tcW w:w="634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5680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EIA TRANSGLUTAMINASE IGA tTA096 TESTLINE</w:t>
            </w:r>
          </w:p>
        </w:tc>
        <w:tc>
          <w:tcPr>
            <w:tcW w:w="634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631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5"/>
        <w:gridCol w:w="569"/>
      </w:tblGrid>
      <w:tr>
        <w:trPr/>
        <w:tc>
          <w:tcPr>
            <w:tcW w:w="5745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CHORUS BORDETELLA PERTUSSIS TOXIN IGA 81274 TESTLINE</w:t>
            </w:r>
          </w:p>
        </w:tc>
        <w:tc>
          <w:tcPr>
            <w:tcW w:w="569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5745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CHORUS BORDETELLA PERTUSSIS TOXIN IGG 81272 TESTLINE</w:t>
            </w:r>
          </w:p>
        </w:tc>
        <w:tc>
          <w:tcPr>
            <w:tcW w:w="569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  <w:tr>
        <w:trPr/>
        <w:tc>
          <w:tcPr>
            <w:tcW w:w="5745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CHORUS VARICELLA IGG 81078 TESTLINE</w:t>
            </w:r>
          </w:p>
        </w:tc>
        <w:tc>
          <w:tcPr>
            <w:tcW w:w="569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  <w:t xml:space="preserve">Oddělení společných laboratoří, 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FF0000"/>
          <w:spacing w:val="0"/>
        </w:rPr>
      </w:pPr>
      <w:r>
        <w:rPr>
          <w:caps w:val="false"/>
          <w:smallCaps w:val="false"/>
          <w:color w:val="FF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 položek oznamte, prosím, na výše uvedená telefonní čísla 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lékárník</w:t>
      </w: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LEK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drawing>
          <wp:inline distT="0" distB="0" distL="0" distR="0">
            <wp:extent cx="720090" cy="360045"/>
            <wp:effectExtent l="0" t="0" r="0" b="0"/>
            <wp:docPr id="1" name="Obrázek1" descr="Nemocnice Havlíčkův B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Nemocnice Havlíčkův Brod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img-1232000306362273101761807395410"/>
      <w:bookmarkEnd w:id="0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  <w:hyperlink r:id="rId3" w:tgtFrame="_blank">
        <w:r>
          <w:rPr>
            <w:rStyle w:val="Hyperlink"/>
            <w:rFonts w:ascii="Arial;Helvetica" w:hAnsi="Arial;Helvetica"/>
            <w:b/>
            <w:b w:val="false"/>
            <w:bCs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4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  <w:font w:name="Tahoma">
    <w:altName w:val="sans-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data:image/gif;base64,R0lGODlhAQABAAD/ACwAAAAAAQABAA" TargetMode="External"/><Relationship Id="rId3" Type="http://schemas.openxmlformats.org/officeDocument/2006/relationships/hyperlink" Target="mailto:hana.dolejsi@onhb.cz" TargetMode="External"/><Relationship Id="rId4" Type="http://schemas.openxmlformats.org/officeDocument/2006/relationships/hyperlink" Target="http://www.nemhb.cz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LibreOffice/25.2.7.2$Windows_X86_64 LibreOffice_project/5cbfd1ab6520636bb5f7b99185aa69bd7456825d</Application>
  <AppVersion>15.0000</AppVersion>
  <Pages>2</Pages>
  <Words>219</Words>
  <Characters>1362</Characters>
  <CharactersWithSpaces>1610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2026-02-02T13:39:15Z</dcterms:created>
  <dc:creator/>
  <dc:description/>
  <dc:language>cs-CZ</dc:language>
  <cp:lastModifiedBy/>
  <dcterms:modified xsi:type="dcterms:W3CDTF">2026-02-02T13:42:15Z</dcterms:modified>
  <cp:revision>1</cp:revision>
  <dc:subject/>
  <dc:title/>
</cp:coreProperties>
</file>