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F6F" w:rsidRDefault="009A193D">
      <w:pPr>
        <w:spacing w:after="0" w:line="259" w:lineRule="auto"/>
        <w:ind w:left="0" w:right="-35" w:firstLine="0"/>
        <w:jc w:val="right"/>
      </w:pPr>
      <w:r>
        <w:rPr>
          <w:noProof/>
        </w:rPr>
        <w:drawing>
          <wp:inline distT="0" distB="0" distL="0" distR="0">
            <wp:extent cx="1895475" cy="457200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                            </w:t>
      </w:r>
    </w:p>
    <w:p w:rsidR="00992F6F" w:rsidRDefault="009A193D">
      <w:pPr>
        <w:spacing w:after="566" w:line="259" w:lineRule="auto"/>
        <w:ind w:left="0" w:right="1366" w:firstLine="0"/>
        <w:jc w:val="right"/>
      </w:pPr>
      <w:r>
        <w:t xml:space="preserve"> </w:t>
      </w:r>
    </w:p>
    <w:p w:rsidR="00992F6F" w:rsidRDefault="009A193D">
      <w:pPr>
        <w:spacing w:after="0" w:line="259" w:lineRule="auto"/>
        <w:ind w:left="3721"/>
        <w:jc w:val="left"/>
      </w:pPr>
      <w:r>
        <w:rPr>
          <w:b/>
          <w:sz w:val="28"/>
        </w:rPr>
        <w:t xml:space="preserve">Dodatek č. 5 </w:t>
      </w:r>
    </w:p>
    <w:p w:rsidR="00992F6F" w:rsidRDefault="009A193D">
      <w:pPr>
        <w:spacing w:after="0" w:line="259" w:lineRule="auto"/>
        <w:ind w:left="943"/>
        <w:jc w:val="left"/>
      </w:pPr>
      <w:r>
        <w:rPr>
          <w:b/>
          <w:sz w:val="28"/>
        </w:rPr>
        <w:t xml:space="preserve">ke Smlouvě o poskytování a úhradě hrazených služeb </w:t>
      </w:r>
    </w:p>
    <w:p w:rsidR="00992F6F" w:rsidRDefault="009A193D">
      <w:pPr>
        <w:spacing w:after="0"/>
        <w:ind w:right="1407"/>
      </w:pPr>
      <w:r>
        <w:t>č. 2469F</w:t>
      </w:r>
      <w:proofErr w:type="gramStart"/>
      <w:r>
        <w:t>002  ze</w:t>
      </w:r>
      <w:proofErr w:type="gramEnd"/>
      <w:r>
        <w:t xml:space="preserve"> dne 4.12.2024 (dále jen „Smlouva“)  </w:t>
      </w:r>
    </w:p>
    <w:p w:rsidR="00992F6F" w:rsidRDefault="009A193D">
      <w:pPr>
        <w:spacing w:after="0"/>
        <w:ind w:left="4076" w:right="1407"/>
      </w:pPr>
      <w:r>
        <w:t xml:space="preserve">(OD 00035) </w:t>
      </w:r>
    </w:p>
    <w:p w:rsidR="00992F6F" w:rsidRDefault="009A193D">
      <w:pPr>
        <w:spacing w:after="0" w:line="259" w:lineRule="auto"/>
        <w:ind w:left="4537" w:firstLine="0"/>
        <w:jc w:val="left"/>
      </w:pPr>
      <w:r>
        <w:rPr>
          <w:sz w:val="20"/>
        </w:rPr>
        <w:t xml:space="preserve"> </w:t>
      </w:r>
    </w:p>
    <w:p w:rsidR="00992F6F" w:rsidRDefault="009A193D">
      <w:pPr>
        <w:spacing w:after="0" w:line="259" w:lineRule="auto"/>
        <w:ind w:left="4537" w:firstLine="0"/>
        <w:jc w:val="left"/>
      </w:pPr>
      <w:r>
        <w:rPr>
          <w:b/>
          <w:sz w:val="20"/>
        </w:rPr>
        <w:t xml:space="preserve"> </w:t>
      </w:r>
    </w:p>
    <w:p w:rsidR="00992F6F" w:rsidRDefault="009A193D">
      <w:pPr>
        <w:spacing w:after="0"/>
        <w:ind w:left="-5" w:right="1407"/>
      </w:pPr>
      <w:r>
        <w:t xml:space="preserve">uzavřené mezi smluvními stranami: </w:t>
      </w:r>
    </w:p>
    <w:p w:rsidR="00992F6F" w:rsidRDefault="009A193D">
      <w:pPr>
        <w:spacing w:after="2" w:line="259" w:lineRule="auto"/>
        <w:ind w:left="0" w:firstLine="0"/>
        <w:jc w:val="left"/>
      </w:pPr>
      <w:r>
        <w:t xml:space="preserve"> </w:t>
      </w:r>
    </w:p>
    <w:p w:rsidR="00992F6F" w:rsidRDefault="009A193D">
      <w:pPr>
        <w:spacing w:after="0" w:line="259" w:lineRule="auto"/>
        <w:ind w:left="4537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9290" w:type="dxa"/>
        <w:tblInd w:w="5" w:type="dxa"/>
        <w:tblCellMar>
          <w:top w:w="51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512"/>
        <w:gridCol w:w="5778"/>
      </w:tblGrid>
      <w:tr w:rsidR="00992F6F">
        <w:trPr>
          <w:trHeight w:val="56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F6F" w:rsidRDefault="009A193D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Poskytovatel zdravotních služeb: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F6F" w:rsidRDefault="009A193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Státní léčebné lázně Janské Lázně, </w:t>
            </w:r>
            <w:proofErr w:type="spellStart"/>
            <w:r>
              <w:rPr>
                <w:b/>
              </w:rPr>
              <w:t>s.p</w:t>
            </w:r>
            <w:proofErr w:type="spellEnd"/>
            <w:r>
              <w:rPr>
                <w:b/>
              </w:rPr>
              <w:t xml:space="preserve">. </w:t>
            </w:r>
          </w:p>
        </w:tc>
      </w:tr>
      <w:tr w:rsidR="00992F6F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6F" w:rsidRDefault="009A193D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Sídlo (obec): </w:t>
            </w:r>
            <w:r>
              <w:t xml:space="preserve">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6F" w:rsidRDefault="009A193D">
            <w:pPr>
              <w:spacing w:after="0" w:line="259" w:lineRule="auto"/>
              <w:ind w:left="0" w:firstLine="0"/>
              <w:jc w:val="left"/>
            </w:pPr>
            <w:r>
              <w:t xml:space="preserve">Janské Lázně </w:t>
            </w:r>
          </w:p>
        </w:tc>
      </w:tr>
      <w:tr w:rsidR="00992F6F">
        <w:trPr>
          <w:trHeight w:val="283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6F" w:rsidRDefault="009A193D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Ulice, č.p., PSČ: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6F" w:rsidRDefault="009A193D">
            <w:pPr>
              <w:spacing w:after="0" w:line="259" w:lineRule="auto"/>
              <w:ind w:left="0" w:firstLine="0"/>
              <w:jc w:val="left"/>
            </w:pPr>
            <w:r>
              <w:t xml:space="preserve">náměstí Svobody 272, 542 25 </w:t>
            </w:r>
          </w:p>
        </w:tc>
      </w:tr>
      <w:tr w:rsidR="00992F6F">
        <w:trPr>
          <w:trHeight w:val="737"/>
        </w:trPr>
        <w:tc>
          <w:tcPr>
            <w:tcW w:w="9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6F" w:rsidRDefault="009A193D">
            <w:pPr>
              <w:spacing w:after="67" w:line="259" w:lineRule="auto"/>
              <w:ind w:left="2" w:firstLine="0"/>
              <w:jc w:val="left"/>
            </w:pPr>
            <w:r>
              <w:rPr>
                <w:b/>
              </w:rPr>
              <w:t xml:space="preserve">Zápis v obchodním rejstříku: </w:t>
            </w:r>
          </w:p>
          <w:p w:rsidR="00992F6F" w:rsidRDefault="009A193D">
            <w:pPr>
              <w:tabs>
                <w:tab w:val="center" w:pos="404"/>
                <w:tab w:val="center" w:pos="340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  <w:r>
              <w:tab/>
              <w:t>Krajský soud Hradec Králové, oddíl A.XII, vložka 253, dne 1.7.1990</w:t>
            </w:r>
            <w:r>
              <w:rPr>
                <w:b/>
              </w:rPr>
              <w:t xml:space="preserve"> </w:t>
            </w:r>
          </w:p>
        </w:tc>
      </w:tr>
      <w:tr w:rsidR="00992F6F">
        <w:trPr>
          <w:trHeight w:val="85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F6F" w:rsidRDefault="009A193D">
            <w:pPr>
              <w:spacing w:after="54" w:line="259" w:lineRule="auto"/>
              <w:ind w:left="2" w:firstLine="0"/>
              <w:jc w:val="left"/>
            </w:pPr>
            <w:r>
              <w:rPr>
                <w:b/>
              </w:rPr>
              <w:t xml:space="preserve">Zastoupený  </w:t>
            </w:r>
          </w:p>
          <w:p w:rsidR="00992F6F" w:rsidRDefault="009A193D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(jméno, funkce):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F6F" w:rsidRDefault="009A193D">
            <w:pPr>
              <w:spacing w:after="0" w:line="259" w:lineRule="auto"/>
              <w:ind w:left="0" w:firstLine="0"/>
              <w:jc w:val="left"/>
            </w:pPr>
            <w:r>
              <w:t>XXX</w:t>
            </w:r>
            <w:r>
              <w:t xml:space="preserve">, ředitel </w:t>
            </w:r>
          </w:p>
        </w:tc>
      </w:tr>
      <w:tr w:rsidR="00992F6F">
        <w:trPr>
          <w:trHeight w:val="283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6F" w:rsidRDefault="009A193D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IČ: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6F" w:rsidRDefault="009A193D">
            <w:pPr>
              <w:spacing w:after="0" w:line="259" w:lineRule="auto"/>
              <w:ind w:left="0" w:firstLine="0"/>
              <w:jc w:val="left"/>
            </w:pPr>
            <w:r>
              <w:t xml:space="preserve">00024007 </w:t>
            </w:r>
          </w:p>
        </w:tc>
      </w:tr>
      <w:tr w:rsidR="00992F6F">
        <w:trPr>
          <w:trHeight w:val="283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6F" w:rsidRDefault="009A193D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IČZ: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6F" w:rsidRDefault="009A193D">
            <w:pPr>
              <w:spacing w:after="0" w:line="259" w:lineRule="auto"/>
              <w:ind w:left="0" w:firstLine="0"/>
              <w:jc w:val="left"/>
            </w:pPr>
            <w:r>
              <w:t xml:space="preserve">69022000 </w:t>
            </w:r>
          </w:p>
        </w:tc>
      </w:tr>
    </w:tbl>
    <w:p w:rsidR="00992F6F" w:rsidRDefault="009A193D">
      <w:pPr>
        <w:spacing w:after="220"/>
        <w:ind w:left="-5" w:right="1407"/>
      </w:pPr>
      <w:r>
        <w:t>(dále jen „</w:t>
      </w:r>
      <w:r>
        <w:rPr>
          <w:b/>
        </w:rPr>
        <w:t>Poskytovatel</w:t>
      </w:r>
      <w:r>
        <w:t xml:space="preserve">“) na straně jedné </w:t>
      </w:r>
    </w:p>
    <w:p w:rsidR="00992F6F" w:rsidRDefault="009A193D">
      <w:pPr>
        <w:spacing w:after="38"/>
        <w:ind w:left="-5" w:right="1407"/>
      </w:pPr>
      <w:r>
        <w:t xml:space="preserve">a </w:t>
      </w:r>
    </w:p>
    <w:p w:rsidR="00992F6F" w:rsidRDefault="009A193D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90" w:type="dxa"/>
        <w:tblInd w:w="5" w:type="dxa"/>
        <w:tblCellMar>
          <w:top w:w="4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512"/>
        <w:gridCol w:w="5778"/>
      </w:tblGrid>
      <w:tr w:rsidR="00992F6F">
        <w:trPr>
          <w:trHeight w:val="398"/>
        </w:trPr>
        <w:tc>
          <w:tcPr>
            <w:tcW w:w="9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6F" w:rsidRDefault="009A193D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>Všeobecná zdravotní pojišťovna České republiky</w:t>
            </w:r>
            <w:r>
              <w:t xml:space="preserve"> </w:t>
            </w:r>
          </w:p>
        </w:tc>
      </w:tr>
      <w:tr w:rsidR="00992F6F">
        <w:trPr>
          <w:trHeight w:val="283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6F" w:rsidRDefault="009A193D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Sídlo: 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6F" w:rsidRDefault="009A193D">
            <w:pPr>
              <w:spacing w:after="0" w:line="259" w:lineRule="auto"/>
              <w:ind w:left="0" w:firstLine="0"/>
              <w:jc w:val="left"/>
            </w:pPr>
            <w:r>
              <w:t xml:space="preserve">Orlická 4/2020, Praha 3, 130 00 </w:t>
            </w:r>
          </w:p>
        </w:tc>
      </w:tr>
      <w:tr w:rsidR="00992F6F">
        <w:trPr>
          <w:trHeight w:val="28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6F" w:rsidRDefault="009A193D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IČ: 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6F" w:rsidRDefault="009A193D">
            <w:pPr>
              <w:spacing w:after="0" w:line="259" w:lineRule="auto"/>
              <w:ind w:left="0" w:firstLine="0"/>
              <w:jc w:val="left"/>
            </w:pPr>
            <w:r>
              <w:t xml:space="preserve">41197518 </w:t>
            </w:r>
          </w:p>
        </w:tc>
      </w:tr>
      <w:tr w:rsidR="00992F6F">
        <w:trPr>
          <w:trHeight w:val="286"/>
        </w:trPr>
        <w:tc>
          <w:tcPr>
            <w:tcW w:w="9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6F" w:rsidRDefault="009A193D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Regionální pobočka Hradec Králové, pobočka pro Královehradecký a Pardubický kraj </w:t>
            </w:r>
          </w:p>
        </w:tc>
      </w:tr>
      <w:tr w:rsidR="00992F6F">
        <w:trPr>
          <w:trHeight w:val="85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F6F" w:rsidRDefault="009A193D">
            <w:pPr>
              <w:spacing w:after="55" w:line="259" w:lineRule="auto"/>
              <w:ind w:left="2" w:firstLine="0"/>
              <w:jc w:val="left"/>
            </w:pPr>
            <w:r>
              <w:rPr>
                <w:b/>
              </w:rPr>
              <w:t xml:space="preserve">Zastoupená  </w:t>
            </w:r>
          </w:p>
          <w:p w:rsidR="00992F6F" w:rsidRDefault="009A193D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(jméno a funkce): 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F6F" w:rsidRDefault="009A193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XXX</w:t>
            </w:r>
            <w:r>
              <w:t xml:space="preserve">, ředitel RP VZP ČR Hradec Králové, pobočky pro Královehradecký a Pardubický kraj </w:t>
            </w:r>
          </w:p>
        </w:tc>
      </w:tr>
      <w:tr w:rsidR="00992F6F">
        <w:trPr>
          <w:trHeight w:val="283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6F" w:rsidRDefault="009A193D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>Doručovací adresa (obec</w:t>
            </w:r>
            <w:proofErr w:type="gramStart"/>
            <w:r>
              <w:rPr>
                <w:b/>
              </w:rPr>
              <w:t xml:space="preserve">):   </w:t>
            </w:r>
            <w:proofErr w:type="gramEnd"/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6F" w:rsidRDefault="009A193D">
            <w:pPr>
              <w:spacing w:after="0" w:line="259" w:lineRule="auto"/>
              <w:ind w:left="0" w:firstLine="0"/>
              <w:jc w:val="left"/>
            </w:pPr>
            <w:r>
              <w:t xml:space="preserve">Pardubice </w:t>
            </w:r>
          </w:p>
        </w:tc>
      </w:tr>
      <w:tr w:rsidR="00992F6F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6F" w:rsidRDefault="009A193D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Ulice, č.p., PSČ: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6F" w:rsidRDefault="009A193D">
            <w:pPr>
              <w:spacing w:after="0" w:line="259" w:lineRule="auto"/>
              <w:ind w:left="0" w:firstLine="0"/>
              <w:jc w:val="left"/>
            </w:pPr>
            <w:r>
              <w:rPr>
                <w:color w:val="222222"/>
              </w:rPr>
              <w:t>Karla IV. 73, 530 02 Pardubice</w:t>
            </w:r>
            <w:r>
              <w:t xml:space="preserve"> </w:t>
            </w:r>
          </w:p>
        </w:tc>
      </w:tr>
    </w:tbl>
    <w:p w:rsidR="00992F6F" w:rsidRDefault="009A193D">
      <w:pPr>
        <w:spacing w:after="14"/>
        <w:ind w:left="-5" w:right="1407"/>
      </w:pPr>
      <w:r>
        <w:t>(dále jen „</w:t>
      </w:r>
      <w:r>
        <w:rPr>
          <w:b/>
        </w:rPr>
        <w:t>Pojišťovna</w:t>
      </w:r>
      <w:r>
        <w:t xml:space="preserve">“) na straně druhé </w:t>
      </w:r>
    </w:p>
    <w:p w:rsidR="00992F6F" w:rsidRDefault="009A193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992F6F" w:rsidRDefault="009A193D">
      <w:pPr>
        <w:spacing w:after="112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992F6F" w:rsidRDefault="009A193D">
      <w:pPr>
        <w:ind w:left="-15" w:right="1407" w:firstLine="4124"/>
      </w:pPr>
      <w:r>
        <w:rPr>
          <w:b/>
          <w:sz w:val="20"/>
        </w:rPr>
        <w:t xml:space="preserve">Článek I. </w:t>
      </w:r>
      <w:r>
        <w:t xml:space="preserve">1. Smluvní strany se dohodly, že úhrada hrazených služeb následné komplexní intenzivní léčebně rehabilitační péče dětských pacientů s </w:t>
      </w:r>
      <w:r>
        <w:t>diagnózou dětské mozkové obrny poskytnuté pojištěncům Pojišťovny v období  od 1. 1. 2026 do 31. 12. 2026 bude prováděna způsobem odpovídajícím vyhlášce č. 432/2025 Sb., o stanovení hodnot bodu, výše úhrad hrazených služeb, výše záloh na úhradu hrazených sl</w:t>
      </w:r>
      <w:r>
        <w:t>užeb a regulačních omezení  pro rok 2026 (dále jen „Vyhláška“) s výjimkami dohodnutými v souladu s § 17 odst. 5 větou šestou zákona č. 48/1997 Sb., o veřejném zdravotním pojištění a o změně a doplnění některých souvisejících zákonů, ve znění pozdějších pře</w:t>
      </w:r>
      <w:r>
        <w:t xml:space="preserve">dpisů (dále jen „ZVZP“),  uvedenými v  Článku III. tohoto Dodatku. </w:t>
      </w:r>
    </w:p>
    <w:p w:rsidR="00992F6F" w:rsidRDefault="009A193D">
      <w:pPr>
        <w:ind w:left="268" w:right="1407" w:hanging="283"/>
      </w:pPr>
      <w:r>
        <w:t xml:space="preserve">2. Smluvní strany prohlašují, že dohoda uvedená </w:t>
      </w:r>
      <w:proofErr w:type="gramStart"/>
      <w:r>
        <w:t>v  Článku</w:t>
      </w:r>
      <w:proofErr w:type="gramEnd"/>
      <w:r>
        <w:t xml:space="preserve"> III. tohoto Dodatku upravuje způsob a výši úhrady jiným způsobem, než jak pro výše uvedené období stanoví Vyhláška. Tímto prohláše</w:t>
      </w:r>
      <w:r>
        <w:t xml:space="preserve">ním a zveřejněním tohoto Dodatku smluvní strany plní svou povinnost dle § 17 odst. 9 věty čtvrté ZVZP. </w:t>
      </w:r>
    </w:p>
    <w:p w:rsidR="00992F6F" w:rsidRDefault="009A193D">
      <w:pPr>
        <w:spacing w:after="0" w:line="259" w:lineRule="auto"/>
        <w:ind w:left="4537" w:firstLine="0"/>
        <w:jc w:val="left"/>
      </w:pPr>
      <w:r>
        <w:rPr>
          <w:b/>
          <w:sz w:val="20"/>
        </w:rPr>
        <w:lastRenderedPageBreak/>
        <w:t xml:space="preserve"> </w:t>
      </w:r>
    </w:p>
    <w:p w:rsidR="00992F6F" w:rsidRDefault="009A193D">
      <w:pPr>
        <w:spacing w:after="498" w:line="259" w:lineRule="auto"/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92F6F" w:rsidRDefault="009A193D">
      <w:pPr>
        <w:spacing w:after="111" w:line="259" w:lineRule="auto"/>
        <w:ind w:left="10" w:right="1418"/>
        <w:jc w:val="center"/>
      </w:pPr>
      <w:r>
        <w:rPr>
          <w:b/>
          <w:sz w:val="20"/>
        </w:rPr>
        <w:t xml:space="preserve">Článek II. </w:t>
      </w:r>
    </w:p>
    <w:p w:rsidR="00992F6F" w:rsidRDefault="009A193D">
      <w:pPr>
        <w:numPr>
          <w:ilvl w:val="0"/>
          <w:numId w:val="1"/>
        </w:numPr>
        <w:ind w:right="1407" w:hanging="283"/>
      </w:pPr>
      <w:r>
        <w:t xml:space="preserve">Hrazené služby uvedené v Článku I. odst. 1 tohoto Dodatku poskytnuté pojištěncům Pojišťovny v </w:t>
      </w:r>
      <w:proofErr w:type="gramStart"/>
      <w:r>
        <w:t>období  od</w:t>
      </w:r>
      <w:proofErr w:type="gramEnd"/>
      <w:r>
        <w:t xml:space="preserve"> 1. 1. 2026 do 31. 12. 2026 </w:t>
      </w:r>
      <w:r>
        <w:t xml:space="preserve">budou vykazovány následujícím způsobem:  </w:t>
      </w:r>
    </w:p>
    <w:p w:rsidR="00992F6F" w:rsidRDefault="009A193D">
      <w:pPr>
        <w:numPr>
          <w:ilvl w:val="1"/>
          <w:numId w:val="1"/>
        </w:numPr>
        <w:ind w:right="1407" w:hanging="281"/>
      </w:pPr>
      <w:r>
        <w:t>kódem výkonu ošetřovacího dne 00035 - Ošetřovací den následné komplexní intenzivní léčebně rehabilitační péče dětských pacientů s diagnózou dětské mozkové obrny, uvedeným ve vyhlášce č. 134/1998 Sb., kterou se vydá</w:t>
      </w:r>
      <w:r>
        <w:t xml:space="preserve">vá seznam zdravotních výkonů s bodovými hodnotami, ve znění pozdějších předpisů (dále jen „seznam výkonů“),  </w:t>
      </w:r>
    </w:p>
    <w:p w:rsidR="00992F6F" w:rsidRDefault="009A193D">
      <w:pPr>
        <w:numPr>
          <w:ilvl w:val="1"/>
          <w:numId w:val="1"/>
        </w:numPr>
        <w:ind w:right="1407" w:hanging="281"/>
      </w:pPr>
      <w:r>
        <w:t>kódy výkonů klinických vyšetření pro příjmové a propouštěcí vyšetření provedené lékařem odbornosti rehabilitační a fyzikální medicína (cílené a ko</w:t>
      </w:r>
      <w:r>
        <w:t xml:space="preserve">mplexní) uvedenými v seznamu výkonů. </w:t>
      </w:r>
    </w:p>
    <w:p w:rsidR="00992F6F" w:rsidRDefault="009A193D">
      <w:pPr>
        <w:numPr>
          <w:ilvl w:val="0"/>
          <w:numId w:val="1"/>
        </w:numPr>
        <w:ind w:right="1407" w:hanging="283"/>
      </w:pPr>
      <w:r>
        <w:t xml:space="preserve">Hrazené služby vykázané kódem OD 00035 poskytované pojištěncům v období od 1. 1. 2026 do 31. 12. 2026: </w:t>
      </w:r>
    </w:p>
    <w:p w:rsidR="00992F6F" w:rsidRDefault="009A193D">
      <w:pPr>
        <w:numPr>
          <w:ilvl w:val="1"/>
          <w:numId w:val="1"/>
        </w:numPr>
        <w:spacing w:after="11" w:line="259" w:lineRule="auto"/>
        <w:ind w:right="1407" w:hanging="281"/>
      </w:pPr>
      <w:r>
        <w:t xml:space="preserve">budou hrazeny prostřednictvím paušálních sazeb za jeden den hospitalizace specifikovaných v příloze  </w:t>
      </w:r>
    </w:p>
    <w:p w:rsidR="00992F6F" w:rsidRDefault="009A193D">
      <w:pPr>
        <w:ind w:left="718" w:right="1407"/>
      </w:pPr>
      <w:r>
        <w:t xml:space="preserve">č. 1 tohoto </w:t>
      </w:r>
      <w:r>
        <w:t xml:space="preserve">Dodatku (dále jen „PS/OD“) s tím, že výše PS/OD je stanovena tak, že k hodnotě </w:t>
      </w:r>
      <w:proofErr w:type="gramStart"/>
      <w:r>
        <w:t>výkonů  OD</w:t>
      </w:r>
      <w:proofErr w:type="gramEnd"/>
      <w:r>
        <w:t xml:space="preserve"> 00035 stanovené dle seznamu výkonů je přiřazena režijní sazba k OD a hodnota kategorií pacienta v bodové hodnotě stanovené seznamem výkonů. Výsledná bodová hodnota je</w:t>
      </w:r>
      <w:r>
        <w:t xml:space="preserve"> vynásobena hodnotou bodu 1,34 Kč, </w:t>
      </w:r>
    </w:p>
    <w:p w:rsidR="00992F6F" w:rsidRDefault="009A193D">
      <w:pPr>
        <w:numPr>
          <w:ilvl w:val="1"/>
          <w:numId w:val="1"/>
        </w:numPr>
        <w:spacing w:after="96"/>
        <w:ind w:right="1407" w:hanging="281"/>
      </w:pPr>
      <w:r>
        <w:t xml:space="preserve">kód výkonu ošetřovacího dne 00035 zahrnuje všechny potřebné diagnostické a léčebně rehabilitační postupy, nutné k dosažení maximálních rehabilitačních cílů.  </w:t>
      </w:r>
    </w:p>
    <w:p w:rsidR="00992F6F" w:rsidRDefault="009A193D">
      <w:pPr>
        <w:spacing w:after="149" w:line="259" w:lineRule="auto"/>
        <w:ind w:left="708" w:firstLine="0"/>
        <w:jc w:val="left"/>
      </w:pPr>
      <w:r>
        <w:t xml:space="preserve"> </w:t>
      </w:r>
    </w:p>
    <w:p w:rsidR="00992F6F" w:rsidRDefault="009A193D">
      <w:pPr>
        <w:spacing w:after="111" w:line="259" w:lineRule="auto"/>
        <w:ind w:left="10" w:right="1421"/>
        <w:jc w:val="center"/>
      </w:pPr>
      <w:r>
        <w:rPr>
          <w:b/>
          <w:sz w:val="20"/>
        </w:rPr>
        <w:t xml:space="preserve">Článek III. </w:t>
      </w:r>
    </w:p>
    <w:p w:rsidR="00992F6F" w:rsidRDefault="009A193D">
      <w:pPr>
        <w:spacing w:after="94"/>
        <w:ind w:left="-5" w:right="1407"/>
      </w:pPr>
      <w:r>
        <w:t>1. Poskytovatel, který splňuje technické vybav</w:t>
      </w:r>
      <w:r>
        <w:t>ení, vykazuje u pacientů s extrémní obezitou současně s každým výkonem ošetřovacího dne 00035 podle vyhlášky č. 134/1998 Sb., kterou se vydává seznam zdravotních výkonů s bodovými hodnotami, ve znění pozdějších předpisů (dále jen „SZV“), výkon 99951 - (VZP</w:t>
      </w:r>
      <w:r>
        <w:t xml:space="preserve">) BONIFIKAČNÍ KÓD ZA HOSPITALIZACI PACIENTA S MORBIDNÍ OBEZITOU S HMOTNOSTÍ OD 160 KG DO 200 KG V LŮŽKOVÉ PÉČI nebo výkon 99952 - (VZP) BONIFIKAČNÍ KÓD ZA HOSPITALIZACI PACIENTA S MORBIDNÍ OBEZITOU S HMOTNOSTÍ NAD 200 KG V LŮŽKOVÉ PÉČI, sjednané v příloze </w:t>
      </w:r>
      <w:r>
        <w:t xml:space="preserve">č. 2 Smlouvy. 2. Bonifikace vyšší náročnosti ošetřovatelské péče o pacienty s extrémní obezitou bude provedena prostřednictvím úhrady výkonů 99951 a 99952 s hodnotou bodu ve výši 1,00 Kč, přičemž úhrada </w:t>
      </w:r>
      <w:proofErr w:type="gramStart"/>
      <w:r>
        <w:t>těchto  výkonů</w:t>
      </w:r>
      <w:proofErr w:type="gramEnd"/>
      <w:r>
        <w:t xml:space="preserve"> bude provedena nejpozději do 180 dnů p</w:t>
      </w:r>
      <w:r>
        <w:t xml:space="preserve">o skončení hodnoceného období. </w:t>
      </w:r>
    </w:p>
    <w:p w:rsidR="00992F6F" w:rsidRDefault="009A193D">
      <w:pPr>
        <w:spacing w:after="149" w:line="259" w:lineRule="auto"/>
        <w:ind w:left="283" w:firstLine="0"/>
        <w:jc w:val="left"/>
      </w:pPr>
      <w:r>
        <w:t xml:space="preserve"> </w:t>
      </w:r>
    </w:p>
    <w:p w:rsidR="00992F6F" w:rsidRDefault="009A193D">
      <w:pPr>
        <w:spacing w:after="111" w:line="259" w:lineRule="auto"/>
        <w:ind w:left="10" w:right="1419"/>
        <w:jc w:val="center"/>
      </w:pPr>
      <w:r>
        <w:rPr>
          <w:b/>
          <w:sz w:val="20"/>
        </w:rPr>
        <w:t xml:space="preserve">Článek IV. </w:t>
      </w:r>
    </w:p>
    <w:p w:rsidR="00992F6F" w:rsidRDefault="009A193D">
      <w:pPr>
        <w:numPr>
          <w:ilvl w:val="0"/>
          <w:numId w:val="2"/>
        </w:numPr>
        <w:ind w:right="1407" w:hanging="283"/>
      </w:pPr>
      <w:r>
        <w:t xml:space="preserve">Základní fakturační období je kalendářní měsíc. Poskytovatel předkládá Pojišťovně faktury v termínech dohodnutých ve Smlouvě.  </w:t>
      </w:r>
    </w:p>
    <w:p w:rsidR="00992F6F" w:rsidRDefault="009A193D">
      <w:pPr>
        <w:numPr>
          <w:ilvl w:val="0"/>
          <w:numId w:val="2"/>
        </w:numPr>
        <w:spacing w:after="96"/>
        <w:ind w:right="1407" w:hanging="283"/>
      </w:pPr>
      <w:r>
        <w:t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</w:t>
      </w:r>
      <w:r>
        <w:t xml:space="preserve"> Poskytovateli vyúčtování, v němž bude přeplatek uveden.   3. Hrazené služby poskytnuté v období před 1. 1. 2026 jsou vykazovány a hrazeny způsobem dohodnutým mezi smluvními stranami. Pro úhradu těchto hrazených služeb platí úhradová ujednání platná pro př</w:t>
      </w:r>
      <w:r>
        <w:t xml:space="preserve">íslušné kalendářní období, ve kterém byly hrazené služby poskytnuty. Takto dodatečně účtované hrazené </w:t>
      </w:r>
      <w:proofErr w:type="gramStart"/>
      <w:r>
        <w:t>služby  se</w:t>
      </w:r>
      <w:proofErr w:type="gramEnd"/>
      <w:r>
        <w:t xml:space="preserve"> vykazují samostatnou dávkou a samostatnou fakturou.    </w:t>
      </w:r>
    </w:p>
    <w:p w:rsidR="00992F6F" w:rsidRDefault="009A193D">
      <w:pPr>
        <w:spacing w:after="155" w:line="259" w:lineRule="auto"/>
        <w:ind w:left="0" w:firstLine="0"/>
        <w:jc w:val="left"/>
      </w:pPr>
      <w:r>
        <w:t xml:space="preserve"> </w:t>
      </w:r>
    </w:p>
    <w:p w:rsidR="00992F6F" w:rsidRDefault="009A193D">
      <w:pPr>
        <w:spacing w:after="111" w:line="259" w:lineRule="auto"/>
        <w:ind w:left="10" w:right="1422"/>
        <w:jc w:val="center"/>
      </w:pPr>
      <w:r>
        <w:rPr>
          <w:b/>
          <w:sz w:val="20"/>
        </w:rPr>
        <w:t xml:space="preserve">Článek V. </w:t>
      </w:r>
    </w:p>
    <w:p w:rsidR="00992F6F" w:rsidRDefault="009A193D">
      <w:pPr>
        <w:numPr>
          <w:ilvl w:val="0"/>
          <w:numId w:val="3"/>
        </w:numPr>
        <w:ind w:right="1407" w:hanging="283"/>
      </w:pPr>
      <w:r>
        <w:t>Tento Dodatek se stává nedílnou součástí Smlouvy a nabývá platnosti dnem j</w:t>
      </w:r>
      <w:r>
        <w:t xml:space="preserve">eho uzavření.  </w:t>
      </w:r>
    </w:p>
    <w:p w:rsidR="00992F6F" w:rsidRDefault="009A193D">
      <w:pPr>
        <w:numPr>
          <w:ilvl w:val="0"/>
          <w:numId w:val="3"/>
        </w:numPr>
        <w:ind w:right="1407" w:hanging="283"/>
      </w:pPr>
      <w:r>
        <w:t>Tento Dodatek upravuje práva a povinnosti smluvních stran v období od 1. 1. 2026 do 31. 12. 2026.</w:t>
      </w:r>
      <w:r>
        <w:rPr>
          <w:rFonts w:ascii="Times New Roman" w:eastAsia="Times New Roman" w:hAnsi="Times New Roman" w:cs="Times New Roman"/>
        </w:rPr>
        <w:t xml:space="preserve"> </w:t>
      </w:r>
    </w:p>
    <w:p w:rsidR="00992F6F" w:rsidRDefault="009A193D">
      <w:pPr>
        <w:numPr>
          <w:ilvl w:val="0"/>
          <w:numId w:val="3"/>
        </w:numPr>
        <w:ind w:right="1407" w:hanging="283"/>
      </w:pPr>
      <w:r>
        <w:t xml:space="preserve">Tento Dodatek je uzavírán v elektronické nebo listinné podobě. Dodatek v listinné podobě je </w:t>
      </w:r>
      <w:proofErr w:type="gramStart"/>
      <w:r>
        <w:t xml:space="preserve">vyhotoven  </w:t>
      </w:r>
      <w:r>
        <w:t>ve</w:t>
      </w:r>
      <w:proofErr w:type="gramEnd"/>
      <w:r>
        <w:t xml:space="preserve"> dvou stejnopisech, z nichž každá smluvní strana obdrží jedno vyhotovení. </w:t>
      </w:r>
    </w:p>
    <w:p w:rsidR="00992F6F" w:rsidRDefault="009A193D">
      <w:pPr>
        <w:numPr>
          <w:ilvl w:val="0"/>
          <w:numId w:val="3"/>
        </w:numPr>
        <w:ind w:right="1407" w:hanging="283"/>
      </w:pPr>
      <w:r>
        <w:t xml:space="preserve">Smluvní strany svým podpisem stvrzují, že tento Dodatek Smlouvy byl uzavřen podle jejich svobodné </w:t>
      </w:r>
      <w:proofErr w:type="gramStart"/>
      <w:r>
        <w:t>vůle  a</w:t>
      </w:r>
      <w:proofErr w:type="gramEnd"/>
      <w:r>
        <w:t xml:space="preserve"> že souhlasí s jeho obsahem. </w:t>
      </w:r>
    </w:p>
    <w:p w:rsidR="00992F6F" w:rsidRDefault="009A193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992F6F" w:rsidRDefault="009A193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992F6F" w:rsidRDefault="009A193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992F6F" w:rsidRDefault="009A193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2"/>
        </w:rPr>
        <w:lastRenderedPageBreak/>
        <w:t xml:space="preserve"> </w:t>
      </w:r>
    </w:p>
    <w:p w:rsidR="00992F6F" w:rsidRDefault="009A193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992F6F" w:rsidRDefault="009A193D">
      <w:pPr>
        <w:spacing w:after="5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992F6F" w:rsidRDefault="009A193D">
      <w:pPr>
        <w:spacing w:after="0" w:line="259" w:lineRule="auto"/>
        <w:ind w:left="0" w:right="1366" w:firstLine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92F6F" w:rsidRDefault="009A193D">
      <w:pPr>
        <w:spacing w:after="525" w:line="259" w:lineRule="auto"/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92F6F" w:rsidRDefault="009A193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Příloha č. 1 k dodatku ke Smlouvě </w:t>
      </w:r>
    </w:p>
    <w:p w:rsidR="00992F6F" w:rsidRDefault="009A193D">
      <w:pPr>
        <w:spacing w:after="114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992F6F" w:rsidRDefault="009A193D">
      <w:pPr>
        <w:pStyle w:val="Nadpis1"/>
        <w:spacing w:after="120"/>
        <w:ind w:left="0" w:right="1471"/>
      </w:pPr>
      <w:r>
        <w:t xml:space="preserve">Tabulka paušálních sazeb za ošetřovací den pro rok 2026 </w:t>
      </w:r>
    </w:p>
    <w:p w:rsidR="00992F6F" w:rsidRDefault="009A193D">
      <w:pPr>
        <w:spacing w:after="0" w:line="259" w:lineRule="auto"/>
        <w:ind w:left="194" w:firstLine="0"/>
        <w:jc w:val="left"/>
      </w:pPr>
      <w:r>
        <w:rPr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9015" w:type="dxa"/>
        <w:tblInd w:w="4" w:type="dxa"/>
        <w:tblCellMar>
          <w:top w:w="32" w:type="dxa"/>
          <w:left w:w="68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377"/>
        <w:gridCol w:w="1302"/>
        <w:gridCol w:w="1348"/>
        <w:gridCol w:w="1202"/>
        <w:gridCol w:w="1200"/>
        <w:gridCol w:w="1201"/>
        <w:gridCol w:w="1195"/>
        <w:gridCol w:w="1190"/>
      </w:tblGrid>
      <w:tr w:rsidR="00992F6F">
        <w:trPr>
          <w:trHeight w:val="532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F6F" w:rsidRDefault="009A193D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992F6F" w:rsidRDefault="009A193D">
            <w:pPr>
              <w:spacing w:after="0" w:line="259" w:lineRule="auto"/>
              <w:ind w:left="53" w:right="61" w:firstLine="0"/>
              <w:jc w:val="right"/>
            </w:pPr>
            <w:r>
              <w:rPr>
                <w:sz w:val="22"/>
              </w:rPr>
              <w:t xml:space="preserve">Název PZS: 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bottom"/>
          </w:tcPr>
          <w:p w:rsidR="00992F6F" w:rsidRDefault="009A193D">
            <w:pPr>
              <w:spacing w:after="0" w:line="259" w:lineRule="auto"/>
              <w:ind w:left="224" w:firstLine="0"/>
              <w:jc w:val="left"/>
            </w:pPr>
            <w:r>
              <w:rPr>
                <w:sz w:val="22"/>
              </w:rPr>
              <w:t xml:space="preserve">Státní léčebné lázně Janské Lázně, </w:t>
            </w:r>
            <w:proofErr w:type="spellStart"/>
            <w:r>
              <w:rPr>
                <w:sz w:val="22"/>
              </w:rPr>
              <w:t>s.p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2F6F" w:rsidRDefault="009A193D">
            <w:pPr>
              <w:spacing w:after="0" w:line="259" w:lineRule="auto"/>
              <w:ind w:left="223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92F6F">
        <w:trPr>
          <w:trHeight w:val="282"/>
        </w:trPr>
        <w:tc>
          <w:tcPr>
            <w:tcW w:w="37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2F6F" w:rsidRDefault="009A193D">
            <w:pPr>
              <w:spacing w:after="41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92F6F" w:rsidRDefault="009A193D">
            <w:pPr>
              <w:spacing w:after="684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92F6F" w:rsidRDefault="009A193D">
            <w:pPr>
              <w:spacing w:after="299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992F6F" w:rsidRDefault="009A193D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2F6F" w:rsidRDefault="009A193D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2"/>
              </w:rPr>
              <w:t xml:space="preserve">IČZ: 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99"/>
          </w:tcPr>
          <w:p w:rsidR="00992F6F" w:rsidRDefault="009A193D">
            <w:pPr>
              <w:tabs>
                <w:tab w:val="center" w:pos="714"/>
                <w:tab w:val="center" w:pos="2552"/>
                <w:tab w:val="center" w:pos="375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69022000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proofErr w:type="gramStart"/>
            <w:r>
              <w:rPr>
                <w:rFonts w:ascii="Calibri" w:eastAsia="Calibri" w:hAnsi="Calibri" w:cs="Calibri"/>
                <w:sz w:val="22"/>
              </w:rPr>
              <w:tab/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ab/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992F6F" w:rsidRDefault="009A193D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92F6F">
        <w:trPr>
          <w:trHeight w:val="2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92F6F" w:rsidRDefault="00992F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92F6F" w:rsidRDefault="009A193D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A 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92F6F" w:rsidRDefault="009A193D">
            <w:pPr>
              <w:spacing w:after="0" w:line="259" w:lineRule="auto"/>
              <w:ind w:left="0" w:right="5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B 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92F6F" w:rsidRDefault="009A193D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C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92F6F" w:rsidRDefault="009A193D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D 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92F6F" w:rsidRDefault="009A193D">
            <w:pPr>
              <w:spacing w:after="0" w:line="259" w:lineRule="auto"/>
              <w:ind w:left="0" w:right="6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E 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92F6F" w:rsidRDefault="009A193D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F 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92F6F" w:rsidRDefault="009A193D">
            <w:pPr>
              <w:spacing w:after="0" w:line="259" w:lineRule="auto"/>
              <w:ind w:left="0" w:right="6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G </w:t>
            </w:r>
          </w:p>
        </w:tc>
      </w:tr>
      <w:tr w:rsidR="00992F6F">
        <w:trPr>
          <w:trHeight w:val="9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92F6F" w:rsidRDefault="00992F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92F6F" w:rsidRDefault="009A193D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Kód ošetřovacího dne  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2F6F" w:rsidRDefault="009A193D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0"/>
              </w:rPr>
              <w:t xml:space="preserve">Odbornost </w:t>
            </w:r>
          </w:p>
        </w:tc>
        <w:tc>
          <w:tcPr>
            <w:tcW w:w="598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92F6F" w:rsidRDefault="009A193D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  <w:sz w:val="20"/>
              </w:rPr>
              <w:t xml:space="preserve">Hodnota paušální sazby za OD v Kč </w:t>
            </w:r>
          </w:p>
        </w:tc>
      </w:tr>
      <w:tr w:rsidR="00992F6F">
        <w:trPr>
          <w:trHeight w:val="1169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92F6F" w:rsidRDefault="00992F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92F6F" w:rsidRDefault="00992F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92F6F" w:rsidRDefault="00992F6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92F6F" w:rsidRDefault="009A193D">
            <w:pPr>
              <w:spacing w:after="0" w:line="241" w:lineRule="auto"/>
              <w:ind w:left="0" w:firstLine="0"/>
              <w:jc w:val="center"/>
            </w:pPr>
            <w:r>
              <w:rPr>
                <w:sz w:val="20"/>
              </w:rPr>
              <w:t xml:space="preserve">PSOD pro kategorii </w:t>
            </w:r>
          </w:p>
          <w:p w:rsidR="00992F6F" w:rsidRDefault="009A193D">
            <w:pPr>
              <w:spacing w:after="0" w:line="259" w:lineRule="auto"/>
              <w:ind w:left="71" w:firstLine="0"/>
              <w:jc w:val="left"/>
            </w:pPr>
            <w:r>
              <w:rPr>
                <w:sz w:val="20"/>
              </w:rPr>
              <w:t xml:space="preserve">pacienta 1 </w:t>
            </w:r>
          </w:p>
          <w:p w:rsidR="00992F6F" w:rsidRDefault="009A193D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(resp. 0)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92F6F" w:rsidRDefault="009A193D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PSOD pro kategorii pacienta 2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92F6F" w:rsidRDefault="009A193D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PSOD pro kategorii pacienta 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92F6F" w:rsidRDefault="009A193D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PSOD pro kategorii pacienta 4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2F6F" w:rsidRDefault="009A193D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PSOD pro kategorii pacienta 5 </w:t>
            </w:r>
          </w:p>
        </w:tc>
      </w:tr>
      <w:tr w:rsidR="00992F6F">
        <w:trPr>
          <w:trHeight w:val="280"/>
        </w:trPr>
        <w:tc>
          <w:tcPr>
            <w:tcW w:w="3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</w:tcPr>
          <w:p w:rsidR="00992F6F" w:rsidRDefault="009A193D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ř.1 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92F6F" w:rsidRDefault="009A193D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00735 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</w:tcPr>
          <w:p w:rsidR="00992F6F" w:rsidRDefault="009A193D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0"/>
              </w:rPr>
              <w:t xml:space="preserve">2U1 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92F6F" w:rsidRDefault="00992F6F">
            <w:pPr>
              <w:spacing w:after="0" w:line="259" w:lineRule="auto"/>
              <w:ind w:left="0" w:right="64" w:firstLine="0"/>
              <w:jc w:val="right"/>
            </w:pPr>
            <w:bookmarkStart w:id="0" w:name="_GoBack"/>
            <w:bookmarkEnd w:id="0"/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92F6F" w:rsidRDefault="00992F6F">
            <w:pPr>
              <w:spacing w:after="0" w:line="259" w:lineRule="auto"/>
              <w:ind w:left="0" w:right="63" w:firstLine="0"/>
              <w:jc w:val="right"/>
            </w:pPr>
          </w:p>
        </w:tc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92F6F" w:rsidRDefault="00992F6F">
            <w:pPr>
              <w:spacing w:after="0" w:line="259" w:lineRule="auto"/>
              <w:ind w:left="0" w:right="64" w:firstLine="0"/>
              <w:jc w:val="right"/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92F6F" w:rsidRDefault="00992F6F">
            <w:pPr>
              <w:spacing w:after="0" w:line="259" w:lineRule="auto"/>
              <w:ind w:left="0" w:right="63" w:firstLine="0"/>
              <w:jc w:val="right"/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92F6F" w:rsidRDefault="00992F6F">
            <w:pPr>
              <w:spacing w:after="0" w:line="259" w:lineRule="auto"/>
              <w:ind w:left="0" w:right="65" w:firstLine="0"/>
              <w:jc w:val="right"/>
            </w:pPr>
          </w:p>
        </w:tc>
      </w:tr>
    </w:tbl>
    <w:p w:rsidR="00992F6F" w:rsidRDefault="009A193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992F6F" w:rsidRDefault="009A193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992F6F" w:rsidRDefault="009A193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992F6F" w:rsidRDefault="009A193D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928"/>
        </w:tabs>
        <w:ind w:left="-15" w:firstLine="0"/>
        <w:jc w:val="left"/>
      </w:pPr>
      <w:r>
        <w:t xml:space="preserve">                    Za Poskytovatele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Za Pojišťovnu </w:t>
      </w:r>
    </w:p>
    <w:p w:rsidR="00992F6F" w:rsidRDefault="009A193D">
      <w:pPr>
        <w:pStyle w:val="Nadpis2"/>
      </w:pPr>
      <w:r>
        <w:t xml:space="preserve"> &lt;EP2_PODPIS&gt; </w:t>
      </w:r>
    </w:p>
    <w:p w:rsidR="00992F6F" w:rsidRDefault="009A193D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92F6F" w:rsidRDefault="009A193D">
      <w:pPr>
        <w:spacing w:after="0" w:line="259" w:lineRule="auto"/>
        <w:ind w:left="142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992F6F" w:rsidRDefault="009A193D">
      <w:pPr>
        <w:spacing w:after="6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992F6F" w:rsidRDefault="009A193D">
      <w:pPr>
        <w:spacing w:after="19" w:line="259" w:lineRule="auto"/>
        <w:ind w:left="0" w:firstLine="0"/>
        <w:jc w:val="left"/>
      </w:pPr>
      <w:r>
        <w:t xml:space="preserve"> </w:t>
      </w:r>
    </w:p>
    <w:p w:rsidR="00992F6F" w:rsidRDefault="009A193D">
      <w:pPr>
        <w:spacing w:after="459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:rsidR="00992F6F" w:rsidRDefault="009A193D">
      <w:pPr>
        <w:spacing w:after="456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992F6F" w:rsidRDefault="009A193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992F6F" w:rsidRDefault="009A193D">
      <w:pPr>
        <w:spacing w:after="42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992F6F" w:rsidRDefault="009A193D">
      <w:pPr>
        <w:spacing w:after="4323" w:line="259" w:lineRule="auto"/>
        <w:ind w:left="0" w:firstLine="0"/>
        <w:jc w:val="left"/>
      </w:pPr>
      <w:r>
        <w:t xml:space="preserve"> </w:t>
      </w:r>
    </w:p>
    <w:p w:rsidR="00992F6F" w:rsidRDefault="009A193D">
      <w:pPr>
        <w:spacing w:after="0" w:line="259" w:lineRule="auto"/>
        <w:ind w:left="0" w:right="1366" w:firstLine="0"/>
        <w:jc w:val="right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sectPr w:rsidR="00992F6F">
      <w:footerReference w:type="even" r:id="rId8"/>
      <w:footerReference w:type="default" r:id="rId9"/>
      <w:footerReference w:type="first" r:id="rId10"/>
      <w:pgSz w:w="11906" w:h="16838"/>
      <w:pgMar w:top="708" w:right="0" w:bottom="1121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A193D">
      <w:pPr>
        <w:spacing w:after="0" w:line="240" w:lineRule="auto"/>
      </w:pPr>
      <w:r>
        <w:separator/>
      </w:r>
    </w:p>
  </w:endnote>
  <w:endnote w:type="continuationSeparator" w:id="0">
    <w:p w:rsidR="00000000" w:rsidRDefault="009A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F6F" w:rsidRDefault="009A193D">
    <w:pPr>
      <w:spacing w:after="0" w:line="239" w:lineRule="auto"/>
      <w:ind w:left="0" w:right="1366" w:firstLine="8042"/>
      <w:jc w:val="left"/>
    </w:pPr>
    <w:r>
      <w:rPr>
        <w:sz w:val="16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6"/>
      </w:rPr>
      <w:t>3</w:t>
    </w:r>
    <w:r>
      <w:rPr>
        <w:sz w:val="16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F6F" w:rsidRDefault="009A193D">
    <w:pPr>
      <w:spacing w:after="0" w:line="239" w:lineRule="auto"/>
      <w:ind w:left="0" w:right="1366" w:firstLine="8042"/>
      <w:jc w:val="left"/>
    </w:pPr>
    <w:r>
      <w:rPr>
        <w:sz w:val="16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6"/>
      </w:rPr>
      <w:t>3</w:t>
    </w:r>
    <w:r>
      <w:rPr>
        <w:sz w:val="16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F6F" w:rsidRDefault="009A193D">
    <w:pPr>
      <w:spacing w:after="0" w:line="239" w:lineRule="auto"/>
      <w:ind w:left="0" w:right="1366" w:firstLine="8042"/>
      <w:jc w:val="left"/>
    </w:pPr>
    <w:r>
      <w:rPr>
        <w:sz w:val="16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6"/>
      </w:rPr>
      <w:t>3</w:t>
    </w:r>
    <w:r>
      <w:rPr>
        <w:sz w:val="16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A193D">
      <w:pPr>
        <w:spacing w:after="0" w:line="240" w:lineRule="auto"/>
      </w:pPr>
      <w:r>
        <w:separator/>
      </w:r>
    </w:p>
  </w:footnote>
  <w:footnote w:type="continuationSeparator" w:id="0">
    <w:p w:rsidR="00000000" w:rsidRDefault="009A1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E3A04"/>
    <w:multiLevelType w:val="hybridMultilevel"/>
    <w:tmpl w:val="DFB6EEC2"/>
    <w:lvl w:ilvl="0" w:tplc="42508C46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EB2B53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CCC5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29627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3C18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A443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C4CE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6255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AFAD3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9F1CCE"/>
    <w:multiLevelType w:val="hybridMultilevel"/>
    <w:tmpl w:val="991EA624"/>
    <w:lvl w:ilvl="0" w:tplc="1DD82A2E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4678FE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B68F4A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D074B6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4D82BC8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207E44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94F1E0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4A9D18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B28938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3C0F31"/>
    <w:multiLevelType w:val="hybridMultilevel"/>
    <w:tmpl w:val="DBEEF9CA"/>
    <w:lvl w:ilvl="0" w:tplc="6C1491D0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EA25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FFAE5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B5CB9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184F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D6B4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AB2CA2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58E5DE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AE4AC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F6F"/>
    <w:rsid w:val="00992F6F"/>
    <w:rsid w:val="009A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8284"/>
  <w15:docId w15:val="{2A5F867C-19D4-4A0E-9BAD-3FDC1F1A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30" w:line="266" w:lineRule="auto"/>
      <w:ind w:left="2463" w:hanging="10"/>
      <w:jc w:val="both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2"/>
      <w:ind w:left="3711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outlineLvl w:val="1"/>
    </w:pPr>
    <w:rPr>
      <w:rFonts w:ascii="Arial" w:eastAsia="Arial" w:hAnsi="Arial" w:cs="Arial"/>
      <w:b/>
      <w:color w:val="FFFFF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FFFFFF"/>
      <w:sz w:val="20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Statni lecebne lazne Janske Lazne, statni podnik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Srb</dc:creator>
  <cp:keywords/>
  <cp:lastModifiedBy>Šarlota Kondosová</cp:lastModifiedBy>
  <cp:revision>2</cp:revision>
  <dcterms:created xsi:type="dcterms:W3CDTF">2026-01-23T10:13:00Z</dcterms:created>
  <dcterms:modified xsi:type="dcterms:W3CDTF">2026-01-23T10:13:00Z</dcterms:modified>
</cp:coreProperties>
</file>