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Michal Jung</w:t>
            </w: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S. K. Neumanna 1007</w:t>
            </w: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363  01  Ostrov</w:t>
            </w: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87260492</w:t>
            </w: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AC374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2214" w:type="dxa"/>
            <w:gridSpan w:val="5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27.01.2026</w:t>
            </w:r>
          </w:p>
        </w:tc>
        <w:tc>
          <w:tcPr>
            <w:tcW w:w="6267" w:type="dxa"/>
            <w:gridSpan w:val="12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2214" w:type="dxa"/>
            <w:gridSpan w:val="5"/>
          </w:tcPr>
          <w:p w:rsidR="00AC374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OBJEDNÁVKA </w:t>
            </w:r>
            <w:r>
              <w:rPr>
                <w:rFonts w:ascii="Arial" w:hAnsi="Arial"/>
                <w:sz w:val="21"/>
              </w:rPr>
              <w:t>číslo:</w:t>
            </w:r>
          </w:p>
        </w:tc>
        <w:tc>
          <w:tcPr>
            <w:tcW w:w="2216" w:type="dxa"/>
            <w:gridSpan w:val="3"/>
          </w:tcPr>
          <w:p w:rsidR="00AC374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OBJ35-48340/2026</w:t>
            </w:r>
          </w:p>
          <w:p w:rsidR="00E10A3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13/26</w:t>
            </w:r>
          </w:p>
        </w:tc>
        <w:tc>
          <w:tcPr>
            <w:tcW w:w="870" w:type="dxa"/>
            <w:gridSpan w:val="3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C374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C374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C374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 </w:t>
            </w:r>
            <w:r>
              <w:rPr>
                <w:rFonts w:ascii="Arial" w:hAnsi="Arial"/>
                <w:sz w:val="18"/>
              </w:rPr>
              <w:t>CZK včetně DPH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Stavba: "Modernizace a rozšíření školního hřiště ZŠ 1. máje". Objednáváme výkon </w:t>
            </w:r>
            <w:r>
              <w:rPr>
                <w:rFonts w:ascii="Arial" w:hAnsi="Arial"/>
                <w:b/>
                <w:sz w:val="18"/>
              </w:rPr>
              <w:t>autorského dozoru (AD) na Stavbě podle vaší nabídky ze dne 26. ledna 2026, v rozsahu podle přílohy č.9 SAZEBNÍKU UNIKA. Výkon AD bude probíhat na základě výzvy zástupce objednatele v místě stavby, v sídle vykonavatele AD, případně na jiném místě, které vze</w:t>
            </w:r>
            <w:r>
              <w:rPr>
                <w:rFonts w:ascii="Arial" w:hAnsi="Arial"/>
                <w:b/>
                <w:sz w:val="18"/>
              </w:rPr>
              <w:t>jde z potřeb Stavby. Vykonavatel bude výkon AD účtovat na základě výkazu odpracovaných hodin, potvrzeného zástupcem objednatele. Č</w:t>
            </w:r>
            <w:r>
              <w:rPr>
                <w:rFonts w:ascii="Arial" w:hAnsi="Arial"/>
                <w:b/>
                <w:sz w:val="18"/>
              </w:rPr>
              <w:t>etnost fakturace: 1x měsíčně nebo za delší období.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AC374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114 950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stavby, v sídle objednatele, případně na jiném místě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r>
              <w:rPr>
                <w:rFonts w:ascii="Arial" w:hAnsi="Arial"/>
                <w:sz w:val="18"/>
              </w:rPr>
              <w:t>31.10.2026</w:t>
            </w: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479" w:type="dxa"/>
            <w:gridSpan w:val="2"/>
          </w:tcPr>
          <w:p w:rsidR="00AC37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bookmarkStart w:id="0" w:name="_GoBack"/>
            <w:bookmarkEnd w:id="0"/>
          </w:p>
        </w:tc>
        <w:tc>
          <w:tcPr>
            <w:tcW w:w="481" w:type="dxa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0" w:type="dxa"/>
            <w:gridSpan w:val="3"/>
          </w:tcPr>
          <w:p w:rsidR="00AC37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1924" w:type="dxa"/>
            <w:gridSpan w:val="4"/>
          </w:tcPr>
          <w:p w:rsidR="00AC37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AC374D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84" w:type="dxa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</w:t>
            </w:r>
            <w:r>
              <w:rPr>
                <w:rFonts w:ascii="Arial" w:hAnsi="Arial"/>
                <w:sz w:val="18"/>
              </w:rPr>
              <w:t>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</w:t>
            </w:r>
            <w:r>
              <w:rPr>
                <w:rFonts w:ascii="Arial" w:hAnsi="Arial"/>
                <w:sz w:val="18"/>
              </w:rPr>
              <w:t>0,- Kč bez DPH, bere dodavatel na vědomí, že objednávka bude zveřejněna v souladu se zákonem č. 340/2015 Sb.</w:t>
            </w: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84" w:type="dxa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84" w:type="dxa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</w:t>
            </w:r>
            <w:r>
              <w:rPr>
                <w:rFonts w:ascii="Arial" w:hAnsi="Arial"/>
                <w:sz w:val="18"/>
              </w:rPr>
              <w:t xml:space="preserve"> denně 0,05% z ceny dodávky bez DPH za každý započatý den prodlení. Smluvní pokutu může objednatel dodavateli odečíst z fakturované částky.</w:t>
            </w: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84" w:type="dxa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</w:t>
            </w:r>
            <w:r>
              <w:rPr>
                <w:rFonts w:ascii="Arial" w:hAnsi="Arial"/>
                <w:sz w:val="18"/>
              </w:rPr>
              <w:t>mínek uvedených v objednávce.</w:t>
            </w: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84" w:type="dxa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84" w:type="dxa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84" w:type="dxa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84" w:type="dxa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384" w:type="dxa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24 měsíců.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JEDNO POTVRZENÉ VYHOTOVENÍ OBJEDNÁVKY VRAŤTE OBRATEM </w:t>
            </w:r>
            <w:r>
              <w:rPr>
                <w:rFonts w:ascii="Arial" w:hAnsi="Arial"/>
                <w:b/>
                <w:sz w:val="18"/>
              </w:rPr>
              <w:t>ZPĚT.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</w:t>
            </w:r>
            <w:r>
              <w:rPr>
                <w:rFonts w:ascii="Arial" w:hAnsi="Arial"/>
                <w:sz w:val="18"/>
              </w:rPr>
              <w:t>tálu finanční správy.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dohodly pro případ, že by se dodavatel stal nespolehlivým plátcem (§ 106a zákona č.235/2004 Sb., o dani z přidané </w:t>
            </w:r>
            <w:r>
              <w:rPr>
                <w:rFonts w:ascii="Arial" w:hAnsi="Arial"/>
                <w:sz w:val="18"/>
              </w:rPr>
              <w:t>hodnoty, ve znění pozdějších předpisů), že objednatel zaplatí na veřejný účet dodavatele pouze základ DPH dle daňového dokladu a DPH zaplatí přímo na účet příslušného správce daně pod variabilním symbolem 87260492, konstantní symbol 1148, specifický symbol</w:t>
            </w:r>
            <w:r>
              <w:rPr>
                <w:rFonts w:ascii="Arial" w:hAnsi="Arial"/>
                <w:sz w:val="18"/>
              </w:rPr>
              <w:t xml:space="preserve"> 00254657 (§ 109a zákona o DPH).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Smluvní strany prohlašují, že se s obsahem objednávky před podpisem podrobně </w:t>
            </w:r>
            <w:r>
              <w:rPr>
                <w:rFonts w:ascii="Arial" w:hAnsi="Arial"/>
                <w:b/>
                <w:sz w:val="18"/>
              </w:rPr>
              <w:t>seznámily, a že tato odpovídá jejich svobodné vůli. Na důkaz toho připojuji své podpisy.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10A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Přílohy:</w:t>
            </w:r>
          </w:p>
          <w:p w:rsidR="00E10A3B" w:rsidP="00E10A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Vaše nabídka ze dne 26.ledna 2026 včetně poptávky ze 14. ledna 2026</w:t>
            </w:r>
          </w:p>
          <w:p w:rsidR="00E10A3B" w:rsidRPr="00E10A3B" w:rsidP="00E10A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Rozsah AD</w:t>
            </w: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10A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10A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10A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10A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10A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10A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9636" w:type="dxa"/>
            <w:gridSpan w:val="18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4815" w:type="dxa"/>
            <w:gridSpan w:val="9"/>
            <w:vAlign w:val="bottom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AC374D" w:rsidRPr="00E10A3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E10A3B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Tr="00E10A3B">
        <w:tblPrEx>
          <w:tblW w:w="9636" w:type="dxa"/>
          <w:tblLayout w:type="fixed"/>
          <w:tblCellMar>
            <w:top w:w="34" w:type="dxa"/>
            <w:left w:w="40" w:type="dxa"/>
            <w:bottom w:w="34" w:type="dxa"/>
            <w:right w:w="40" w:type="dxa"/>
          </w:tblCellMar>
          <w:tblLook w:val="0000"/>
        </w:tblPrEx>
        <w:trPr>
          <w:cantSplit/>
        </w:trPr>
        <w:tc>
          <w:tcPr>
            <w:tcW w:w="4815" w:type="dxa"/>
            <w:gridSpan w:val="9"/>
          </w:tcPr>
          <w:p w:rsidR="00AC37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AC374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 rozvoje a investic</w:t>
            </w:r>
          </w:p>
          <w:p w:rsidR="00E10A3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E10A3B"/>
    <w:p w:rsidR="00E10A3B" w:rsidRPr="00E10A3B" w:rsidP="00E10A3B"/>
    <w:p w:rsidR="00E10A3B" w:rsidRPr="00E10A3B" w:rsidP="00E10A3B"/>
    <w:p w:rsidR="00E10A3B" w:rsidRPr="00E10A3B" w:rsidP="00E10A3B"/>
    <w:p w:rsidR="00E10A3B" w:rsidRPr="00E10A3B" w:rsidP="00E10A3B"/>
    <w:p w:rsidR="00E10A3B" w:rsidRPr="00E10A3B" w:rsidP="00E10A3B"/>
    <w:p w:rsidR="00E10A3B" w:rsidRPr="00E10A3B" w:rsidP="00E10A3B"/>
    <w:p w:rsidR="00E10A3B" w:rsidRPr="00E10A3B" w:rsidP="00E10A3B"/>
    <w:p w:rsidR="00E10A3B" w:rsidRPr="00E10A3B" w:rsidP="00E10A3B"/>
    <w:p w:rsidR="00E10A3B" w:rsidRPr="00E10A3B" w:rsidP="00E10A3B"/>
    <w:p w:rsidR="00E10A3B" w:rsidP="00E10A3B"/>
    <w:p w:rsidR="00E10A3B" w:rsidP="00E10A3B">
      <w:pPr>
        <w:spacing w:after="0" w:line="240" w:lineRule="auto"/>
        <w:rPr>
          <w:rFonts w:ascii="Arial" w:hAnsi="Arial"/>
          <w:sz w:val="21"/>
        </w:rPr>
      </w:pPr>
      <w:r>
        <w:tab/>
      </w:r>
      <w:r>
        <w:rPr>
          <w:rFonts w:ascii="Arial" w:hAnsi="Arial"/>
          <w:sz w:val="21"/>
        </w:rPr>
        <w:t>OBJ35-48340/2026</w:t>
      </w:r>
    </w:p>
    <w:p w:rsidR="00000000" w:rsidRPr="00E10A3B" w:rsidP="00E10A3B">
      <w:pPr>
        <w:tabs>
          <w:tab w:val="left" w:pos="960"/>
        </w:tabs>
      </w:pPr>
    </w:p>
    <w:sectPr w:rsidSect="00E10A3B">
      <w:pgSz w:w="11903" w:h="16833"/>
      <w:pgMar w:top="1418" w:right="1134" w:bottom="1247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670C4F"/>
    <w:multiLevelType w:val="hybridMultilevel"/>
    <w:tmpl w:val="B7642950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EastAsia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4D"/>
    <w:rsid w:val="00AC374D"/>
    <w:rsid w:val="00E10A3B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CBE7EA-68C6-48FD-B836-1AC2A71F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4E98024</Template>
  <TotalTime>1</TotalTime>
  <Pages>2</Pages>
  <Words>625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2026-01-27T14:14:00Z</dcterms:created>
  <dcterms:modified xsi:type="dcterms:W3CDTF">2026-01-27T14:14:00Z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187/ORI/26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187/ORI/26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2.2.2026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&lt;TABLE&gt;&lt;TR&gt;&lt;TD&gt;Č.j.:&lt;/TD&gt;&lt;TD&gt;187/ORI/26&lt;/TD&gt;&lt;/TR&gt;&lt;TR&gt;&lt;TD&gt;&lt;/TD&gt;&lt;TD&gt;&lt;/TD&gt;&lt;/TR&gt;&lt;/TABLE&gt;</vt:lpwstr>
  </property>
  <property fmtid="{D5CDD505-2E9C-101B-9397-08002B2CF9AE}" pid="15" name="DisplayName_PoziceMa_Pisemnost">
    <vt:lpwstr>Ing. František Kocourek</vt:lpwstr>
  </property>
  <property fmtid="{D5CDD505-2E9C-101B-9397-08002B2CF9AE}" pid="16" name="DisplayName_PoziceNadrizena_PoziceMa_Pisemnost">
    <vt:lpwstr>Sekretariát ORI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rozvoje a investic</vt:lpwstr>
  </property>
  <property fmtid="{D5CDD505-2E9C-101B-9397-08002B2CF9AE}" pid="19" name="DisplayName_Spis_Pisemnost">
    <vt:lpwstr>ZŠ 1. máje, hřiště - výstavba</vt:lpwstr>
  </property>
  <property fmtid="{D5CDD505-2E9C-101B-9397-08002B2CF9AE}" pid="20" name="DisplayName_UserPoriz_Pisemnost">
    <vt:lpwstr>František Kocourek</vt:lpwstr>
  </property>
  <property fmtid="{D5CDD505-2E9C-101B-9397-08002B2CF9AE}" pid="21" name="DisplayName_User_PoziceNadrizena_PoziceMa_Pisemnost">
    <vt:lpwstr>Marcela Boháčková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MMKV-23809/26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*B006530227*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MMKV-23809/26</vt:lpwstr>
  </property>
  <property fmtid="{D5CDD505-2E9C-101B-9397-08002B2CF9AE}" pid="40" name="RC">
    <vt:lpwstr/>
  </property>
  <property fmtid="{D5CDD505-2E9C-101B-9397-08002B2CF9AE}" pid="41" name="SkartacniZnakLhuta_PisemnostZnak">
    <vt:lpwstr>V/10</vt:lpwstr>
  </property>
  <property fmtid="{D5CDD505-2E9C-101B-9397-08002B2CF9AE}" pid="42" name="SmlouvaCislo">
    <vt:lpwstr>OBJ35-48340/2026</vt:lpwstr>
  </property>
  <property fmtid="{D5CDD505-2E9C-101B-9397-08002B2CF9AE}" pid="43" name="SZ_Spis_Pisemnost">
    <vt:lpwstr>4652/26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2026 02 02 - ZŠ 1. máje, hřiště, autorský dozor - zveřejnění obj. v RS</vt:lpwstr>
  </property>
  <property fmtid="{D5CDD505-2E9C-101B-9397-08002B2CF9AE}" pid="48" name="Zkratka_SpisovyUzel_PoziceZodpo_Pisemnost">
    <vt:lpwstr>ORI</vt:lpwstr>
  </property>
</Properties>
</file>