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31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31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Dodatek </w:t>
      </w:r>
      <w:r>
        <w:rPr>
          <w:b w:val="true"/>
          <w:color w:val="#000000"/>
          <w:sz w:val="31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č. 1 ke smlouvě o zajištění stravování</w:t>
      </w:r>
    </w:p>
    <w:p>
      <w:pPr>
        <w:ind w:right="0" w:left="0" w:firstLine="0"/>
        <w:spacing w:before="216" w:after="0" w:line="211" w:lineRule="auto"/>
        <w:jc w:val="left"/>
        <w:rPr>
          <w:b w:val="true"/>
          <w:color w:val="#000000"/>
          <w:sz w:val="31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31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ŠJ </w:t>
      </w: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GASTRON, Zuzana Vaní</w:t>
      </w:r>
      <w:r>
        <w:rPr>
          <w:b w:val="true"/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čková s.r.o.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24"/>
          <w:lang w:val="cs-CZ"/>
          <w:spacing w:val="-8"/>
          <w:w w:val="105"/>
          <w:strike w:val="false"/>
          <w:vertAlign w:val="baseline"/>
          <w:rFonts w:ascii="Times New Roman" w:hAnsi="Times New Roman"/>
        </w:rPr>
        <w:t xml:space="preserve">ČO: 25027051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sídlo: Ješt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ědská 354, 460 08 Liberec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zastoupený: Zuzanou Vaní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čkovou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bankovní spojení: </w:t>
      </w:r>
      <w:r>
        <w:rPr>
          <w:color w:val="#000000"/>
          <w:sz w:val="24"/>
          <w:lang w:val="cs-CZ"/>
          <w:spacing w:val="-3"/>
          <w:w w:val="105"/>
          <w:strike w:val="false"/>
          <w:vertAlign w:val="baseline"/>
          <w:rFonts w:ascii="Times New Roman" w:hAnsi="Times New Roman"/>
        </w:rPr>
        <w:t xml:space="preserve">27-1859990297/0100</w:t>
      </w:r>
    </w:p>
    <w:p>
      <w:pPr>
        <w:ind w:right="288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zapsaný v obchodním rejst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říku u Krajského soudu v Ústí nad Labem, odd. C, vložka </w:t>
      </w:r>
      <w:r>
        <w:rPr>
          <w:color w:val="#000000"/>
          <w:sz w:val="24"/>
          <w:lang w:val="cs-CZ"/>
          <w:spacing w:val="-2"/>
          <w:w w:val="105"/>
          <w:strike w:val="false"/>
          <w:vertAlign w:val="baseline"/>
          <w:rFonts w:ascii="Times New Roman" w:hAnsi="Times New Roman"/>
        </w:rPr>
        <w:t xml:space="preserve">12945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(dále jen poskytovatel)</w:t>
      </w:r>
    </w:p>
    <w:p>
      <w:pPr>
        <w:ind w:right="0" w:left="0" w:firstLine="0"/>
        <w:spacing w:before="360" w:after="0" w:line="170" w:lineRule="exact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</w:t>
      </w:r>
    </w:p>
    <w:p>
      <w:pPr>
        <w:ind w:right="1008" w:left="0" w:firstLine="0"/>
        <w:spacing w:before="288" w:after="0" w:line="240" w:lineRule="auto"/>
        <w:jc w:val="left"/>
        <w:rPr>
          <w:b w:val="true"/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St</w:t>
      </w:r>
      <w:r>
        <w:rPr>
          <w:b w:val="true"/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řední škola a Mateřská škola, Liberec, Na Bojišti 15, příspěvková organizace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IČO: 00671274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sídlo: Na Bojišti 15, </w:t>
      </w:r>
      <w:r>
        <w:rPr>
          <w:color w:val="#000000"/>
          <w:sz w:val="24"/>
          <w:lang w:val="cs-CZ"/>
          <w:spacing w:val="-1"/>
          <w:w w:val="105"/>
          <w:strike w:val="false"/>
          <w:vertAlign w:val="baseline"/>
          <w:rFonts w:ascii="Times New Roman" w:hAnsi="Times New Roman"/>
        </w:rPr>
        <w:t xml:space="preserve">460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10 Liberec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zastoupená: Ing. Zde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ňkem Krabsem, Ph.D., ředitelem školy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bankovní spojení: 30838461/0100</w:t>
      </w:r>
    </w:p>
    <w:p>
      <w:pPr>
        <w:ind w:right="432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zapsaná v obchodním rejst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říku u Krajského soudu v Ústí nad Labem, oddíl Pr, vložka 791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(dále jen škola)</w:t>
      </w:r>
    </w:p>
    <w:p>
      <w:pPr>
        <w:ind w:right="0" w:left="0" w:firstLine="0"/>
        <w:spacing w:before="288" w:after="0" w:line="240" w:lineRule="auto"/>
        <w:jc w:val="both"/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uzavírají v souladu se zákonem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č. </w:t>
      </w:r>
      <w:r>
        <w:rPr>
          <w:color w:val="#000000"/>
          <w:sz w:val="24"/>
          <w:lang w:val="cs-CZ"/>
          <w:spacing w:val="3"/>
          <w:w w:val="105"/>
          <w:strike w:val="false"/>
          <w:vertAlign w:val="baseline"/>
          <w:rFonts w:ascii="Times New Roman" w:hAnsi="Times New Roman"/>
        </w:rPr>
        <w:t xml:space="preserve">89/2012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Sb., občanský zákoník, ve znění pozdějších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předpisů, tento dodatek č. 1 ke smlouvě o zajištění stravování ze dne 1. 9. 2011 (dále jen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dodatek):</w:t>
      </w:r>
    </w:p>
    <w:p>
      <w:pPr>
        <w:ind w:right="0" w:left="432" w:firstLine="-360"/>
        <w:spacing w:before="576" w:after="0" w:line="240" w:lineRule="auto"/>
        <w:jc w:val="both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ředmětem dodatku je poskytování příspěvku školou na školní stravování poskytovateli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v období od 1. </w:t>
      </w:r>
      <w:r>
        <w:rPr>
          <w:b w:val="true"/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1.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2026 do 31. 12. 2026. Tento příspěvek je poskytovatel oprávněn použít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pouze k financování neinvestičních výdajů souvisejících se stravovacími službami, které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doplňují nebo podporují vzdělávání ve škole či školském zařízení nebo s nimi přímo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souvisí.</w:t>
      </w:r>
    </w:p>
    <w:p>
      <w:pPr>
        <w:ind w:right="0" w:left="432" w:firstLine="-360"/>
        <w:spacing w:before="288" w:after="0" w:line="240" w:lineRule="auto"/>
        <w:jc w:val="both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Škola uhradí poskytovateli p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říspěvek podle skutečného počtu stravovaných dětí, žáků,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studentů ve škole, který je uveden ve školní matrice pro příslušný školní rok, nejvýše však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do výše povoleného počtu dětí, žáků uvedeného v rejstříku škol a školských zařízení.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Přičemž roční objem se stanovuje zvlášt' na dítě v mateřské škole, žáka v základní škole,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žáka střední školy a studenta vyšší odborné školy.</w:t>
      </w:r>
    </w:p>
    <w:p>
      <w:pPr>
        <w:ind w:right="0" w:left="432" w:firstLine="-360"/>
        <w:spacing w:before="288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Výše p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říspěvku na jedno dítě, žáka, studenta je pro rok 2026 stanovena ve výši normativu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pro rok 2025, která byla stanovena MSMT pro soukromá zařízení školního stravování.</w:t>
      </w:r>
    </w:p>
    <w:p>
      <w:pPr>
        <w:ind w:right="0" w:left="432" w:firstLine="-360"/>
        <w:spacing w:before="252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Celková ro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ční výše příspěvku školy poskytovateli bude vypočtena jako součin normativu na jedno dítě, žáka, studenta a počtu vykázaných strávníků.</w:t>
      </w:r>
    </w:p>
    <w:p>
      <w:pPr>
        <w:ind w:right="0" w:left="432" w:firstLine="-360"/>
        <w:spacing w:before="288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Times New Roman" w:hAnsi="Times New Roman"/>
        </w:rPr>
        <w:t xml:space="preserve">Poskytovatel prohlašuje, že p</w:t>
      </w:r>
      <w:r>
        <w:rPr>
          <w:color w:val="#000000"/>
          <w:sz w:val="24"/>
          <w:lang w:val="cs-CZ"/>
          <w:spacing w:val="11"/>
          <w:w w:val="100"/>
          <w:strike w:val="false"/>
          <w:vertAlign w:val="baseline"/>
          <w:rFonts w:ascii="Times New Roman" w:hAnsi="Times New Roman"/>
        </w:rPr>
        <w:t xml:space="preserve">říspěvek dle odst. 4. pokryje náklady poskytovatele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 poskytovatel nebude po škole požadovat náhradu dalších nákladů.</w:t>
      </w:r>
    </w:p>
    <w:p>
      <w:pPr>
        <w:ind w:right="0" w:left="432" w:firstLine="-360"/>
        <w:spacing w:before="252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2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říspěvek bude poskytovateli hrazen zálohově, a to měsíčně, převodem finančních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prostředků na jeho bankovní účet.</w:t>
      </w:r>
    </w:p>
    <w:p>
      <w:pPr>
        <w:sectPr>
          <w:pgSz w:w="11563" w:h="16488" w:orient="portrait"/>
          <w:type w:val="nextPage"/>
          <w:textDirection w:val="lrTb"/>
          <w:pgMar w:bottom="1458" w:top="1340" w:right="1180" w:left="1243" w:header="720" w:footer="720"/>
          <w:titlePg w:val="false"/>
        </w:sectPr>
      </w:pPr>
    </w:p>
    <w:p>
      <w:pPr>
        <w:ind w:right="0" w:left="504" w:firstLine="-432"/>
        <w:spacing w:before="0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Pokud dojde v pr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ůběhu školního roku ke změně počtu dětí, žáků, studentů ve srovnání </w:t>
      </w:r>
      <w:r>
        <w:rPr>
          <w:color w:val="#000000"/>
          <w:sz w:val="24"/>
          <w:lang w:val="cs-CZ"/>
          <w:spacing w:val="2"/>
          <w:w w:val="100"/>
          <w:strike w:val="false"/>
          <w:vertAlign w:val="baseline"/>
          <w:rFonts w:ascii="Times New Roman" w:hAnsi="Times New Roman"/>
        </w:rPr>
        <w:t xml:space="preserve">s počtem, na který se poskytuje příspěvek, poskytovatel neprodleně tuto skutečnost 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písemně oznámí škole. Škola si vyhrazuje právo požádat poskytovatele o hodnověrné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prokázání skutečností souvisejících se změnou počtu dětí, žáků, studentů.</w:t>
      </w:r>
    </w:p>
    <w:p>
      <w:pPr>
        <w:ind w:right="0" w:left="504" w:firstLine="-432"/>
        <w:spacing w:before="252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Škola upraví výši p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říspěvku od měsíce následujícího po změně. Pro výpočet výše příspěvku 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na další měsíc se použije konečný počet dětí, žáků, studentů k poslednímu dni předchozího </w:t>
      </w:r>
      <w:r>
        <w:rPr>
          <w:color w:val="#000000"/>
          <w:sz w:val="24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měsíce. Vzniklý přeplatek nebo nedoplatek se zohlední při stanovení příspěvku na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následující období.</w:t>
      </w:r>
    </w:p>
    <w:p>
      <w:pPr>
        <w:ind w:right="0" w:left="504" w:firstLine="-432"/>
        <w:spacing w:before="288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Škola m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ůže odstoupit od smlouvy, zjistí-li Česká školní inspekce nebo jiný kontrolní orgán v průběhu školního roku závažné nedostatky v činnosti poskytovatele, nedojde-li k jiné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dohodě. Účinky odstoupení od smlouvy nastávají dnem doručení projevu vůle školy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odstoupit od smlouvy poskytovateli.</w:t>
      </w:r>
    </w:p>
    <w:p>
      <w:pPr>
        <w:ind w:right="0" w:left="504" w:firstLine="-432"/>
        <w:spacing w:before="288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V p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řípadě, že škola odstoupí od smlouvy, je poskytovatel povinen vrátit poskytnutý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příspěvek nejdéle do 15 kalendářních dnů ode dne doručení odstoupení, a to na účet školy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uvedený v záhlaví této smlouvy.</w:t>
      </w:r>
    </w:p>
    <w:p>
      <w:pPr>
        <w:ind w:right="0" w:left="504" w:firstLine="-432"/>
        <w:spacing w:before="288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V rámci finan</w:t>
      </w:r>
      <w:r>
        <w:rPr>
          <w:color w:val="#000000"/>
          <w:sz w:val="24"/>
          <w:lang w:val="cs-CZ"/>
          <w:spacing w:val="7"/>
          <w:w w:val="100"/>
          <w:strike w:val="false"/>
          <w:vertAlign w:val="baseline"/>
          <w:rFonts w:ascii="Times New Roman" w:hAnsi="Times New Roman"/>
        </w:rPr>
        <w:t xml:space="preserve">čního vypořádání je poskytovatel povinen vrátit přeplatky příspěvku 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za uplynulý kalendářní rok nejpozději do 10. ledna na účet školy uvedený v záhlaví této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smlouvy.</w:t>
      </w:r>
    </w:p>
    <w:p>
      <w:pPr>
        <w:ind w:right="0" w:left="504" w:firstLine="-432"/>
        <w:spacing w:before="288" w:after="0" w:line="240" w:lineRule="auto"/>
        <w:jc w:val="both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Tento dodatek se vyhotovuje ve t</w:t>
      </w:r>
      <w:r>
        <w:rPr>
          <w:color w:val="#000000"/>
          <w:sz w:val="24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řech vyhotoveních, která mají platnost originálu, z nichž 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obdrží jedno vyhotovení poskytovatel, dvě škola, která jedno vyhotovení předá Krajskému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úřadu Libereckého kraje, odboru školstvím mládeže, tělovýchovy a sportu. Pokud tento 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dodatek podepisuji obě smluvní strany uznávaným elektronickým podpisem dle zákona č. 297/2016 Sb., pak je uzavřen elektronicky a každá strana obdrží jeho elektronický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originál.</w:t>
      </w:r>
    </w:p>
    <w:p>
      <w:pPr>
        <w:ind w:right="0" w:left="504" w:firstLine="-432"/>
        <w:spacing w:before="216" w:after="864" w:line="240" w:lineRule="auto"/>
        <w:jc w:val="left"/>
        <w:tabs>
          <w:tab w:val="clear" w:pos="432"/>
          <w:tab w:val="decimal" w:pos="504"/>
        </w:tabs>
        <w:numPr>
          <w:ilvl w:val="0"/>
          <w:numId w:val="3"/>
        </w:numP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Tento dodatek nabývá platnosti dnem podpisu ob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ěma smluvními stranami a účinnosti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dnem 1. 1.2026.</w:t>
      </w:r>
    </w:p>
    <w:p>
      <w:pPr>
        <w:sectPr>
          <w:pgSz w:w="11563" w:h="16488" w:orient="portrait"/>
          <w:type w:val="nextPage"/>
          <w:textDirection w:val="lrTb"/>
          <w:pgMar w:bottom="2190" w:top="1480" w:right="1173" w:left="1250" w:header="720" w:footer="720"/>
          <w:titlePg w:val="false"/>
        </w:sectPr>
      </w:pPr>
    </w:p>
    <w:p>
      <w:pPr>
        <w:ind w:right="0" w:left="0" w:firstLine="0"/>
        <w:spacing w:before="1231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454pt;height:53.1pt;z-index:-1000;margin-left:0.3pt;margin-top:0pt;mso-wrap-distance-left:0pt;mso-wrap-distance-right:0pt"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5"/>
                    <w:gridCol w:w="1965"/>
                    <w:gridCol w:w="912"/>
                    <w:gridCol w:w="431"/>
                    <w:gridCol w:w="1642"/>
                    <w:gridCol w:w="1068"/>
                    <w:gridCol w:w="822"/>
                    <w:gridCol w:w="618"/>
                    <w:gridCol w:w="289"/>
                    <w:gridCol w:w="748"/>
                    <w:gridCol w:w="560"/>
                  </w:tblGrid>
                  <w:tr>
                    <w:trPr>
                      <w:trHeight w:val="177" w:hRule="exact"/>
                    </w:trPr>
                    <w:tc>
                      <w:tcPr>
                        <w:gridSpan w:val="4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3333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291" w:left="0" w:firstLine="0"/>
                          <w:spacing w:before="0" w:after="0" w:line="240" w:lineRule="auto"/>
                          <w:jc w:val="right"/>
                          <w:tabs>
                            <w:tab w:val="right" w:leader="dot" w:pos="3042"/>
                          </w:tabs>
                          <w:rPr>
                            <w:color w:val="#000000"/>
                            <w:sz w:val="2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V Liberci dne 	</w:t>
                        </w:r>
                        <w:r>
                          <w:rPr>
                            <w:color w:val="#000000"/>
                            <w:sz w:val="2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7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6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080" w:type="auto"/>
                        <w:textDirection w:val="lrTb"/>
                        <w:vAlign w:val="center"/>
                      </w:tcPr>
                      <w:p>
                        <w:pPr>
                          <w:ind w:right="418" w:left="0" w:firstLine="0"/>
                          <w:spacing w:before="0" w:after="0" w:line="240" w:lineRule="auto"/>
                          <w:jc w:val="right"/>
                          <w:tabs>
                            <w:tab w:val="right" w:leader="dot" w:pos="3687"/>
                          </w:tabs>
                          <w:rPr>
                            <w:color w:val="#000000"/>
                            <w:sz w:val="24"/>
                            <w:lang w:val="cs-CZ"/>
                            <w:spacing w:val="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24"/>
                            <w:lang w:val="cs-CZ"/>
                            <w:spacing w:val="6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V Liberci dne 	</w:t>
                        </w:r>
                        <w:r>
                          <w:rPr>
                            <w:color w:val="#000000"/>
                            <w:sz w:val="2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r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gridSpan w:val="4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333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7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604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6865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0" w:left="0"/>
                          <w:spacing w:before="0" w:after="0" w:line="240" w:lineRule="auto"/>
                          <w:jc w:val="center"/>
                        </w:pPr>
                        <w:r>
                          <w:drawing>
                            <wp:inline>
                              <wp:extent cx="511810" cy="561975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1810" cy="5619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748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77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dotted" w:sz="12" w:color="#000000"/>
                          <w:left w:val="none" w:sz="0" w:color="#000000"/>
                          <w:right w:val="none" w:sz="0" w:color="#000000"/>
                        </w:tcBorders>
                        <w:tcW w:w="852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080" w:type="auto"/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1990" w:type="auto"/>
                        <w:textDirection w:val="lrTb"/>
                        <w:vAlign w:val="top"/>
                      </w:tcPr>
                      <w:p>
                        <w:pPr>
                          <w:ind w:right="0" w:left="720"/>
                          <w:spacing w:before="0" w:after="72" w:line="255" w:lineRule="exact"/>
                          <w:jc w:val="right"/>
                        </w:pPr>
                        <w:r>
                          <w:drawing>
                            <wp:inline>
                              <wp:extent cx="781685" cy="161925"/>
                              <wp:docPr id="3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test1"/>
                                      <pic:cNvPicPr preferRelativeResize="false"/>
                                    </pic:nvPicPr>
                                    <pic:blipFill>
                                      <a:blip r:embed="d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85" cy="1619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0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333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7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604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6865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dotted" w:sz="11" w:color="#000000"/>
                          <w:left w:val="none" w:sz="0" w:color="#000000"/>
                          <w:right w:val="none" w:sz="0" w:color="#000000"/>
                        </w:tcBorders>
                        <w:tcW w:w="748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77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2" w:color="#000000"/>
                          <w:bottom w:val="dotted" w:sz="12" w:color="#000000"/>
                          <w:left w:val="none" w:sz="0" w:color="#000000"/>
                          <w:right w:val="none" w:sz="0" w:color="#000000"/>
                        </w:tcBorders>
                        <w:tcW w:w="852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080" w:type="auto"/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61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99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0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33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97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604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6865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1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48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77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dotted" w:sz="12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520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080" w:type="auto"/>
                        <w:textDirection w:val="lrTb"/>
                        <w:vAlign w:val="top"/>
                      </w:tcPr>
                      <w:p/>
                    </w:tc>
                  </w:tr>
                </w:tbl>
              </w:txbxContent>
            </v:textbox>
          </v:shape>
        </w:pict>
      </w:r>
    </w:p>
    <w:p>
      <w:pPr>
        <w:sectPr>
          <w:pgSz w:w="11563" w:h="16488" w:orient="portrait"/>
          <w:type w:val="continuous"/>
          <w:textDirection w:val="lrTb"/>
          <w:pgMar w:bottom="2190" w:top="1480" w:right="1185" w:left="1244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240"/>
      </w:tblGrid>
      <w:tr>
        <w:trPr>
          <w:trHeight w:val="1167" w:hRule="exact"/>
        </w:trPr>
        <w:tc>
          <w:tcPr>
            <w:gridSpan w:val="1"/>
            <w:tcBorders>
              <w:top w:val="single" w:sz="11" w:color="#49494D"/>
              <w:bottom w:val="none" w:sz="0" w:color="#000000"/>
              <w:left w:val="none" w:sz="0" w:color="#000000"/>
              <w:right w:val="none" w:sz="0" w:color="#000000"/>
            </w:tcBorders>
            <w:tcW w:w="3240" w:type="auto"/>
            <w:textDirection w:val="lrTb"/>
            <w:vAlign w:val="top"/>
          </w:tcPr>
          <w:p>
            <w:pPr>
              <w:ind w:right="0" w:left="648" w:firstLine="0"/>
              <w:spacing w:before="180" w:after="0" w:line="115" w:lineRule="exact"/>
              <w:jc w:val="left"/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ŠKOLNÍ JÍDELNA</w:t>
            </w:r>
          </w:p>
          <w:p>
            <w:pPr>
              <w:ind w:right="216" w:left="0" w:firstLine="0"/>
              <w:spacing w:before="0" w:after="0" w:line="324" w:lineRule="auto"/>
              <w:jc w:val="right"/>
              <w:rPr>
                <w:b w:val="true"/>
                <w:color w:val="#000000"/>
                <w:sz w:val="18"/>
                <w:lang w:val="cs-CZ"/>
                <w:spacing w:val="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22"/>
                <w:w w:val="100"/>
                <w:strike w:val="false"/>
                <w:vertAlign w:val="baseline"/>
                <w:rFonts w:ascii="Arial" w:hAnsi="Arial"/>
              </w:rPr>
              <w:t xml:space="preserve"> ASTRO </w:t>
            </w:r>
            <w:r>
              <w:rPr>
                <w:color w:val="#000000"/>
                <w:sz w:val="18"/>
                <w:lang w:val="cs-CZ"/>
                <w:spacing w:val="32"/>
                <w:w w:val="100"/>
                <w:strike w:val="false"/>
                <w:vertAlign w:val="baseline"/>
                <w:rFonts w:ascii="Tahoma" w:hAnsi="Tahoma"/>
              </w:rPr>
              <w:t xml:space="preserve">482 770 792</w:t>
            </w:r>
          </w:p>
          <w:p>
            <w:pPr>
              <w:ind w:right="72" w:left="144" w:firstLine="0"/>
              <w:spacing w:before="0" w:after="0" w:line="179" w:lineRule="exact"/>
              <w:jc w:val="both"/>
              <w:rPr>
                <w:b w:val="true"/>
                <w:color w:val="#000000"/>
                <w:sz w:val="19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Zuzana VANiCKOVÁ s. r. 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o. </w:t>
            </w:r>
            <w:r>
              <w:rPr>
                <w:color w:val="#000000"/>
                <w:sz w:val="18"/>
                <w:lang w:val="cs-CZ"/>
                <w:spacing w:val="20"/>
                <w:w w:val="100"/>
                <w:strike w:val="false"/>
                <w:vertAlign w:val="baseline"/>
                <w:rFonts w:ascii="Arial" w:hAnsi="Arial"/>
              </w:rPr>
              <w:t xml:space="preserve">LIBEREC VIII, Ješt</w:t>
            </w:r>
            <w:r>
              <w:rPr>
                <w:color w:val="#000000"/>
                <w:sz w:val="18"/>
                <w:lang w:val="cs-CZ"/>
                <w:spacing w:val="20"/>
                <w:w w:val="100"/>
                <w:strike w:val="false"/>
                <w:vertAlign w:val="baseline"/>
                <w:rFonts w:ascii="Arial" w:hAnsi="Arial"/>
              </w:rPr>
              <w:t xml:space="preserve">ědská </w:t>
            </w:r>
            <w:r>
              <w:rPr>
                <w:color w:val="#000000"/>
                <w:sz w:val="18"/>
                <w:lang w:val="cs-CZ"/>
                <w:spacing w:val="20"/>
                <w:w w:val="110"/>
                <w:strike w:val="false"/>
                <w:vertAlign w:val="baseline"/>
                <w:rFonts w:ascii="Arial" w:hAnsi="Arial"/>
              </w:rPr>
              <w:t xml:space="preserve">354 </w:t>
            </w:r>
            <w:r>
              <w:rPr>
                <w:b w:val="true"/>
                <w:color w:val="#000000"/>
                <w:sz w:val="15"/>
                <w:lang w:val="cs-CZ"/>
                <w:spacing w:val="20"/>
                <w:w w:val="100"/>
                <w:strike w:val="false"/>
                <w:u w:val="single"/>
                <w:vertAlign w:val="baseline"/>
                <w:rFonts w:ascii="Tahoma" w:hAnsi="Tahoma"/>
              </w:rPr>
              <w:t xml:space="preserve">Ič 25027051 </w:t>
            </w:r>
            <w:r>
              <w:rPr>
                <w:color w:val="#000000"/>
                <w:sz w:val="15"/>
                <w:lang w:val="cs-CZ"/>
                <w:spacing w:val="20"/>
                <w:w w:val="100"/>
                <w:strike w:val="false"/>
                <w:u w:val="single"/>
                <w:vertAlign w:val="baseline"/>
                <w:rFonts w:ascii="Tahoma" w:hAnsi="Tahoma"/>
              </w:rPr>
              <w:t xml:space="preserve">DIČ CZ25027051</w:t>
            </w:r>
            <w:r>
              <w:rPr>
                <w:color w:val="#000000"/>
                <w:sz w:val="29"/>
                <w:lang w:val="cs-CZ"/>
                <w:spacing w:val="10"/>
                <w:w w:val="135"/>
                <w:strike w:val="false"/>
                <w:vertAlign w:val="baseline"/>
                <w:rFonts w:ascii="Arial" w:hAnsi="Arial"/>
              </w:rPr>
              <w:t xml:space="preserve"> I</w:t>
            </w:r>
          </w:p>
        </w:tc>
      </w:tr>
    </w:tbl>
    <w:p>
      <w:pPr>
        <w:spacing w:before="0" w:after="113" w:line="20" w:lineRule="exact"/>
      </w:pPr>
    </w:p>
    <w:p>
      <w:pPr>
        <w:spacing w:before="157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240"/>
      </w:tblGrid>
      <w:tr>
        <w:trPr>
          <w:trHeight w:val="1123" w:hRule="exact"/>
        </w:trPr>
        <w:tc>
          <w:tcPr>
            <w:gridSpan w:val="1"/>
            <w:tcBorders>
              <w:top w:val="single" w:sz="5" w:color="#ACABB1"/>
              <w:bottom w:val="none" w:sz="0" w:color="#000000"/>
              <w:left w:val="single" w:sz="7" w:color="#ACAAB1"/>
              <w:right w:val="single" w:sz="5" w:color="#A4A3AA"/>
            </w:tcBorders>
            <w:tcW w:w="3240" w:type="auto"/>
            <w:textDirection w:val="lrTb"/>
            <w:vAlign w:val="top"/>
          </w:tcPr>
          <w:p>
            <w:pPr>
              <w:ind w:right="0" w:left="0" w:firstLine="0"/>
              <w:spacing w:before="72" w:after="0" w:line="240" w:lineRule="auto"/>
              <w:jc w:val="center"/>
              <w:rPr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br w:type="column"/>
            </w:r>
            <w:r>
              <w:rPr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St</w:t>
            </w:r>
            <w:r>
              <w:rPr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řední </w:t>
            </w:r>
            <w:r>
              <w:rPr>
                <w:color w:val="#000000"/>
                <w:sz w:val="18"/>
                <w:lang w:val="cs-CZ"/>
                <w:spacing w:val="16"/>
                <w:w w:val="100"/>
                <w:strike w:val="false"/>
                <w:vertAlign w:val="baseline"/>
                <w:rFonts w:ascii="Tahoma" w:hAnsi="Tahoma"/>
              </w:rPr>
              <w:t xml:space="preserve">škcja o t'Aceřská škola,
</w:t>
              <w:br/>
            </w:r>
            <w:r>
              <w:rPr>
                <w:color w:val="#000000"/>
                <w:sz w:val="18"/>
                <w:lang w:val="cs-CZ"/>
                <w:spacing w:val="16"/>
                <w:w w:val="100"/>
                <w:strike w:val="false"/>
                <w:vertAlign w:val="baseline"/>
                <w:rFonts w:ascii="Tahoma" w:hAnsi="Tahoma"/>
              </w:rPr>
              <w:t xml:space="preserve">Jibirec, Na </w:t>
            </w:r>
            <w:r>
              <w:rPr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Boišil 15</w:t>
            </w:r>
          </w:p>
          <w:p>
            <w:pPr>
              <w:ind w:right="0" w:left="0" w:firstLine="0"/>
              <w:spacing w:before="36" w:after="0" w:line="283" w:lineRule="auto"/>
              <w:jc w:val="center"/>
              <w:rPr>
                <w:i w:val="true"/>
                <w:color w:val="#000000"/>
                <w:sz w:val="15"/>
                <w:lang w:val="cs-CZ"/>
                <w:spacing w:val="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15"/>
                <w:lang w:val="cs-CZ"/>
                <w:spacing w:val="16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i w:val="true"/>
                <w:color w:val="#000000"/>
                <w:sz w:val="15"/>
                <w:lang w:val="cs-CZ"/>
                <w:spacing w:val="16"/>
                <w:w w:val="100"/>
                <w:strike w:val="false"/>
                <w:vertAlign w:val="baseline"/>
                <w:rFonts w:ascii="Verdana" w:hAnsi="Verdana"/>
              </w:rPr>
              <w:t xml:space="preserve">říspěvková organizace</w:t>
            </w:r>
          </w:p>
          <w:p>
            <w:pPr>
              <w:ind w:right="0" w:left="1296" w:firstLine="0"/>
              <w:spacing w:before="0" w:after="108" w:line="276" w:lineRule="auto"/>
              <w:jc w:val="left"/>
              <w:tabs>
                <w:tab w:val="right" w:leader="none" w:pos="3114"/>
              </w:tabs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48'; 151 099	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®</w:t>
            </w:r>
          </w:p>
        </w:tc>
      </w:tr>
    </w:tbl>
    <w:sectPr>
      <w:pgSz w:w="11563" w:h="16488" w:orient="portrait"/>
      <w:type w:val="continuous"/>
      <w:textDirection w:val="lrTb"/>
      <w:cols w:sep="0" w:num="2" w:space="0" w:equalWidth="0">
        <w:col w:w="3240" w:space="449"/>
        <w:col w:w="3240" w:space="0"/>
      </w:cols>
      <w:pgMar w:bottom="2190" w:top="1480" w:right="1901" w:left="267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4"/>
        <w:lang w:val="cs-CZ"/>
        <w:spacing w:val="2"/>
        <w:w w:val="100"/>
        <w:strike w:val="false"/>
        <w:vertAlign w:val="baseline"/>
        <w:rFonts w:ascii="Times New Roman" w:hAnsi="Times New Roman"/>
      </w:rPr>
    </w:lvl>
  </w:abstractNum>
  <w:abstractNum w:abstractNumId="2">
    <w:lvl w:ilvl="0">
      <w:numFmt w:val="decimal"/>
      <w:lvlText w:val="%1)"/>
      <w:start w:val="7"/>
      <w:lvlJc w:val="left"/>
      <w:pPr>
        <w:ind w:left="720"/>
        <w:tabs>
          <w:tab w:val="decimal" w:pos="432"/>
        </w:tabs>
      </w:pPr>
      <w:rPr>
        <w:color w:val="#000000"/>
        <w:sz w:val="24"/>
        <w:lang w:val="cs-CZ"/>
        <w:spacing w:val="3"/>
        <w:w w:val="100"/>
        <w:strike w:val="false"/>
        <w:vertAlign w:val="baseline"/>
        <w:rFonts w:ascii="Times New Roman" w:hAnsi="Times New Roman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image" Target="/word/media/image2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