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66B3" w14:textId="6EE552D4" w:rsidR="00E74FBB" w:rsidRPr="007812DE" w:rsidRDefault="00E74FBB" w:rsidP="00E74FBB">
      <w:pPr>
        <w:autoSpaceDE w:val="0"/>
        <w:autoSpaceDN w:val="0"/>
        <w:adjustRightInd w:val="0"/>
        <w:ind w:right="329"/>
        <w:jc w:val="center"/>
        <w:rPr>
          <w:rFonts w:ascii="Calibri" w:hAnsi="Calibri" w:cs="Calibri"/>
          <w:b/>
          <w:bCs/>
          <w:sz w:val="32"/>
          <w:szCs w:val="32"/>
        </w:rPr>
      </w:pPr>
      <w:bookmarkStart w:id="0" w:name="_Hlk57299207"/>
      <w:r>
        <w:rPr>
          <w:rFonts w:ascii="Calibri" w:hAnsi="Calibri" w:cs="Calibri"/>
          <w:b/>
          <w:bCs/>
          <w:sz w:val="32"/>
          <w:szCs w:val="32"/>
        </w:rPr>
        <w:t xml:space="preserve">Dodatek č. </w:t>
      </w:r>
      <w:r w:rsidR="005431C0">
        <w:rPr>
          <w:rFonts w:ascii="Calibri" w:hAnsi="Calibri" w:cs="Calibri"/>
          <w:b/>
          <w:bCs/>
          <w:sz w:val="32"/>
          <w:szCs w:val="32"/>
        </w:rPr>
        <w:t>6</w:t>
      </w:r>
      <w:r>
        <w:rPr>
          <w:rFonts w:ascii="Calibri" w:hAnsi="Calibri" w:cs="Calibri"/>
          <w:b/>
          <w:bCs/>
          <w:sz w:val="32"/>
          <w:szCs w:val="32"/>
        </w:rPr>
        <w:t xml:space="preserve"> ke </w:t>
      </w:r>
      <w:r w:rsidRPr="007812DE">
        <w:rPr>
          <w:rFonts w:ascii="Calibri" w:hAnsi="Calibri" w:cs="Calibri"/>
          <w:b/>
          <w:bCs/>
          <w:sz w:val="32"/>
          <w:szCs w:val="32"/>
        </w:rPr>
        <w:t>Smlouv</w:t>
      </w:r>
      <w:r>
        <w:rPr>
          <w:rFonts w:ascii="Calibri" w:hAnsi="Calibri" w:cs="Calibri"/>
          <w:b/>
          <w:bCs/>
          <w:sz w:val="32"/>
          <w:szCs w:val="32"/>
        </w:rPr>
        <w:t>ě</w:t>
      </w:r>
      <w:r w:rsidRPr="007812DE">
        <w:rPr>
          <w:rFonts w:ascii="Calibri" w:hAnsi="Calibri" w:cs="Calibri"/>
          <w:b/>
          <w:bCs/>
          <w:sz w:val="32"/>
          <w:szCs w:val="32"/>
        </w:rPr>
        <w:t xml:space="preserve"> o organizaci</w:t>
      </w:r>
    </w:p>
    <w:p w14:paraId="3B0C9A59" w14:textId="56FBAD4E" w:rsidR="00E74FBB" w:rsidRDefault="00E74FBB" w:rsidP="00E74FBB">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rekondičních služeb</w:t>
      </w:r>
    </w:p>
    <w:p w14:paraId="10345F6F" w14:textId="1B4E9236" w:rsidR="00311B2E" w:rsidRPr="00311B2E" w:rsidRDefault="00311B2E" w:rsidP="00E74FBB">
      <w:pPr>
        <w:autoSpaceDE w:val="0"/>
        <w:autoSpaceDN w:val="0"/>
        <w:adjustRightInd w:val="0"/>
        <w:ind w:right="329"/>
        <w:jc w:val="center"/>
        <w:rPr>
          <w:rFonts w:ascii="Calibri" w:hAnsi="Calibri" w:cs="Calibri"/>
        </w:rPr>
      </w:pPr>
      <w:r>
        <w:rPr>
          <w:rFonts w:ascii="Calibri" w:hAnsi="Calibri" w:cs="Calibri"/>
        </w:rPr>
        <w:t>(dále jen „</w:t>
      </w:r>
      <w:r w:rsidRPr="00311B2E">
        <w:rPr>
          <w:rFonts w:ascii="Calibri" w:hAnsi="Calibri" w:cs="Calibri"/>
          <w:b/>
          <w:bCs/>
        </w:rPr>
        <w:t>Dodatek</w:t>
      </w:r>
      <w:r>
        <w:rPr>
          <w:rFonts w:ascii="Calibri" w:hAnsi="Calibri" w:cs="Calibri"/>
        </w:rPr>
        <w:t>“)</w:t>
      </w:r>
    </w:p>
    <w:bookmarkEnd w:id="0"/>
    <w:p w14:paraId="6D8A2072" w14:textId="77777777" w:rsidR="00F258FA" w:rsidRPr="00F258FA" w:rsidRDefault="00F258FA" w:rsidP="00F258FA">
      <w:pPr>
        <w:autoSpaceDE w:val="0"/>
        <w:autoSpaceDN w:val="0"/>
        <w:adjustRightInd w:val="0"/>
        <w:ind w:right="329"/>
        <w:rPr>
          <w:rFonts w:ascii="Calibri" w:hAnsi="Calibri" w:cs="Calibri"/>
          <w:bCs/>
          <w:sz w:val="32"/>
          <w:szCs w:val="32"/>
        </w:rPr>
      </w:pPr>
    </w:p>
    <w:p w14:paraId="670BA6A1" w14:textId="3F808A92"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r w:rsidR="00EF584B">
        <w:rPr>
          <w:rFonts w:ascii="Calibri" w:hAnsi="Calibri" w:cs="Calibri"/>
          <w:b/>
          <w:bCs/>
        </w:rPr>
        <w:t xml:space="preserve"> </w:t>
      </w:r>
    </w:p>
    <w:p w14:paraId="45045A03" w14:textId="77777777" w:rsidR="00F258FA" w:rsidRPr="00F258FA" w:rsidRDefault="00F258FA" w:rsidP="00F258FA">
      <w:pPr>
        <w:autoSpaceDE w:val="0"/>
        <w:autoSpaceDN w:val="0"/>
        <w:adjustRightInd w:val="0"/>
        <w:ind w:right="329"/>
        <w:rPr>
          <w:rFonts w:ascii="Calibri" w:hAnsi="Calibri" w:cs="Calibri"/>
          <w:bCs/>
        </w:rPr>
      </w:pPr>
    </w:p>
    <w:p w14:paraId="52FDF1AA"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13428E33" w14:textId="77777777" w:rsidR="00917188"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914182" w:rsidRPr="00F258FA">
        <w:rPr>
          <w:rFonts w:ascii="Calibri" w:hAnsi="Calibri" w:cs="Calibri"/>
          <w:bCs/>
        </w:rPr>
        <w:t>Slezská Ostrava</w:t>
      </w:r>
      <w:r w:rsidR="00914182">
        <w:rPr>
          <w:rFonts w:ascii="Calibri" w:hAnsi="Calibri" w:cs="Calibri"/>
          <w:bCs/>
        </w:rPr>
        <w:t>,</w:t>
      </w:r>
      <w:r w:rsidR="00914182"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Ostrava,</w:t>
      </w:r>
    </w:p>
    <w:p w14:paraId="732CF905" w14:textId="64C41CD4" w:rsidR="00F258FA" w:rsidRPr="00F258FA" w:rsidRDefault="00917188" w:rsidP="00F258FA">
      <w:pPr>
        <w:autoSpaceDE w:val="0"/>
        <w:autoSpaceDN w:val="0"/>
        <w:adjustRightInd w:val="0"/>
        <w:ind w:right="329"/>
        <w:rPr>
          <w:rFonts w:ascii="Calibri" w:hAnsi="Calibri" w:cs="Calibri"/>
          <w:bCs/>
        </w:rPr>
      </w:pPr>
      <w:r>
        <w:rPr>
          <w:rFonts w:ascii="Calibri" w:hAnsi="Calibri" w:cs="Calibri"/>
          <w:bCs/>
        </w:rPr>
        <w:t>zapsaná v obchodním rejstříku vedeném Krajským soudem v</w:t>
      </w:r>
      <w:r w:rsidR="005E6BA0">
        <w:rPr>
          <w:rFonts w:ascii="Calibri" w:hAnsi="Calibri" w:cs="Calibri"/>
          <w:bCs/>
        </w:rPr>
        <w:t> </w:t>
      </w:r>
      <w:r>
        <w:rPr>
          <w:rFonts w:ascii="Calibri" w:hAnsi="Calibri" w:cs="Calibri"/>
          <w:bCs/>
        </w:rPr>
        <w:t>Ostravě</w:t>
      </w:r>
      <w:r w:rsidR="005E6BA0">
        <w:rPr>
          <w:rFonts w:ascii="Calibri" w:hAnsi="Calibri" w:cs="Calibri"/>
          <w:bCs/>
        </w:rPr>
        <w:t>, oddíl A XIV, vložka 554</w:t>
      </w:r>
      <w:r w:rsidR="00A63877">
        <w:rPr>
          <w:rFonts w:ascii="Calibri" w:hAnsi="Calibri" w:cs="Calibri"/>
          <w:bCs/>
        </w:rPr>
        <w:t xml:space="preserve"> </w:t>
      </w:r>
    </w:p>
    <w:p w14:paraId="1F5A3519"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62B3B25B" w14:textId="01F90F7A" w:rsidR="00F258FA" w:rsidRPr="00F258FA" w:rsidRDefault="00FC7799" w:rsidP="00F258FA">
      <w:pPr>
        <w:autoSpaceDE w:val="0"/>
        <w:autoSpaceDN w:val="0"/>
        <w:adjustRightInd w:val="0"/>
        <w:ind w:right="329"/>
        <w:rPr>
          <w:rFonts w:ascii="Calibri" w:hAnsi="Calibri" w:cs="Calibri"/>
          <w:bCs/>
        </w:rPr>
      </w:pPr>
      <w:r w:rsidRPr="00F258FA">
        <w:rPr>
          <w:rFonts w:ascii="Calibri" w:hAnsi="Calibri" w:cs="Calibri"/>
          <w:bCs/>
        </w:rPr>
        <w:t>IČ</w:t>
      </w:r>
      <w:r>
        <w:rPr>
          <w:rFonts w:ascii="Calibri" w:hAnsi="Calibri" w:cs="Calibri"/>
          <w:bCs/>
        </w:rPr>
        <w:t>O</w:t>
      </w:r>
      <w:r w:rsidRPr="00F258FA">
        <w:rPr>
          <w:rFonts w:ascii="Calibri" w:hAnsi="Calibri" w:cs="Calibri"/>
          <w:bCs/>
        </w:rPr>
        <w:t xml:space="preserve">: </w:t>
      </w:r>
      <w:r>
        <w:rPr>
          <w:rFonts w:ascii="Calibri" w:hAnsi="Calibri" w:cs="Calibri"/>
          <w:bCs/>
        </w:rPr>
        <w:t>47673036</w:t>
      </w:r>
    </w:p>
    <w:p w14:paraId="22CE48B1"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14:paraId="5EC77CE6" w14:textId="77777777" w:rsidR="00F258FA" w:rsidRPr="00F258FA" w:rsidRDefault="00F258FA" w:rsidP="00F258FA">
      <w:pPr>
        <w:autoSpaceDE w:val="0"/>
        <w:autoSpaceDN w:val="0"/>
        <w:adjustRightInd w:val="0"/>
        <w:ind w:right="329"/>
        <w:rPr>
          <w:rFonts w:ascii="Calibri" w:hAnsi="Calibri" w:cs="Calibri"/>
          <w:bCs/>
        </w:rPr>
      </w:pPr>
    </w:p>
    <w:p w14:paraId="260F7227"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399AF98A" w14:textId="77777777" w:rsidR="00F258FA" w:rsidRDefault="00F258FA" w:rsidP="00F258FA">
      <w:pPr>
        <w:autoSpaceDE w:val="0"/>
        <w:autoSpaceDN w:val="0"/>
        <w:adjustRightInd w:val="0"/>
        <w:ind w:right="329"/>
        <w:rPr>
          <w:rFonts w:ascii="Calibri" w:hAnsi="Calibri" w:cs="Calibri"/>
          <w:bCs/>
        </w:rPr>
      </w:pPr>
    </w:p>
    <w:p w14:paraId="5114F926" w14:textId="77777777" w:rsidR="00725A23" w:rsidRPr="00286498" w:rsidRDefault="00725A23" w:rsidP="00725A23">
      <w:pPr>
        <w:spacing w:line="276" w:lineRule="auto"/>
        <w:rPr>
          <w:rFonts w:cstheme="minorHAnsi"/>
          <w:b/>
          <w:bCs/>
        </w:rPr>
      </w:pPr>
      <w:r w:rsidRPr="00286498">
        <w:rPr>
          <w:rFonts w:cstheme="minorHAnsi"/>
          <w:b/>
          <w:bCs/>
        </w:rPr>
        <w:t>MSV Metal Studénka, a.s.</w:t>
      </w:r>
    </w:p>
    <w:p w14:paraId="2CA6FDCC" w14:textId="77777777" w:rsidR="00725A23" w:rsidRPr="00286498" w:rsidRDefault="00725A23" w:rsidP="00725A23">
      <w:pPr>
        <w:jc w:val="both"/>
        <w:rPr>
          <w:rFonts w:cstheme="minorHAnsi"/>
          <w:bCs/>
        </w:rPr>
      </w:pPr>
      <w:r w:rsidRPr="00286498">
        <w:rPr>
          <w:rFonts w:cstheme="minorHAnsi"/>
          <w:bCs/>
        </w:rPr>
        <w:t>se sídlem: R. Tomáška 859, 742 13 Studénka</w:t>
      </w:r>
    </w:p>
    <w:p w14:paraId="1D635088" w14:textId="73AB8BD6" w:rsidR="00725A23" w:rsidRPr="00286498" w:rsidRDefault="00725A23" w:rsidP="00725A23">
      <w:pPr>
        <w:jc w:val="both"/>
      </w:pPr>
      <w:r w:rsidRPr="00286498">
        <w:rPr>
          <w:rFonts w:cstheme="minorHAnsi"/>
          <w:bCs/>
        </w:rPr>
        <w:t xml:space="preserve">zastoupená: </w:t>
      </w:r>
      <w:proofErr w:type="spellStart"/>
      <w:r w:rsidR="00544132" w:rsidRPr="00544132">
        <w:rPr>
          <w:rFonts w:cstheme="minorHAnsi"/>
          <w:bCs/>
          <w:highlight w:val="black"/>
        </w:rPr>
        <w:t>xxx</w:t>
      </w:r>
      <w:proofErr w:type="spellEnd"/>
    </w:p>
    <w:p w14:paraId="06152795" w14:textId="4D1B31A5" w:rsidR="00725A23" w:rsidRPr="00286498" w:rsidRDefault="00725A23" w:rsidP="00725A23">
      <w:pPr>
        <w:ind w:left="708"/>
        <w:jc w:val="both"/>
      </w:pPr>
      <w:r w:rsidRPr="00286498">
        <w:t xml:space="preserve">           </w:t>
      </w:r>
      <w:proofErr w:type="spellStart"/>
      <w:r w:rsidR="00544132" w:rsidRPr="00544132">
        <w:rPr>
          <w:rFonts w:cstheme="minorHAnsi"/>
          <w:bCs/>
          <w:highlight w:val="black"/>
        </w:rPr>
        <w:t>xxx</w:t>
      </w:r>
      <w:proofErr w:type="spellEnd"/>
    </w:p>
    <w:p w14:paraId="749C3F1D" w14:textId="5412AF79" w:rsidR="00725A23" w:rsidRPr="00286498" w:rsidRDefault="00725A23" w:rsidP="00725A23">
      <w:pPr>
        <w:rPr>
          <w:rFonts w:cstheme="minorHAnsi"/>
          <w:bCs/>
        </w:rPr>
      </w:pPr>
      <w:r w:rsidRPr="00286498">
        <w:rPr>
          <w:rFonts w:cstheme="minorHAnsi"/>
          <w:bCs/>
        </w:rPr>
        <w:t>IČ</w:t>
      </w:r>
      <w:r>
        <w:rPr>
          <w:rFonts w:cstheme="minorHAnsi"/>
          <w:bCs/>
        </w:rPr>
        <w:t>O</w:t>
      </w:r>
      <w:r w:rsidRPr="00286498">
        <w:rPr>
          <w:rFonts w:cstheme="minorHAnsi"/>
          <w:bCs/>
        </w:rPr>
        <w:t xml:space="preserve">: 47675942  </w:t>
      </w:r>
    </w:p>
    <w:p w14:paraId="292E4062" w14:textId="77777777" w:rsidR="00725A23" w:rsidRPr="00286498" w:rsidRDefault="00725A23" w:rsidP="00725A23">
      <w:pPr>
        <w:rPr>
          <w:rFonts w:cstheme="minorHAnsi"/>
          <w:bCs/>
        </w:rPr>
      </w:pPr>
      <w:r w:rsidRPr="00286498">
        <w:rPr>
          <w:rFonts w:cstheme="minorHAnsi"/>
          <w:bCs/>
        </w:rPr>
        <w:t>DIČ: CZ47675942</w:t>
      </w:r>
    </w:p>
    <w:p w14:paraId="6E68CB63" w14:textId="77777777" w:rsidR="00725A23" w:rsidRPr="00F258FA" w:rsidRDefault="00725A23" w:rsidP="00725A23">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14:paraId="568562C3" w14:textId="77777777" w:rsidR="00B2222F" w:rsidRPr="00F258FA" w:rsidRDefault="00B2222F" w:rsidP="00B2222F">
      <w:pPr>
        <w:autoSpaceDE w:val="0"/>
        <w:autoSpaceDN w:val="0"/>
        <w:adjustRightInd w:val="0"/>
        <w:ind w:right="329"/>
        <w:jc w:val="both"/>
        <w:rPr>
          <w:rFonts w:ascii="Calibri" w:hAnsi="Calibri" w:cs="Calibri"/>
          <w:bCs/>
        </w:rPr>
      </w:pPr>
    </w:p>
    <w:p w14:paraId="562ABC1D" w14:textId="77777777" w:rsidR="00B2222F" w:rsidRPr="00F258FA" w:rsidRDefault="00B2222F" w:rsidP="00B2222F">
      <w:pPr>
        <w:autoSpaceDE w:val="0"/>
        <w:autoSpaceDN w:val="0"/>
        <w:adjustRightInd w:val="0"/>
        <w:ind w:right="329"/>
        <w:jc w:val="both"/>
        <w:rPr>
          <w:rFonts w:ascii="Calibri" w:hAnsi="Calibri" w:cs="Calibri"/>
          <w:bCs/>
        </w:rPr>
      </w:pPr>
      <w:r w:rsidRPr="00F258FA">
        <w:rPr>
          <w:rFonts w:ascii="Calibri" w:hAnsi="Calibri" w:cs="Calibri"/>
          <w:bCs/>
        </w:rPr>
        <w:t xml:space="preserve">společně </w:t>
      </w:r>
      <w:r>
        <w:rPr>
          <w:rFonts w:ascii="Calibri" w:hAnsi="Calibri" w:cs="Calibri"/>
          <w:bCs/>
        </w:rPr>
        <w:t xml:space="preserve">dále </w:t>
      </w:r>
      <w:r w:rsidRPr="00F258FA">
        <w:rPr>
          <w:rFonts w:ascii="Calibri" w:hAnsi="Calibri" w:cs="Calibri"/>
          <w:bCs/>
        </w:rPr>
        <w:t>také jako „</w:t>
      </w:r>
      <w:r w:rsidRPr="00F258FA">
        <w:rPr>
          <w:rFonts w:ascii="Calibri" w:hAnsi="Calibri" w:cs="Calibri"/>
          <w:b/>
          <w:bCs/>
        </w:rPr>
        <w:t>smluvní strany</w:t>
      </w:r>
      <w:r w:rsidRPr="00F258FA">
        <w:rPr>
          <w:rFonts w:ascii="Calibri" w:hAnsi="Calibri" w:cs="Calibri"/>
          <w:bCs/>
        </w:rPr>
        <w:t>“</w:t>
      </w:r>
    </w:p>
    <w:p w14:paraId="201EC6F7" w14:textId="77777777" w:rsidR="00F258FA" w:rsidRDefault="00F258FA" w:rsidP="00F258FA">
      <w:pPr>
        <w:autoSpaceDE w:val="0"/>
        <w:autoSpaceDN w:val="0"/>
        <w:adjustRightInd w:val="0"/>
        <w:ind w:right="329"/>
        <w:jc w:val="both"/>
        <w:rPr>
          <w:rFonts w:ascii="Calibri" w:hAnsi="Calibri" w:cs="Calibri"/>
          <w:bCs/>
        </w:rPr>
      </w:pPr>
    </w:p>
    <w:p w14:paraId="2F40EAB2" w14:textId="70E13B9C" w:rsidR="00F25000" w:rsidRPr="00F0627A" w:rsidRDefault="00F25000" w:rsidP="00F25000">
      <w:pPr>
        <w:autoSpaceDE w:val="0"/>
        <w:autoSpaceDN w:val="0"/>
        <w:adjustRightInd w:val="0"/>
        <w:ind w:right="329"/>
        <w:jc w:val="both"/>
        <w:rPr>
          <w:rFonts w:ascii="Calibri" w:hAnsi="Calibri" w:cs="Calibri"/>
          <w:bCs/>
        </w:rPr>
      </w:pPr>
      <w:r w:rsidRPr="00F0627A">
        <w:rPr>
          <w:rFonts w:ascii="Calibri" w:hAnsi="Calibri" w:cs="Calibri"/>
          <w:bCs/>
        </w:rPr>
        <w:t>se dohodly, že za účelem zlepšení zdravotních a sociálních služeb pro zaměstnance objednatele, kteří jsou pojištěnci RBP a pracují v prostředí se zvýšeným rizikem úrazů, vzniku nemocí z povolání či jiného poškození zdraví, stanoví pravidla pro organizaci a poskytování příspěvku na rekondiční služby. V souladu se zdravotně pojistným plánem na rok 2026 bude RBP v roce 2026 poskytovat příspěvek z fondu prevence ve výši 7 000 Kč při absolvování alespoň šesti denních pobytů, resp. ve výši 16 400 Kč při absolvování pobytů v délce dvanácti a více nocí. Příspěvek bude poskytnut osobám, které jsou zaměstnanci objednatele a současně pojištěnci RBP, a které budou čerpat rekondiční služby u poskytovatelů lázeňské léčebně rehabilitační péče v České republice. Konkrétní podmínky si smluvní strany sjednaly níže uvedeným způsobem.</w:t>
      </w:r>
    </w:p>
    <w:p w14:paraId="57C3BED5" w14:textId="77777777" w:rsidR="00685C6B" w:rsidRPr="00F258FA" w:rsidRDefault="00685C6B" w:rsidP="00F258FA">
      <w:pPr>
        <w:autoSpaceDE w:val="0"/>
        <w:autoSpaceDN w:val="0"/>
        <w:adjustRightInd w:val="0"/>
        <w:ind w:right="329"/>
        <w:jc w:val="both"/>
        <w:rPr>
          <w:rFonts w:ascii="Calibri" w:hAnsi="Calibri" w:cs="Calibri"/>
          <w:bCs/>
        </w:rPr>
      </w:pPr>
    </w:p>
    <w:p w14:paraId="74B302FB" w14:textId="0CE97936" w:rsidR="00F258FA" w:rsidRPr="00F258FA" w:rsidRDefault="00F258FA" w:rsidP="00F258FA">
      <w:pPr>
        <w:autoSpaceDE w:val="0"/>
        <w:autoSpaceDN w:val="0"/>
        <w:adjustRightInd w:val="0"/>
        <w:ind w:right="135"/>
        <w:jc w:val="both"/>
        <w:rPr>
          <w:rFonts w:ascii="Calibri" w:hAnsi="Calibri" w:cs="Calibri"/>
          <w:bCs/>
        </w:rPr>
      </w:pPr>
    </w:p>
    <w:p w14:paraId="12863A2B"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14:paraId="42723526" w14:textId="77777777" w:rsidR="00F258FA" w:rsidRPr="00F258FA" w:rsidRDefault="00F258FA" w:rsidP="00F258FA">
      <w:pPr>
        <w:autoSpaceDE w:val="0"/>
        <w:autoSpaceDN w:val="0"/>
        <w:adjustRightInd w:val="0"/>
        <w:ind w:right="329"/>
        <w:jc w:val="both"/>
        <w:rPr>
          <w:rFonts w:ascii="Calibri" w:hAnsi="Calibri" w:cs="Calibri"/>
          <w:bCs/>
        </w:rPr>
      </w:pPr>
    </w:p>
    <w:p w14:paraId="7DD8B6CC" w14:textId="35C16486" w:rsidR="00411655" w:rsidRDefault="00E74FBB" w:rsidP="00EA1D40">
      <w:pPr>
        <w:numPr>
          <w:ilvl w:val="0"/>
          <w:numId w:val="1"/>
        </w:numPr>
        <w:autoSpaceDE w:val="0"/>
        <w:autoSpaceDN w:val="0"/>
        <w:adjustRightInd w:val="0"/>
        <w:ind w:left="426" w:right="-6" w:hanging="426"/>
        <w:jc w:val="both"/>
        <w:rPr>
          <w:rFonts w:ascii="Calibri" w:hAnsi="Calibri" w:cs="Calibri"/>
        </w:rPr>
      </w:pPr>
      <w:r w:rsidRPr="00411655">
        <w:rPr>
          <w:rFonts w:ascii="Calibri" w:hAnsi="Calibri" w:cs="Calibri"/>
        </w:rPr>
        <w:t xml:space="preserve">Smluvní strany </w:t>
      </w:r>
      <w:r w:rsidR="00D25C4F" w:rsidRPr="00411655">
        <w:rPr>
          <w:rFonts w:ascii="Calibri" w:hAnsi="Calibri" w:cs="Calibri"/>
        </w:rPr>
        <w:t>prohlašují, že dne</w:t>
      </w:r>
      <w:r w:rsidRPr="00411655">
        <w:rPr>
          <w:rFonts w:ascii="Calibri" w:hAnsi="Calibri" w:cs="Calibri"/>
        </w:rPr>
        <w:t xml:space="preserve"> </w:t>
      </w:r>
      <w:r w:rsidR="0052126F">
        <w:rPr>
          <w:rFonts w:ascii="Calibri" w:hAnsi="Calibri" w:cs="Calibri"/>
        </w:rPr>
        <w:t>14. 1. 2020</w:t>
      </w:r>
      <w:r w:rsidR="0052126F" w:rsidRPr="00411655">
        <w:rPr>
          <w:rFonts w:ascii="Calibri" w:hAnsi="Calibri" w:cs="Calibri"/>
        </w:rPr>
        <w:t xml:space="preserve"> </w:t>
      </w:r>
      <w:r w:rsidR="00D25C4F" w:rsidRPr="00411655">
        <w:rPr>
          <w:rFonts w:ascii="Calibri" w:hAnsi="Calibri" w:cs="Calibri"/>
        </w:rPr>
        <w:t xml:space="preserve">uzavřely </w:t>
      </w:r>
      <w:r w:rsidRPr="00411655">
        <w:rPr>
          <w:rFonts w:ascii="Calibri" w:hAnsi="Calibri" w:cs="Calibri"/>
        </w:rPr>
        <w:t xml:space="preserve">Smlouvu o organizaci rekondičních služeb, </w:t>
      </w:r>
      <w:r w:rsidR="00B26AAA" w:rsidRPr="00411655">
        <w:rPr>
          <w:rFonts w:ascii="Calibri" w:hAnsi="Calibri" w:cs="Calibri"/>
        </w:rPr>
        <w:t xml:space="preserve">ve znění pozdějších dodatků, </w:t>
      </w:r>
      <w:r w:rsidRPr="00411655">
        <w:rPr>
          <w:rFonts w:ascii="Calibri" w:hAnsi="Calibri" w:cs="Calibri"/>
        </w:rPr>
        <w:t xml:space="preserve">na </w:t>
      </w:r>
      <w:r w:rsidR="00F0627A" w:rsidRPr="00411655">
        <w:rPr>
          <w:rFonts w:ascii="Calibri" w:hAnsi="Calibri" w:cs="Calibri"/>
        </w:rPr>
        <w:t>základě,</w:t>
      </w:r>
      <w:r w:rsidRPr="00411655">
        <w:rPr>
          <w:rFonts w:ascii="Calibri" w:hAnsi="Calibri" w:cs="Calibri"/>
        </w:rPr>
        <w:t xml:space="preserve"> které se RBP v souladu se zdravotně pojistným plánem</w:t>
      </w:r>
      <w:r w:rsidR="003E140D" w:rsidRPr="00411655">
        <w:rPr>
          <w:rFonts w:ascii="Calibri" w:hAnsi="Calibri" w:cs="Calibri"/>
        </w:rPr>
        <w:t xml:space="preserve"> </w:t>
      </w:r>
      <w:r w:rsidRPr="00411655">
        <w:rPr>
          <w:rFonts w:ascii="Calibri" w:hAnsi="Calibri" w:cs="Calibri"/>
        </w:rPr>
        <w:t>zavázala poskytovat</w:t>
      </w:r>
      <w:r w:rsidR="003E140D" w:rsidRPr="00411655">
        <w:rPr>
          <w:rFonts w:ascii="Calibri" w:hAnsi="Calibri" w:cs="Calibri"/>
        </w:rPr>
        <w:t xml:space="preserve"> </w:t>
      </w:r>
      <w:r w:rsidRPr="00411655">
        <w:rPr>
          <w:rFonts w:ascii="Calibri" w:hAnsi="Calibri" w:cs="Calibri"/>
        </w:rPr>
        <w:t>příspěvek osobám, které jsou zaměstnanci objednatele</w:t>
      </w:r>
      <w:r w:rsidR="008760CC" w:rsidRPr="00411655">
        <w:rPr>
          <w:rFonts w:ascii="Calibri" w:hAnsi="Calibri" w:cs="Calibri"/>
        </w:rPr>
        <w:t xml:space="preserve"> a</w:t>
      </w:r>
      <w:r w:rsidRPr="00411655">
        <w:rPr>
          <w:rFonts w:ascii="Calibri" w:hAnsi="Calibri" w:cs="Calibri"/>
        </w:rPr>
        <w:t xml:space="preserve"> zároveň pojištěnci RBP</w:t>
      </w:r>
      <w:r w:rsidR="005720E0" w:rsidRPr="00411655">
        <w:rPr>
          <w:rFonts w:ascii="Calibri" w:hAnsi="Calibri" w:cs="Calibri"/>
        </w:rPr>
        <w:t>,</w:t>
      </w:r>
      <w:r w:rsidRPr="00411655">
        <w:rPr>
          <w:rFonts w:ascii="Calibri" w:hAnsi="Calibri" w:cs="Calibri"/>
        </w:rPr>
        <w:t xml:space="preserve"> a</w:t>
      </w:r>
      <w:r w:rsidR="005720E0" w:rsidRPr="00411655">
        <w:rPr>
          <w:rFonts w:ascii="Calibri" w:hAnsi="Calibri" w:cs="Calibri"/>
        </w:rPr>
        <w:t xml:space="preserve"> které</w:t>
      </w:r>
      <w:r w:rsidRPr="00411655">
        <w:rPr>
          <w:rFonts w:ascii="Calibri" w:hAnsi="Calibri" w:cs="Calibri"/>
        </w:rPr>
        <w:t xml:space="preserve"> budou čerpat rekondiční služby u některého z poskytovatelů lázeňské léčebně rehabilitační péče v ČR (dále „Smlouva“). Smluvní strany </w:t>
      </w:r>
      <w:r w:rsidRPr="00411655">
        <w:rPr>
          <w:rFonts w:ascii="Calibri" w:hAnsi="Calibri" w:cs="Calibri"/>
        </w:rPr>
        <w:lastRenderedPageBreak/>
        <w:t xml:space="preserve">se po vzájemném projednání dohodly na změně Smlouvy tak, jak je uvedeno dále v tomto </w:t>
      </w:r>
      <w:r w:rsidR="005720E0" w:rsidRPr="00411655">
        <w:rPr>
          <w:rFonts w:ascii="Calibri" w:hAnsi="Calibri" w:cs="Calibri"/>
        </w:rPr>
        <w:t>Dodatku</w:t>
      </w:r>
      <w:r w:rsidRPr="00411655">
        <w:rPr>
          <w:rFonts w:ascii="Calibri" w:hAnsi="Calibri" w:cs="Calibri"/>
        </w:rPr>
        <w:t>.</w:t>
      </w:r>
    </w:p>
    <w:p w14:paraId="22ECC460" w14:textId="77777777" w:rsidR="00EA1D40" w:rsidRPr="00EA1D40" w:rsidRDefault="00EA1D40" w:rsidP="00EA1D40">
      <w:pPr>
        <w:autoSpaceDE w:val="0"/>
        <w:autoSpaceDN w:val="0"/>
        <w:adjustRightInd w:val="0"/>
        <w:ind w:right="-6"/>
        <w:jc w:val="both"/>
        <w:rPr>
          <w:rFonts w:ascii="Calibri" w:hAnsi="Calibri" w:cs="Calibri"/>
        </w:rPr>
      </w:pPr>
    </w:p>
    <w:p w14:paraId="1D4EB1D2" w14:textId="30147649" w:rsidR="00E74FBB" w:rsidRDefault="00E74FBB" w:rsidP="00E74FBB">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Tímto </w:t>
      </w:r>
      <w:r w:rsidR="00270C25">
        <w:rPr>
          <w:rFonts w:ascii="Calibri" w:hAnsi="Calibri" w:cs="Calibri"/>
        </w:rPr>
        <w:t>Dodatkem</w:t>
      </w:r>
      <w:r w:rsidR="0020030B">
        <w:rPr>
          <w:rFonts w:ascii="Calibri" w:hAnsi="Calibri" w:cs="Calibri"/>
        </w:rPr>
        <w:t xml:space="preserve"> </w:t>
      </w:r>
      <w:r>
        <w:rPr>
          <w:rFonts w:ascii="Calibri" w:hAnsi="Calibri" w:cs="Calibri"/>
        </w:rPr>
        <w:t xml:space="preserve">se mění </w:t>
      </w:r>
      <w:r w:rsidR="008F4352">
        <w:rPr>
          <w:rFonts w:ascii="Calibri" w:hAnsi="Calibri" w:cs="Calibri"/>
        </w:rPr>
        <w:t xml:space="preserve">doba </w:t>
      </w:r>
      <w:r>
        <w:rPr>
          <w:rFonts w:ascii="Calibri" w:hAnsi="Calibri" w:cs="Calibri"/>
        </w:rPr>
        <w:t>platnost</w:t>
      </w:r>
      <w:r w:rsidR="008F4352">
        <w:rPr>
          <w:rFonts w:ascii="Calibri" w:hAnsi="Calibri" w:cs="Calibri"/>
        </w:rPr>
        <w:t>i</w:t>
      </w:r>
      <w:r>
        <w:rPr>
          <w:rFonts w:ascii="Calibri" w:hAnsi="Calibri" w:cs="Calibri"/>
        </w:rPr>
        <w:t xml:space="preserve"> Smlouvy uveden</w:t>
      </w:r>
      <w:r w:rsidR="00307BA9">
        <w:rPr>
          <w:rFonts w:ascii="Calibri" w:hAnsi="Calibri" w:cs="Calibri"/>
        </w:rPr>
        <w:t>á</w:t>
      </w:r>
      <w:r w:rsidR="00411655">
        <w:rPr>
          <w:rFonts w:ascii="Calibri" w:hAnsi="Calibri" w:cs="Calibri"/>
        </w:rPr>
        <w:t xml:space="preserve"> v čl. II bodu 2. Smlouvy </w:t>
      </w:r>
      <w:r>
        <w:rPr>
          <w:rFonts w:ascii="Calibri" w:hAnsi="Calibri" w:cs="Calibri"/>
        </w:rPr>
        <w:t>tak, že smluvní strany prodlužují platnost Smlouvy do</w:t>
      </w:r>
      <w:r w:rsidR="00307BA9">
        <w:rPr>
          <w:rFonts w:ascii="Calibri" w:hAnsi="Calibri" w:cs="Calibri"/>
        </w:rPr>
        <w:t> </w:t>
      </w:r>
      <w:r>
        <w:rPr>
          <w:rFonts w:ascii="Calibri" w:hAnsi="Calibri" w:cs="Calibri"/>
        </w:rPr>
        <w:t>31.</w:t>
      </w:r>
      <w:r w:rsidR="00307BA9">
        <w:rPr>
          <w:rFonts w:ascii="Calibri" w:hAnsi="Calibri" w:cs="Calibri"/>
        </w:rPr>
        <w:t> </w:t>
      </w:r>
      <w:r>
        <w:rPr>
          <w:rFonts w:ascii="Calibri" w:hAnsi="Calibri" w:cs="Calibri"/>
        </w:rPr>
        <w:t>12.</w:t>
      </w:r>
      <w:r w:rsidR="00B2222F">
        <w:rPr>
          <w:rFonts w:ascii="Calibri" w:hAnsi="Calibri" w:cs="Calibri"/>
        </w:rPr>
        <w:t xml:space="preserve"> </w:t>
      </w:r>
      <w:r>
        <w:rPr>
          <w:rFonts w:ascii="Calibri" w:hAnsi="Calibri" w:cs="Calibri"/>
        </w:rPr>
        <w:t>202</w:t>
      </w:r>
      <w:r w:rsidR="000F783E">
        <w:rPr>
          <w:rFonts w:ascii="Calibri" w:hAnsi="Calibri" w:cs="Calibri"/>
        </w:rPr>
        <w:t>6</w:t>
      </w:r>
      <w:r>
        <w:rPr>
          <w:rFonts w:ascii="Calibri" w:hAnsi="Calibri" w:cs="Calibri"/>
        </w:rPr>
        <w:t>.</w:t>
      </w:r>
    </w:p>
    <w:p w14:paraId="3AD988B2" w14:textId="77777777" w:rsidR="003E3D68" w:rsidRDefault="003E3D68" w:rsidP="003E3D68">
      <w:pPr>
        <w:pStyle w:val="Odstavecseseznamem"/>
        <w:rPr>
          <w:rFonts w:ascii="Calibri" w:hAnsi="Calibri" w:cs="Calibri"/>
        </w:rPr>
      </w:pPr>
    </w:p>
    <w:p w14:paraId="465DE344" w14:textId="7BD43A4B" w:rsidR="003E3D68" w:rsidRPr="001359B0" w:rsidRDefault="003E3D68" w:rsidP="003E3D68">
      <w:pPr>
        <w:numPr>
          <w:ilvl w:val="0"/>
          <w:numId w:val="1"/>
        </w:numPr>
        <w:autoSpaceDE w:val="0"/>
        <w:autoSpaceDN w:val="0"/>
        <w:adjustRightInd w:val="0"/>
        <w:ind w:left="426" w:right="-6" w:hanging="426"/>
        <w:jc w:val="both"/>
        <w:rPr>
          <w:rFonts w:ascii="Calibri" w:hAnsi="Calibri" w:cs="Calibri"/>
        </w:rPr>
      </w:pPr>
      <w:r w:rsidRPr="001359B0">
        <w:rPr>
          <w:rFonts w:ascii="Calibri" w:hAnsi="Calibri" w:cs="Calibri"/>
        </w:rPr>
        <w:t xml:space="preserve">Výběr zaměstnanců vysílaných na rekondiční aktivity zajistí objednatel. Objednatel je povinen provést výběr osob tak, aby se v době rekondičního pobytu </w:t>
      </w:r>
      <w:r w:rsidR="00FC0898" w:rsidRPr="001359B0">
        <w:rPr>
          <w:rFonts w:ascii="Calibri" w:hAnsi="Calibri" w:cs="Calibri"/>
        </w:rPr>
        <w:t xml:space="preserve">jednalo </w:t>
      </w:r>
      <w:r w:rsidRPr="001359B0">
        <w:rPr>
          <w:rFonts w:ascii="Calibri" w:hAnsi="Calibri" w:cs="Calibri"/>
        </w:rPr>
        <w:t>o pojištěnce RBP</w:t>
      </w:r>
      <w:r w:rsidR="00103380" w:rsidRPr="001359B0">
        <w:rPr>
          <w:rFonts w:ascii="Calibri" w:hAnsi="Calibri" w:cs="Calibri"/>
        </w:rPr>
        <w:t>,</w:t>
      </w:r>
      <w:r w:rsidRPr="001359B0">
        <w:rPr>
          <w:rFonts w:ascii="Calibri" w:hAnsi="Calibri" w:cs="Calibri"/>
        </w:rPr>
        <w:t xml:space="preserve"> kteří pracují v prostředí s rizikem úrazů, vzniku nemocí z povolání a jiných poškození zdraví dle ustanovení § 37 a násl. zákona č. 258/2000 Sb. o ochraně veřejného zdraví, v platném znění</w:t>
      </w:r>
      <w:r w:rsidR="00103380" w:rsidRPr="001359B0">
        <w:rPr>
          <w:rFonts w:ascii="Calibri" w:hAnsi="Calibri" w:cs="Calibri"/>
        </w:rPr>
        <w:t xml:space="preserve">, </w:t>
      </w:r>
      <w:r w:rsidR="00C175CA" w:rsidRPr="001359B0">
        <w:rPr>
          <w:rFonts w:ascii="Calibri" w:hAnsi="Calibri" w:cs="Calibri"/>
        </w:rPr>
        <w:t>absolvoval</w:t>
      </w:r>
      <w:r w:rsidR="009A7935" w:rsidRPr="001359B0">
        <w:rPr>
          <w:rFonts w:ascii="Calibri" w:hAnsi="Calibri" w:cs="Calibri"/>
        </w:rPr>
        <w:t>i</w:t>
      </w:r>
      <w:r w:rsidR="00C175CA" w:rsidRPr="001359B0">
        <w:rPr>
          <w:rFonts w:ascii="Calibri" w:hAnsi="Calibri" w:cs="Calibri"/>
        </w:rPr>
        <w:t xml:space="preserve"> preventivní prohlídku ve </w:t>
      </w:r>
      <w:r w:rsidR="00213F0C" w:rsidRPr="001359B0">
        <w:rPr>
          <w:rFonts w:ascii="Calibri" w:hAnsi="Calibri" w:cs="Calibri"/>
        </w:rPr>
        <w:t>stanovené</w:t>
      </w:r>
      <w:r w:rsidR="00C175CA" w:rsidRPr="001359B0">
        <w:rPr>
          <w:rFonts w:ascii="Calibri" w:hAnsi="Calibri" w:cs="Calibri"/>
          <w:b/>
          <w:bCs/>
        </w:rPr>
        <w:t xml:space="preserve"> </w:t>
      </w:r>
      <w:r w:rsidR="00213F0C" w:rsidRPr="001359B0">
        <w:rPr>
          <w:rFonts w:ascii="Calibri" w:hAnsi="Calibri" w:cs="Calibri"/>
        </w:rPr>
        <w:t>lhůtě</w:t>
      </w:r>
      <w:r w:rsidR="007D235E" w:rsidRPr="001359B0">
        <w:rPr>
          <w:rFonts w:ascii="Calibri" w:hAnsi="Calibri" w:cs="Calibri"/>
        </w:rPr>
        <w:t xml:space="preserve"> a</w:t>
      </w:r>
      <w:r w:rsidR="00D24BFB" w:rsidRPr="001359B0">
        <w:rPr>
          <w:rFonts w:ascii="Calibri" w:hAnsi="Calibri" w:cs="Calibri"/>
        </w:rPr>
        <w:t xml:space="preserve"> </w:t>
      </w:r>
      <w:r w:rsidR="00533CB4" w:rsidRPr="001359B0">
        <w:rPr>
          <w:rFonts w:ascii="Calibri" w:hAnsi="Calibri" w:cs="Calibri"/>
        </w:rPr>
        <w:t xml:space="preserve">není </w:t>
      </w:r>
      <w:r w:rsidR="00D24BFB" w:rsidRPr="001359B0">
        <w:rPr>
          <w:rFonts w:ascii="Calibri" w:hAnsi="Calibri" w:cs="Calibri"/>
        </w:rPr>
        <w:t>u</w:t>
      </w:r>
      <w:r w:rsidR="009E777E" w:rsidRPr="001359B0">
        <w:rPr>
          <w:rFonts w:ascii="Calibri" w:hAnsi="Calibri" w:cs="Calibri"/>
        </w:rPr>
        <w:t xml:space="preserve"> pojištěnce, jako plátce pojistného (např. za dobu, kdy byl OSVČ či OBZP) evidován nedoplatek na zdravotním pojištění, penále či jiný závazek vůči zdravotní pojišťovně (vztahuje se také na insolvence, splátkové kalendáře atd)</w:t>
      </w:r>
      <w:r w:rsidR="007F2084" w:rsidRPr="001359B0">
        <w:rPr>
          <w:rFonts w:ascii="Calibri" w:hAnsi="Calibri" w:cs="Calibri"/>
        </w:rPr>
        <w:t>.</w:t>
      </w:r>
      <w:r w:rsidR="00D24BFB" w:rsidRPr="001359B0">
        <w:rPr>
          <w:rFonts w:ascii="Calibri" w:hAnsi="Calibri" w:cs="Calibri"/>
        </w:rPr>
        <w:t xml:space="preserve"> </w:t>
      </w:r>
      <w:r w:rsidRPr="001359B0">
        <w:rPr>
          <w:rFonts w:ascii="Calibri" w:hAnsi="Calibri" w:cs="Calibri"/>
        </w:rPr>
        <w:t>Objednatel dále odpovídá za to, že vybrané osoby jsou ze zdravotního hlediska schopny rekondiční pobyt absolvovat. Na vyžádání RBP je objednatel povinen tyto skutečnosti písemně doložit.</w:t>
      </w:r>
    </w:p>
    <w:p w14:paraId="2F99D051" w14:textId="77777777" w:rsidR="003E3D68" w:rsidRDefault="003E3D68" w:rsidP="003E3D68">
      <w:pPr>
        <w:autoSpaceDE w:val="0"/>
        <w:autoSpaceDN w:val="0"/>
        <w:adjustRightInd w:val="0"/>
        <w:ind w:left="426" w:right="-6"/>
        <w:jc w:val="both"/>
        <w:rPr>
          <w:rFonts w:ascii="Calibri" w:hAnsi="Calibri" w:cs="Calibri"/>
        </w:rPr>
      </w:pPr>
    </w:p>
    <w:p w14:paraId="01A035AD"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7A37D974" w14:textId="77777777" w:rsidR="00F72EC0" w:rsidRDefault="00F72EC0" w:rsidP="00F72EC0">
      <w:pPr>
        <w:autoSpaceDE w:val="0"/>
        <w:autoSpaceDN w:val="0"/>
        <w:adjustRightInd w:val="0"/>
        <w:ind w:right="329"/>
        <w:rPr>
          <w:rFonts w:ascii="Calibri" w:hAnsi="Calibri" w:cs="Calibri"/>
          <w:bCs/>
        </w:rPr>
      </w:pPr>
    </w:p>
    <w:p w14:paraId="4B9E2C67" w14:textId="79398D8A" w:rsidR="00E74FBB" w:rsidRDefault="00E74FBB" w:rsidP="00E74FBB">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V ustanoveních nedotčených tímto </w:t>
      </w:r>
      <w:r w:rsidR="00B86541">
        <w:rPr>
          <w:rFonts w:ascii="Calibri" w:hAnsi="Calibri" w:cs="Calibri"/>
        </w:rPr>
        <w:t xml:space="preserve">Dodatkem </w:t>
      </w:r>
      <w:r>
        <w:rPr>
          <w:rFonts w:ascii="Calibri" w:hAnsi="Calibri" w:cs="Calibri"/>
        </w:rPr>
        <w:t xml:space="preserve">zůstává Smlouva beze změn. </w:t>
      </w:r>
    </w:p>
    <w:p w14:paraId="0E1A5B24" w14:textId="77777777" w:rsidR="00E74FBB" w:rsidRDefault="00E74FBB" w:rsidP="00E74FBB">
      <w:pPr>
        <w:autoSpaceDE w:val="0"/>
        <w:autoSpaceDN w:val="0"/>
        <w:adjustRightInd w:val="0"/>
        <w:ind w:right="-6"/>
        <w:jc w:val="both"/>
        <w:rPr>
          <w:rFonts w:ascii="Calibri" w:hAnsi="Calibri" w:cs="Calibri"/>
        </w:rPr>
      </w:pPr>
    </w:p>
    <w:p w14:paraId="1DC63667" w14:textId="18427AE1" w:rsidR="00E44828" w:rsidRPr="00495125" w:rsidRDefault="00E74FBB" w:rsidP="00495125">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Tento </w:t>
      </w:r>
      <w:r w:rsidR="00B86541">
        <w:rPr>
          <w:rFonts w:ascii="Calibri" w:hAnsi="Calibri" w:cs="Calibri"/>
        </w:rPr>
        <w:t>D</w:t>
      </w:r>
      <w:r>
        <w:rPr>
          <w:rFonts w:ascii="Calibri" w:hAnsi="Calibri" w:cs="Calibri"/>
        </w:rPr>
        <w:t>odatek je sjednán ve dvou stejnopisech s platností originálu, přičemž každá smluvní strana obdrží po jednom vyhotovení.</w:t>
      </w:r>
    </w:p>
    <w:p w14:paraId="0C256FC5" w14:textId="77777777" w:rsidR="00E74FBB" w:rsidRPr="000345ED" w:rsidRDefault="00E74FBB" w:rsidP="00E74FBB">
      <w:pPr>
        <w:autoSpaceDE w:val="0"/>
        <w:autoSpaceDN w:val="0"/>
        <w:adjustRightInd w:val="0"/>
        <w:ind w:left="426" w:right="-6"/>
        <w:jc w:val="both"/>
        <w:rPr>
          <w:rFonts w:ascii="Calibri" w:hAnsi="Calibri" w:cs="Calibri"/>
        </w:rPr>
      </w:pPr>
    </w:p>
    <w:p w14:paraId="133DA11A" w14:textId="484390E1" w:rsidR="00E74FBB" w:rsidRPr="00B75D8C" w:rsidRDefault="00E74FBB" w:rsidP="00E74FBB">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 xml:space="preserve">Smluvní strany </w:t>
      </w:r>
      <w:r w:rsidR="005E6BA0">
        <w:rPr>
          <w:rFonts w:ascii="Calibri" w:hAnsi="Calibri" w:cs="Calibri"/>
        </w:rPr>
        <w:t xml:space="preserve">shodně prohlašují, že si tento </w:t>
      </w:r>
      <w:r w:rsidR="0069716C">
        <w:rPr>
          <w:rFonts w:ascii="Calibri" w:hAnsi="Calibri" w:cs="Calibri"/>
        </w:rPr>
        <w:t>Dodatek</w:t>
      </w:r>
      <w:r w:rsidR="005E6BA0">
        <w:rPr>
          <w:rFonts w:ascii="Calibri" w:hAnsi="Calibri" w:cs="Calibri"/>
        </w:rPr>
        <w:t xml:space="preserve"> přečetly, seznámily se s jeho obsahem, neuzavírají jej v tísni a za nápadně nevýhodných okolností </w:t>
      </w:r>
      <w:r w:rsidRPr="00B75D8C">
        <w:rPr>
          <w:rFonts w:ascii="Calibri" w:hAnsi="Calibri" w:cs="Calibri"/>
        </w:rPr>
        <w:t>a na důkaz své svobodné a pravé vůle připojují vlastnoruční podpisy.</w:t>
      </w:r>
    </w:p>
    <w:p w14:paraId="3E5A0F54" w14:textId="77777777" w:rsidR="00B75D8C" w:rsidRDefault="00B75D8C" w:rsidP="00B75D8C">
      <w:pPr>
        <w:autoSpaceDE w:val="0"/>
        <w:autoSpaceDN w:val="0"/>
        <w:adjustRightInd w:val="0"/>
        <w:ind w:left="426" w:right="-6"/>
        <w:jc w:val="both"/>
        <w:rPr>
          <w:rFonts w:ascii="Calibri" w:hAnsi="Calibri" w:cs="Calibri"/>
        </w:rPr>
      </w:pPr>
    </w:p>
    <w:p w14:paraId="200ADBCA" w14:textId="77777777" w:rsidR="00054C77" w:rsidRDefault="00054C77" w:rsidP="00B75D8C">
      <w:pPr>
        <w:autoSpaceDE w:val="0"/>
        <w:autoSpaceDN w:val="0"/>
        <w:adjustRightInd w:val="0"/>
        <w:ind w:left="426" w:right="-6"/>
        <w:jc w:val="both"/>
        <w:rPr>
          <w:rFonts w:ascii="Calibri" w:hAnsi="Calibri" w:cs="Calibri"/>
        </w:rPr>
      </w:pPr>
    </w:p>
    <w:p w14:paraId="5B9E98CA" w14:textId="77777777" w:rsidR="00054C77" w:rsidRDefault="00054C77" w:rsidP="00B75D8C">
      <w:pPr>
        <w:autoSpaceDE w:val="0"/>
        <w:autoSpaceDN w:val="0"/>
        <w:adjustRightInd w:val="0"/>
        <w:ind w:left="426" w:right="-6"/>
        <w:jc w:val="both"/>
        <w:rPr>
          <w:rFonts w:ascii="Calibri" w:hAnsi="Calibri" w:cs="Calibri"/>
        </w:rPr>
      </w:pPr>
    </w:p>
    <w:p w14:paraId="6E58775D" w14:textId="77777777" w:rsidR="00054C77" w:rsidRDefault="00054C77" w:rsidP="00B75D8C">
      <w:pPr>
        <w:autoSpaceDE w:val="0"/>
        <w:autoSpaceDN w:val="0"/>
        <w:adjustRightInd w:val="0"/>
        <w:ind w:left="426" w:right="-6"/>
        <w:jc w:val="both"/>
        <w:rPr>
          <w:rFonts w:ascii="Calibri" w:hAnsi="Calibri" w:cs="Calibri"/>
        </w:rPr>
      </w:pPr>
    </w:p>
    <w:p w14:paraId="52E81FE6" w14:textId="77777777" w:rsidR="00F258FA" w:rsidRPr="00F258FA" w:rsidRDefault="00F258FA" w:rsidP="00F258FA">
      <w:pPr>
        <w:autoSpaceDE w:val="0"/>
        <w:autoSpaceDN w:val="0"/>
        <w:adjustRightInd w:val="0"/>
        <w:ind w:right="329"/>
        <w:jc w:val="both"/>
        <w:rPr>
          <w:rFonts w:ascii="Calibri" w:hAnsi="Calibri" w:cs="Calibri"/>
        </w:rPr>
      </w:pPr>
    </w:p>
    <w:p w14:paraId="7F26FBD2" w14:textId="3722FAF1" w:rsidR="00B2222F" w:rsidRPr="00F258FA" w:rsidRDefault="00B2222F" w:rsidP="00B2222F">
      <w:pPr>
        <w:autoSpaceDE w:val="0"/>
        <w:autoSpaceDN w:val="0"/>
        <w:adjustRightInd w:val="0"/>
        <w:ind w:right="329"/>
        <w:jc w:val="both"/>
        <w:rPr>
          <w:rFonts w:ascii="Calibri" w:hAnsi="Calibri" w:cs="Calibri"/>
        </w:rPr>
      </w:pPr>
      <w:r w:rsidRPr="00F258FA">
        <w:rPr>
          <w:rFonts w:ascii="Calibri" w:hAnsi="Calibri" w:cs="Calibri"/>
        </w:rPr>
        <w:t>V</w:t>
      </w:r>
      <w:r>
        <w:rPr>
          <w:rFonts w:ascii="Calibri" w:hAnsi="Calibri" w:cs="Calibri"/>
        </w:rPr>
        <w:t> </w:t>
      </w:r>
      <w:r w:rsidRPr="00F258FA">
        <w:rPr>
          <w:rFonts w:ascii="Calibri" w:hAnsi="Calibri" w:cs="Calibri"/>
        </w:rPr>
        <w:t>Ostravě</w:t>
      </w:r>
      <w:r>
        <w:rPr>
          <w:rFonts w:ascii="Calibri" w:hAnsi="Calibri" w:cs="Calibri"/>
        </w:rPr>
        <w:t xml:space="preserve"> </w:t>
      </w:r>
      <w:r w:rsidRPr="00F258FA">
        <w:rPr>
          <w:rFonts w:ascii="Calibri" w:hAnsi="Calibri" w:cs="Calibri"/>
        </w:rPr>
        <w:t>dne</w:t>
      </w:r>
      <w:r>
        <w:rPr>
          <w:rFonts w:ascii="Calibri" w:hAnsi="Calibri" w:cs="Calibri"/>
        </w:rPr>
        <w:t>___________</w:t>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V</w:t>
      </w:r>
      <w:r w:rsidR="00544132">
        <w:rPr>
          <w:rFonts w:ascii="Calibri" w:hAnsi="Calibri" w:cs="Calibri"/>
        </w:rPr>
        <w:t xml:space="preserve"> Studénce</w:t>
      </w:r>
      <w:r>
        <w:rPr>
          <w:rFonts w:ascii="Calibri" w:hAnsi="Calibri" w:cs="Calibri"/>
        </w:rPr>
        <w:t xml:space="preserve">   dne__________</w:t>
      </w:r>
      <w:r w:rsidRPr="00F258FA">
        <w:rPr>
          <w:rFonts w:ascii="Calibri" w:hAnsi="Calibri" w:cs="Calibri"/>
        </w:rPr>
        <w:tab/>
      </w:r>
    </w:p>
    <w:p w14:paraId="1597A0D3" w14:textId="77777777" w:rsidR="00B2222F" w:rsidRDefault="00B2222F" w:rsidP="00B2222F">
      <w:pPr>
        <w:rPr>
          <w:rFonts w:ascii="Calibri" w:hAnsi="Calibri" w:cs="Calibri"/>
        </w:rPr>
      </w:pPr>
    </w:p>
    <w:p w14:paraId="75018A1A" w14:textId="77777777" w:rsidR="00B2222F" w:rsidRDefault="00B2222F" w:rsidP="00B2222F">
      <w:pPr>
        <w:rPr>
          <w:rFonts w:ascii="Calibri" w:hAnsi="Calibri" w:cs="Calibri"/>
        </w:rPr>
      </w:pPr>
      <w:r w:rsidRPr="00F258FA">
        <w:rPr>
          <w:rFonts w:ascii="Calibri" w:hAnsi="Calibri" w:cs="Calibri"/>
        </w:rPr>
        <w:t>Za RBP</w:t>
      </w:r>
      <w:r w:rsidRPr="00F258FA">
        <w:rPr>
          <w:rFonts w:ascii="Calibri" w:hAnsi="Calibri" w:cs="Calibri"/>
        </w:rPr>
        <w:tab/>
      </w:r>
      <w:r>
        <w:rPr>
          <w:rFonts w:ascii="Calibri" w:hAnsi="Calibri" w:cs="Calibri"/>
        </w:rPr>
        <w:t>:</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Za objednatele</w:t>
      </w:r>
      <w:r>
        <w:rPr>
          <w:rFonts w:ascii="Calibri" w:hAnsi="Calibri" w:cs="Calibri"/>
        </w:rPr>
        <w:t>:</w:t>
      </w:r>
    </w:p>
    <w:p w14:paraId="571C0446" w14:textId="77777777" w:rsidR="00B2222F" w:rsidRDefault="00B2222F" w:rsidP="00B2222F">
      <w:pPr>
        <w:rPr>
          <w:rFonts w:ascii="Calibri" w:hAnsi="Calibri" w:cs="Calibri"/>
        </w:rPr>
      </w:pPr>
    </w:p>
    <w:p w14:paraId="68DCE2F2" w14:textId="77777777" w:rsidR="00B2222F" w:rsidRDefault="00B2222F" w:rsidP="00B2222F">
      <w:pPr>
        <w:rPr>
          <w:rFonts w:ascii="Calibri" w:hAnsi="Calibri" w:cs="Calibri"/>
        </w:rPr>
      </w:pPr>
    </w:p>
    <w:p w14:paraId="7CFB3EDE" w14:textId="77777777" w:rsidR="00B2222F" w:rsidRDefault="00B2222F" w:rsidP="00B2222F">
      <w:pPr>
        <w:rPr>
          <w:rFonts w:ascii="Calibri" w:hAnsi="Calibri" w:cs="Calibri"/>
        </w:rPr>
      </w:pPr>
    </w:p>
    <w:p w14:paraId="4DA7CC80" w14:textId="77777777" w:rsidR="00B2222F" w:rsidRDefault="00B2222F" w:rsidP="00B2222F">
      <w:pPr>
        <w:rPr>
          <w:rFonts w:ascii="Calibri" w:hAnsi="Calibri" w:cs="Calibri"/>
        </w:rPr>
      </w:pPr>
    </w:p>
    <w:p w14:paraId="395D1C19" w14:textId="77777777" w:rsidR="00B2222F" w:rsidRDefault="00B2222F" w:rsidP="00B2222F">
      <w:pPr>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B2222F" w14:paraId="564D72FE" w14:textId="77777777" w:rsidTr="003D6908">
        <w:tc>
          <w:tcPr>
            <w:tcW w:w="4530" w:type="dxa"/>
          </w:tcPr>
          <w:p w14:paraId="440BBD81" w14:textId="77777777" w:rsidR="00B2222F" w:rsidRDefault="00B2222F" w:rsidP="004E0E59">
            <w:pPr>
              <w:rPr>
                <w:rFonts w:ascii="Calibri" w:hAnsi="Calibri" w:cs="Calibri"/>
              </w:rPr>
            </w:pPr>
            <w:r>
              <w:rPr>
                <w:rFonts w:ascii="Calibri" w:hAnsi="Calibri" w:cs="Calibri"/>
              </w:rPr>
              <w:t>_________________________</w:t>
            </w:r>
          </w:p>
        </w:tc>
        <w:tc>
          <w:tcPr>
            <w:tcW w:w="4536" w:type="dxa"/>
          </w:tcPr>
          <w:p w14:paraId="1171D036" w14:textId="77777777" w:rsidR="00B2222F" w:rsidRDefault="00B2222F" w:rsidP="004E0E59">
            <w:pPr>
              <w:rPr>
                <w:rFonts w:ascii="Calibri" w:hAnsi="Calibri" w:cs="Calibri"/>
              </w:rPr>
            </w:pPr>
            <w:r>
              <w:rPr>
                <w:rFonts w:ascii="Calibri" w:hAnsi="Calibri" w:cs="Calibri"/>
              </w:rPr>
              <w:t>__________________________</w:t>
            </w:r>
          </w:p>
        </w:tc>
      </w:tr>
      <w:tr w:rsidR="00B2222F" w14:paraId="45BAB3C0" w14:textId="77777777" w:rsidTr="003D6908">
        <w:tc>
          <w:tcPr>
            <w:tcW w:w="4530" w:type="dxa"/>
          </w:tcPr>
          <w:p w14:paraId="74417022" w14:textId="77777777" w:rsidR="00B2222F" w:rsidRDefault="00B2222F" w:rsidP="004E0E59">
            <w:pPr>
              <w:rPr>
                <w:rFonts w:ascii="Calibri" w:hAnsi="Calibri" w:cs="Calibri"/>
              </w:rPr>
            </w:pPr>
            <w:r>
              <w:rPr>
                <w:rFonts w:ascii="Calibri" w:hAnsi="Calibri" w:cs="Calibri"/>
              </w:rPr>
              <w:t>Ing. Antonín Klimša, MBA</w:t>
            </w:r>
          </w:p>
        </w:tc>
        <w:tc>
          <w:tcPr>
            <w:tcW w:w="4536" w:type="dxa"/>
          </w:tcPr>
          <w:p w14:paraId="0D77BDD8" w14:textId="25A5A3DE" w:rsidR="00B2222F" w:rsidRDefault="00DF6C86" w:rsidP="004E0E59">
            <w:pPr>
              <w:rPr>
                <w:rFonts w:ascii="Calibri" w:hAnsi="Calibri" w:cs="Calibri"/>
              </w:rPr>
            </w:pPr>
            <w:proofErr w:type="spellStart"/>
            <w:r w:rsidRPr="00544132">
              <w:rPr>
                <w:rFonts w:cstheme="minorHAnsi"/>
                <w:bCs/>
                <w:highlight w:val="black"/>
              </w:rPr>
              <w:t>xxx</w:t>
            </w:r>
            <w:proofErr w:type="spellEnd"/>
          </w:p>
        </w:tc>
      </w:tr>
      <w:tr w:rsidR="00B2222F" w14:paraId="45B7DEDC" w14:textId="77777777" w:rsidTr="003D6908">
        <w:tc>
          <w:tcPr>
            <w:tcW w:w="4530" w:type="dxa"/>
          </w:tcPr>
          <w:p w14:paraId="268EB401" w14:textId="77777777" w:rsidR="00B2222F" w:rsidRDefault="00B2222F" w:rsidP="004E0E59">
            <w:pPr>
              <w:rPr>
                <w:rFonts w:ascii="Calibri" w:hAnsi="Calibri" w:cs="Calibri"/>
              </w:rPr>
            </w:pPr>
            <w:r>
              <w:rPr>
                <w:rFonts w:cstheme="minorHAnsi"/>
              </w:rPr>
              <w:t>výkonný ředitel</w:t>
            </w:r>
          </w:p>
        </w:tc>
        <w:tc>
          <w:tcPr>
            <w:tcW w:w="4536" w:type="dxa"/>
          </w:tcPr>
          <w:p w14:paraId="4B9C4961" w14:textId="5E8C46CD" w:rsidR="00B2222F" w:rsidRDefault="00DF6C86" w:rsidP="004E0E59">
            <w:pPr>
              <w:rPr>
                <w:rFonts w:ascii="Calibri" w:hAnsi="Calibri" w:cs="Calibri"/>
              </w:rPr>
            </w:pPr>
            <w:proofErr w:type="spellStart"/>
            <w:r w:rsidRPr="00544132">
              <w:rPr>
                <w:rFonts w:cstheme="minorHAnsi"/>
                <w:bCs/>
                <w:highlight w:val="black"/>
              </w:rPr>
              <w:t>xxx</w:t>
            </w:r>
            <w:proofErr w:type="spellEnd"/>
          </w:p>
        </w:tc>
      </w:tr>
      <w:tr w:rsidR="00B2222F" w14:paraId="02E5DB0E" w14:textId="77777777" w:rsidTr="003D6908">
        <w:tc>
          <w:tcPr>
            <w:tcW w:w="4530" w:type="dxa"/>
          </w:tcPr>
          <w:p w14:paraId="39ED88D8" w14:textId="77777777" w:rsidR="00B2222F" w:rsidRDefault="00B2222F" w:rsidP="004E0E59">
            <w:pPr>
              <w:jc w:val="center"/>
              <w:rPr>
                <w:rFonts w:cstheme="minorHAnsi"/>
              </w:rPr>
            </w:pPr>
          </w:p>
        </w:tc>
        <w:tc>
          <w:tcPr>
            <w:tcW w:w="4536" w:type="dxa"/>
          </w:tcPr>
          <w:p w14:paraId="68A7A806" w14:textId="77777777" w:rsidR="00B2222F" w:rsidRDefault="00B2222F" w:rsidP="004E0E59">
            <w:pPr>
              <w:jc w:val="center"/>
              <w:rPr>
                <w:rFonts w:ascii="Calibri" w:hAnsi="Calibri" w:cs="Calibri"/>
              </w:rPr>
            </w:pPr>
          </w:p>
        </w:tc>
      </w:tr>
      <w:tr w:rsidR="00B2222F" w14:paraId="46C4B634" w14:textId="77777777" w:rsidTr="003D6908">
        <w:tc>
          <w:tcPr>
            <w:tcW w:w="4530" w:type="dxa"/>
          </w:tcPr>
          <w:p w14:paraId="471158A4" w14:textId="77777777" w:rsidR="00B2222F" w:rsidRDefault="00B2222F" w:rsidP="004E0E59">
            <w:pPr>
              <w:jc w:val="center"/>
              <w:rPr>
                <w:rFonts w:cstheme="minorHAnsi"/>
              </w:rPr>
            </w:pPr>
          </w:p>
        </w:tc>
        <w:tc>
          <w:tcPr>
            <w:tcW w:w="4536" w:type="dxa"/>
          </w:tcPr>
          <w:p w14:paraId="7F825A07" w14:textId="77777777" w:rsidR="00B2222F" w:rsidRDefault="00B2222F" w:rsidP="004E0E59">
            <w:pPr>
              <w:jc w:val="center"/>
              <w:rPr>
                <w:rFonts w:ascii="Calibri" w:hAnsi="Calibri" w:cs="Calibri"/>
              </w:rPr>
            </w:pPr>
          </w:p>
        </w:tc>
      </w:tr>
      <w:tr w:rsidR="00B2222F" w14:paraId="0EC1E01C" w14:textId="77777777" w:rsidTr="003D6908">
        <w:tc>
          <w:tcPr>
            <w:tcW w:w="4530" w:type="dxa"/>
          </w:tcPr>
          <w:p w14:paraId="038EC5E1" w14:textId="77777777" w:rsidR="00B2222F" w:rsidRDefault="00B2222F" w:rsidP="004E0E59">
            <w:pPr>
              <w:jc w:val="center"/>
              <w:rPr>
                <w:rFonts w:cstheme="minorHAnsi"/>
              </w:rPr>
            </w:pPr>
          </w:p>
        </w:tc>
        <w:tc>
          <w:tcPr>
            <w:tcW w:w="4536" w:type="dxa"/>
          </w:tcPr>
          <w:p w14:paraId="174A0C2D" w14:textId="77777777" w:rsidR="00B2222F" w:rsidRDefault="00B2222F" w:rsidP="004E0E59">
            <w:pPr>
              <w:jc w:val="center"/>
              <w:rPr>
                <w:rFonts w:ascii="Calibri" w:hAnsi="Calibri" w:cs="Calibri"/>
              </w:rPr>
            </w:pPr>
          </w:p>
        </w:tc>
      </w:tr>
    </w:tbl>
    <w:p w14:paraId="2B8E3A48" w14:textId="2E1BE4D8" w:rsidR="00E928F4" w:rsidRPr="00F258FA" w:rsidRDefault="00E928F4" w:rsidP="00B2222F">
      <w:pPr>
        <w:autoSpaceDE w:val="0"/>
        <w:autoSpaceDN w:val="0"/>
        <w:adjustRightInd w:val="0"/>
        <w:ind w:right="329"/>
        <w:jc w:val="both"/>
        <w:rPr>
          <w:rFonts w:ascii="Calibri" w:hAnsi="Calibri" w:cs="Calibri"/>
        </w:rPr>
      </w:pPr>
    </w:p>
    <w:sectPr w:rsidR="00E928F4" w:rsidRPr="00F258FA" w:rsidSect="0049241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87AF" w14:textId="77777777" w:rsidR="00264615" w:rsidRDefault="00264615" w:rsidP="00800EF3">
      <w:r>
        <w:separator/>
      </w:r>
    </w:p>
  </w:endnote>
  <w:endnote w:type="continuationSeparator" w:id="0">
    <w:p w14:paraId="2F8712A1" w14:textId="77777777" w:rsidR="00264615" w:rsidRDefault="00264615" w:rsidP="008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D441" w14:textId="77777777" w:rsidR="00264615" w:rsidRDefault="00264615" w:rsidP="00800EF3">
      <w:r>
        <w:separator/>
      </w:r>
    </w:p>
  </w:footnote>
  <w:footnote w:type="continuationSeparator" w:id="0">
    <w:p w14:paraId="125EAB39" w14:textId="77777777" w:rsidR="00264615" w:rsidRDefault="00264615" w:rsidP="008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15:restartNumberingAfterBreak="0">
    <w:nsid w:val="5A9842D4"/>
    <w:multiLevelType w:val="hybridMultilevel"/>
    <w:tmpl w:val="BEA40E22"/>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931743546">
    <w:abstractNumId w:val="0"/>
  </w:num>
  <w:num w:numId="2" w16cid:durableId="690032072">
    <w:abstractNumId w:val="2"/>
  </w:num>
  <w:num w:numId="3" w16cid:durableId="472479931">
    <w:abstractNumId w:val="3"/>
  </w:num>
  <w:num w:numId="4" w16cid:durableId="83890592">
    <w:abstractNumId w:val="1"/>
  </w:num>
  <w:num w:numId="5" w16cid:durableId="508451137">
    <w:abstractNumId w:val="4"/>
  </w:num>
  <w:num w:numId="6" w16cid:durableId="197848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A"/>
    <w:rsid w:val="0001057A"/>
    <w:rsid w:val="0004070E"/>
    <w:rsid w:val="00043D95"/>
    <w:rsid w:val="000502A4"/>
    <w:rsid w:val="00054C77"/>
    <w:rsid w:val="00097D96"/>
    <w:rsid w:val="000A311E"/>
    <w:rsid w:val="000E1759"/>
    <w:rsid w:val="000F4F16"/>
    <w:rsid w:val="000F783E"/>
    <w:rsid w:val="00103380"/>
    <w:rsid w:val="001359B0"/>
    <w:rsid w:val="0016650B"/>
    <w:rsid w:val="00174E9F"/>
    <w:rsid w:val="00181496"/>
    <w:rsid w:val="001B3341"/>
    <w:rsid w:val="001D7324"/>
    <w:rsid w:val="001E3CBF"/>
    <w:rsid w:val="0020030B"/>
    <w:rsid w:val="00213F0C"/>
    <w:rsid w:val="0024471A"/>
    <w:rsid w:val="00264615"/>
    <w:rsid w:val="00270C25"/>
    <w:rsid w:val="002C114C"/>
    <w:rsid w:val="00304632"/>
    <w:rsid w:val="00307BA9"/>
    <w:rsid w:val="00311B2E"/>
    <w:rsid w:val="00316C77"/>
    <w:rsid w:val="0038311D"/>
    <w:rsid w:val="003978D0"/>
    <w:rsid w:val="003A65DF"/>
    <w:rsid w:val="003D36C7"/>
    <w:rsid w:val="003D574A"/>
    <w:rsid w:val="003D6908"/>
    <w:rsid w:val="003E140D"/>
    <w:rsid w:val="003E3D68"/>
    <w:rsid w:val="003F15D0"/>
    <w:rsid w:val="00411655"/>
    <w:rsid w:val="0044030B"/>
    <w:rsid w:val="004467CB"/>
    <w:rsid w:val="004626D5"/>
    <w:rsid w:val="00485B2E"/>
    <w:rsid w:val="00491C79"/>
    <w:rsid w:val="0049241A"/>
    <w:rsid w:val="00495125"/>
    <w:rsid w:val="005025A9"/>
    <w:rsid w:val="0052126F"/>
    <w:rsid w:val="00533CB4"/>
    <w:rsid w:val="005431C0"/>
    <w:rsid w:val="00544132"/>
    <w:rsid w:val="0056255F"/>
    <w:rsid w:val="005720E0"/>
    <w:rsid w:val="005C0DCA"/>
    <w:rsid w:val="005C22CF"/>
    <w:rsid w:val="005E6BA0"/>
    <w:rsid w:val="005F146A"/>
    <w:rsid w:val="00633DC5"/>
    <w:rsid w:val="0064151B"/>
    <w:rsid w:val="006420ED"/>
    <w:rsid w:val="006421E6"/>
    <w:rsid w:val="0067175B"/>
    <w:rsid w:val="00685C6B"/>
    <w:rsid w:val="0069716C"/>
    <w:rsid w:val="00697F4E"/>
    <w:rsid w:val="0072159F"/>
    <w:rsid w:val="00725A23"/>
    <w:rsid w:val="0075016C"/>
    <w:rsid w:val="00762BE4"/>
    <w:rsid w:val="007A117E"/>
    <w:rsid w:val="007B2DA5"/>
    <w:rsid w:val="007C5545"/>
    <w:rsid w:val="007D235E"/>
    <w:rsid w:val="007F2084"/>
    <w:rsid w:val="007F75C4"/>
    <w:rsid w:val="00800EF3"/>
    <w:rsid w:val="008760CC"/>
    <w:rsid w:val="00877B5D"/>
    <w:rsid w:val="00897896"/>
    <w:rsid w:val="008E2B6D"/>
    <w:rsid w:val="008F4352"/>
    <w:rsid w:val="0090346E"/>
    <w:rsid w:val="00914182"/>
    <w:rsid w:val="00917188"/>
    <w:rsid w:val="0093051F"/>
    <w:rsid w:val="0094780F"/>
    <w:rsid w:val="00950445"/>
    <w:rsid w:val="00976F6E"/>
    <w:rsid w:val="009A6DAD"/>
    <w:rsid w:val="009A7935"/>
    <w:rsid w:val="009B3869"/>
    <w:rsid w:val="009C6828"/>
    <w:rsid w:val="009E1806"/>
    <w:rsid w:val="009E777E"/>
    <w:rsid w:val="00A03580"/>
    <w:rsid w:val="00A15C87"/>
    <w:rsid w:val="00A4291E"/>
    <w:rsid w:val="00A63877"/>
    <w:rsid w:val="00A717BE"/>
    <w:rsid w:val="00A8180B"/>
    <w:rsid w:val="00A94A50"/>
    <w:rsid w:val="00B2222F"/>
    <w:rsid w:val="00B227E3"/>
    <w:rsid w:val="00B26AAA"/>
    <w:rsid w:val="00B63E9B"/>
    <w:rsid w:val="00B75D8C"/>
    <w:rsid w:val="00B86541"/>
    <w:rsid w:val="00B95D3C"/>
    <w:rsid w:val="00BC2038"/>
    <w:rsid w:val="00BC4592"/>
    <w:rsid w:val="00BD2373"/>
    <w:rsid w:val="00BE7996"/>
    <w:rsid w:val="00BE7EBF"/>
    <w:rsid w:val="00BF31E5"/>
    <w:rsid w:val="00BF648D"/>
    <w:rsid w:val="00C03C64"/>
    <w:rsid w:val="00C175CA"/>
    <w:rsid w:val="00C6214B"/>
    <w:rsid w:val="00CC093E"/>
    <w:rsid w:val="00CD4CE7"/>
    <w:rsid w:val="00D11FF7"/>
    <w:rsid w:val="00D24BFB"/>
    <w:rsid w:val="00D25C4F"/>
    <w:rsid w:val="00D506C4"/>
    <w:rsid w:val="00D818AB"/>
    <w:rsid w:val="00DB290C"/>
    <w:rsid w:val="00DB5F58"/>
    <w:rsid w:val="00DE1AFD"/>
    <w:rsid w:val="00DE1C50"/>
    <w:rsid w:val="00DF6C86"/>
    <w:rsid w:val="00E02FD6"/>
    <w:rsid w:val="00E44828"/>
    <w:rsid w:val="00E74FBB"/>
    <w:rsid w:val="00E80C95"/>
    <w:rsid w:val="00E90781"/>
    <w:rsid w:val="00E928F4"/>
    <w:rsid w:val="00EA1D40"/>
    <w:rsid w:val="00EA4B33"/>
    <w:rsid w:val="00ED162C"/>
    <w:rsid w:val="00EF584B"/>
    <w:rsid w:val="00F0627A"/>
    <w:rsid w:val="00F066D6"/>
    <w:rsid w:val="00F13034"/>
    <w:rsid w:val="00F25000"/>
    <w:rsid w:val="00F258FA"/>
    <w:rsid w:val="00F33A70"/>
    <w:rsid w:val="00F5355A"/>
    <w:rsid w:val="00F55850"/>
    <w:rsid w:val="00F72C53"/>
    <w:rsid w:val="00F72EC0"/>
    <w:rsid w:val="00F7721E"/>
    <w:rsid w:val="00F92883"/>
    <w:rsid w:val="00FA2825"/>
    <w:rsid w:val="00FA34F1"/>
    <w:rsid w:val="00FB12A0"/>
    <w:rsid w:val="00FC0898"/>
    <w:rsid w:val="00FC7799"/>
    <w:rsid w:val="00FD07F5"/>
    <w:rsid w:val="00FD20EA"/>
    <w:rsid w:val="00FF2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74F"/>
  <w15:docId w15:val="{9E373515-3B2C-44C8-A435-297837D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E74F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FBB"/>
    <w:rPr>
      <w:rFonts w:ascii="Segoe UI" w:hAnsi="Segoe UI" w:cs="Segoe UI"/>
      <w:sz w:val="18"/>
      <w:szCs w:val="18"/>
    </w:rPr>
  </w:style>
  <w:style w:type="character" w:styleId="Odkaznakoment">
    <w:name w:val="annotation reference"/>
    <w:basedOn w:val="Standardnpsmoodstavce"/>
    <w:uiPriority w:val="99"/>
    <w:semiHidden/>
    <w:unhideWhenUsed/>
    <w:rsid w:val="00F7721E"/>
    <w:rPr>
      <w:sz w:val="16"/>
      <w:szCs w:val="16"/>
    </w:rPr>
  </w:style>
  <w:style w:type="paragraph" w:styleId="Textkomente">
    <w:name w:val="annotation text"/>
    <w:basedOn w:val="Normln"/>
    <w:link w:val="TextkomenteChar"/>
    <w:uiPriority w:val="99"/>
    <w:semiHidden/>
    <w:unhideWhenUsed/>
    <w:rsid w:val="00F7721E"/>
    <w:rPr>
      <w:sz w:val="20"/>
      <w:szCs w:val="20"/>
    </w:rPr>
  </w:style>
  <w:style w:type="character" w:customStyle="1" w:styleId="TextkomenteChar">
    <w:name w:val="Text komentáře Char"/>
    <w:basedOn w:val="Standardnpsmoodstavce"/>
    <w:link w:val="Textkomente"/>
    <w:uiPriority w:val="99"/>
    <w:semiHidden/>
    <w:rsid w:val="00F7721E"/>
    <w:rPr>
      <w:sz w:val="20"/>
      <w:szCs w:val="20"/>
    </w:rPr>
  </w:style>
  <w:style w:type="paragraph" w:styleId="Pedmtkomente">
    <w:name w:val="annotation subject"/>
    <w:basedOn w:val="Textkomente"/>
    <w:next w:val="Textkomente"/>
    <w:link w:val="PedmtkomenteChar"/>
    <w:uiPriority w:val="99"/>
    <w:semiHidden/>
    <w:unhideWhenUsed/>
    <w:rsid w:val="00F7721E"/>
    <w:rPr>
      <w:b/>
      <w:bCs/>
    </w:rPr>
  </w:style>
  <w:style w:type="character" w:customStyle="1" w:styleId="PedmtkomenteChar">
    <w:name w:val="Předmět komentáře Char"/>
    <w:basedOn w:val="TextkomenteChar"/>
    <w:link w:val="Pedmtkomente"/>
    <w:uiPriority w:val="99"/>
    <w:semiHidden/>
    <w:rsid w:val="00F7721E"/>
    <w:rPr>
      <w:b/>
      <w:bCs/>
      <w:sz w:val="20"/>
      <w:szCs w:val="20"/>
    </w:rPr>
  </w:style>
  <w:style w:type="paragraph" w:styleId="Zhlav">
    <w:name w:val="header"/>
    <w:basedOn w:val="Normln"/>
    <w:link w:val="ZhlavChar"/>
    <w:uiPriority w:val="99"/>
    <w:unhideWhenUsed/>
    <w:rsid w:val="00800EF3"/>
    <w:pPr>
      <w:tabs>
        <w:tab w:val="center" w:pos="4536"/>
        <w:tab w:val="right" w:pos="9072"/>
      </w:tabs>
    </w:pPr>
  </w:style>
  <w:style w:type="character" w:customStyle="1" w:styleId="ZhlavChar">
    <w:name w:val="Záhlaví Char"/>
    <w:basedOn w:val="Standardnpsmoodstavce"/>
    <w:link w:val="Zhlav"/>
    <w:uiPriority w:val="99"/>
    <w:rsid w:val="00800EF3"/>
  </w:style>
  <w:style w:type="paragraph" w:styleId="Zpat">
    <w:name w:val="footer"/>
    <w:basedOn w:val="Normln"/>
    <w:link w:val="ZpatChar"/>
    <w:uiPriority w:val="99"/>
    <w:unhideWhenUsed/>
    <w:rsid w:val="00800EF3"/>
    <w:pPr>
      <w:tabs>
        <w:tab w:val="center" w:pos="4536"/>
        <w:tab w:val="right" w:pos="9072"/>
      </w:tabs>
    </w:pPr>
  </w:style>
  <w:style w:type="character" w:customStyle="1" w:styleId="ZpatChar">
    <w:name w:val="Zápatí Char"/>
    <w:basedOn w:val="Standardnpsmoodstavce"/>
    <w:link w:val="Zpat"/>
    <w:uiPriority w:val="99"/>
    <w:rsid w:val="00800EF3"/>
  </w:style>
  <w:style w:type="table" w:styleId="Mkatabulky">
    <w:name w:val="Table Grid"/>
    <w:basedOn w:val="Normlntabulka"/>
    <w:uiPriority w:val="39"/>
    <w:rsid w:val="00B2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518</Words>
  <Characters>3062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96</cp:revision>
  <dcterms:created xsi:type="dcterms:W3CDTF">2022-10-25T09:24:00Z</dcterms:created>
  <dcterms:modified xsi:type="dcterms:W3CDTF">2026-02-02T09:30:00Z</dcterms:modified>
</cp:coreProperties>
</file>