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DE1A" w14:textId="77777777" w:rsidR="002863AF" w:rsidRDefault="00000000">
      <w:pPr>
        <w:spacing w:after="111" w:line="216" w:lineRule="auto"/>
        <w:ind w:left="624" w:firstLine="7181"/>
      </w:pPr>
      <w:r>
        <w:rPr>
          <w:sz w:val="18"/>
        </w:rPr>
        <w:t>HRAD SVOJANOV hrad</w:t>
      </w:r>
      <w:r>
        <w:rPr>
          <w:sz w:val="18"/>
        </w:rPr>
        <w:tab/>
        <w:t>Svojanov 1, www.svojanov.cz569 73 Svojanov</w:t>
      </w:r>
    </w:p>
    <w:p w14:paraId="6FDF7DB5" w14:textId="77777777" w:rsidR="002863AF" w:rsidRDefault="00000000">
      <w:pPr>
        <w:tabs>
          <w:tab w:val="center" w:pos="1334"/>
          <w:tab w:val="right" w:pos="9092"/>
        </w:tabs>
        <w:spacing w:after="61"/>
      </w:pPr>
      <w:r>
        <w:rPr>
          <w:noProof/>
        </w:rPr>
        <mc:AlternateContent>
          <mc:Choice Requires="wpg">
            <w:drawing>
              <wp:anchor distT="0" distB="0" distL="114300" distR="114300" simplePos="0" relativeHeight="251658240" behindDoc="0" locked="0" layoutInCell="1" allowOverlap="1" wp14:anchorId="2C5922BA" wp14:editId="7295F882">
                <wp:simplePos x="0" y="0"/>
                <wp:positionH relativeFrom="column">
                  <wp:posOffset>1350355</wp:posOffset>
                </wp:positionH>
                <wp:positionV relativeFrom="paragraph">
                  <wp:posOffset>190021</wp:posOffset>
                </wp:positionV>
                <wp:extent cx="4377222" cy="12193"/>
                <wp:effectExtent l="0" t="0" r="0" b="0"/>
                <wp:wrapSquare wrapText="bothSides"/>
                <wp:docPr id="5549" name="Group 5549"/>
                <wp:cNvGraphicFramePr/>
                <a:graphic xmlns:a="http://schemas.openxmlformats.org/drawingml/2006/main">
                  <a:graphicData uri="http://schemas.microsoft.com/office/word/2010/wordprocessingGroup">
                    <wpg:wgp>
                      <wpg:cNvGrpSpPr/>
                      <wpg:grpSpPr>
                        <a:xfrm>
                          <a:off x="0" y="0"/>
                          <a:ext cx="4377222" cy="12193"/>
                          <a:chOff x="0" y="0"/>
                          <a:chExt cx="4377222" cy="12193"/>
                        </a:xfrm>
                      </wpg:grpSpPr>
                      <wps:wsp>
                        <wps:cNvPr id="5548" name="Shape 5548"/>
                        <wps:cNvSpPr/>
                        <wps:spPr>
                          <a:xfrm>
                            <a:off x="0" y="0"/>
                            <a:ext cx="4377222" cy="12193"/>
                          </a:xfrm>
                          <a:custGeom>
                            <a:avLst/>
                            <a:gdLst/>
                            <a:ahLst/>
                            <a:cxnLst/>
                            <a:rect l="0" t="0" r="0" b="0"/>
                            <a:pathLst>
                              <a:path w="4377222" h="12193">
                                <a:moveTo>
                                  <a:pt x="0" y="6097"/>
                                </a:moveTo>
                                <a:lnTo>
                                  <a:pt x="437722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49" style="width:344.663pt;height:0.960091pt;position:absolute;mso-position-horizontal-relative:text;mso-position-horizontal:absolute;margin-left:106.327pt;mso-position-vertical-relative:text;margin-top:14.9623pt;" coordsize="43772,121">
                <v:shape id="Shape 5548" style="position:absolute;width:43772;height:121;left:0;top:0;" coordsize="4377222,12193" path="m0,6097l4377222,6097">
                  <v:stroke weight="0.960091pt" endcap="flat" joinstyle="miter" miterlimit="1" on="true" color="#000000"/>
                  <v:fill on="false" color="#000000"/>
                </v:shape>
                <w10:wrap type="square"/>
              </v:group>
            </w:pict>
          </mc:Fallback>
        </mc:AlternateContent>
      </w:r>
      <w:r>
        <w:rPr>
          <w:noProof/>
        </w:rPr>
        <w:drawing>
          <wp:anchor distT="0" distB="0" distL="114300" distR="114300" simplePos="0" relativeHeight="251659264" behindDoc="0" locked="0" layoutInCell="1" allowOverlap="0" wp14:anchorId="7E6B833E" wp14:editId="7D96D0A3">
            <wp:simplePos x="0" y="0"/>
            <wp:positionH relativeFrom="column">
              <wp:posOffset>9145</wp:posOffset>
            </wp:positionH>
            <wp:positionV relativeFrom="paragraph">
              <wp:posOffset>193069</wp:posOffset>
            </wp:positionV>
            <wp:extent cx="15241" cy="15242"/>
            <wp:effectExtent l="0" t="0" r="0" b="0"/>
            <wp:wrapSquare wrapText="bothSides"/>
            <wp:docPr id="2625" name="Picture 2625"/>
            <wp:cNvGraphicFramePr/>
            <a:graphic xmlns:a="http://schemas.openxmlformats.org/drawingml/2006/main">
              <a:graphicData uri="http://schemas.openxmlformats.org/drawingml/2006/picture">
                <pic:pic xmlns:pic="http://schemas.openxmlformats.org/drawingml/2006/picture">
                  <pic:nvPicPr>
                    <pic:cNvPr id="2625" name="Picture 2625"/>
                    <pic:cNvPicPr/>
                  </pic:nvPicPr>
                  <pic:blipFill>
                    <a:blip r:embed="rId4"/>
                    <a:stretch>
                      <a:fillRect/>
                    </a:stretch>
                  </pic:blipFill>
                  <pic:spPr>
                    <a:xfrm>
                      <a:off x="0" y="0"/>
                      <a:ext cx="15241" cy="15242"/>
                    </a:xfrm>
                    <a:prstGeom prst="rect">
                      <a:avLst/>
                    </a:prstGeom>
                  </pic:spPr>
                </pic:pic>
              </a:graphicData>
            </a:graphic>
          </wp:anchor>
        </w:drawing>
      </w:r>
      <w:r>
        <w:rPr>
          <w:sz w:val="18"/>
        </w:rPr>
        <w:tab/>
        <w:t>Svojanov</w:t>
      </w:r>
      <w:r>
        <w:rPr>
          <w:sz w:val="18"/>
        </w:rPr>
        <w:tab/>
        <w:t>e-mail: info@svojanov.cz</w:t>
      </w:r>
    </w:p>
    <w:p w14:paraId="6BE6891B" w14:textId="77777777" w:rsidR="002863AF" w:rsidRDefault="00000000">
      <w:pPr>
        <w:spacing w:before="902" w:after="0" w:line="216" w:lineRule="auto"/>
        <w:ind w:left="9" w:right="230"/>
        <w:jc w:val="both"/>
      </w:pPr>
      <w:r>
        <w:rPr>
          <w:sz w:val="26"/>
        </w:rPr>
        <w:t xml:space="preserve">Nájemce není oprávněn byt ani jeho část přenechat jinému do podnájmu bez písemného souhlasu pronajímatele. Porušení této povinnosti se považuje za hrubé porušení povinnosti nájemce vyplývající z </w:t>
      </w:r>
      <w:proofErr w:type="spellStart"/>
      <w:r>
        <w:rPr>
          <w:sz w:val="26"/>
        </w:rPr>
        <w:t>nŔjmu</w:t>
      </w:r>
      <w:proofErr w:type="spellEnd"/>
      <w:r>
        <w:rPr>
          <w:sz w:val="26"/>
        </w:rPr>
        <w:t xml:space="preserve"> bytu podle S 771 odst. 2 písm. b) Občanského zákoníku.</w:t>
      </w:r>
    </w:p>
    <w:p w14:paraId="0626B07F" w14:textId="77777777" w:rsidR="002863AF" w:rsidRDefault="00000000">
      <w:pPr>
        <w:spacing w:after="225" w:line="216" w:lineRule="auto"/>
        <w:ind w:left="9" w:right="91"/>
        <w:jc w:val="both"/>
      </w:pPr>
      <w:r>
        <w:rPr>
          <w:sz w:val="26"/>
        </w:rPr>
        <w:t xml:space="preserve">Nájemce je povinen oznámit pronajímateli veškeré změny v počtu osob, které žijí s nájemcem v bytě, a to do </w:t>
      </w:r>
      <w:proofErr w:type="gramStart"/>
      <w:r>
        <w:rPr>
          <w:sz w:val="26"/>
        </w:rPr>
        <w:t>15-ti</w:t>
      </w:r>
      <w:proofErr w:type="gramEnd"/>
      <w:r>
        <w:rPr>
          <w:sz w:val="26"/>
        </w:rPr>
        <w:t xml:space="preserve"> dnů ode dne, kdy ke změně došlo. V písemném oznámení nájemce uvede jména, příjmení, data narození a státní příslušnost těchto osob. Nesplní-li nájemce tuto povinnost ani do jednoho měsíce, považuje se to za hrubé porušení povinnosti nájemce, vyplývající z nájmu bytu podle S 771 odst. 2 písm. b) Občanského zákoníku.</w:t>
      </w:r>
    </w:p>
    <w:p w14:paraId="154DA9F8" w14:textId="77777777" w:rsidR="002863AF" w:rsidRDefault="00000000">
      <w:pPr>
        <w:spacing w:after="0"/>
        <w:ind w:left="24" w:right="10" w:hanging="10"/>
        <w:jc w:val="center"/>
      </w:pPr>
      <w:proofErr w:type="spellStart"/>
      <w:r>
        <w:rPr>
          <w:sz w:val="24"/>
        </w:rPr>
        <w:t>Vl</w:t>
      </w:r>
      <w:proofErr w:type="spellEnd"/>
      <w:r>
        <w:rPr>
          <w:sz w:val="24"/>
        </w:rPr>
        <w:t>.</w:t>
      </w:r>
    </w:p>
    <w:p w14:paraId="5F7E3A8D" w14:textId="77777777" w:rsidR="002863AF" w:rsidRDefault="00000000">
      <w:pPr>
        <w:spacing w:after="0" w:line="216" w:lineRule="auto"/>
        <w:ind w:left="9" w:right="91"/>
        <w:jc w:val="both"/>
      </w:pPr>
      <w:r>
        <w:rPr>
          <w:sz w:val="26"/>
        </w:rPr>
        <w:t>Nájemce nesmí provádět stavební úpravy ani jiné podstatné změny v bytě bez předchozího písemného souhlasu pronajímatele, a to ani na svůj náklad. V případě porušení této povinnosti je pronajímatel oprávněný požadovat, aby nájemce provedené úpravy a změny bez odkladu odstranil.</w:t>
      </w:r>
    </w:p>
    <w:p w14:paraId="08991A8D" w14:textId="77777777" w:rsidR="002863AF" w:rsidRDefault="00000000">
      <w:pPr>
        <w:spacing w:after="0" w:line="216" w:lineRule="auto"/>
        <w:ind w:left="9" w:right="91"/>
        <w:jc w:val="both"/>
      </w:pPr>
      <w:r>
        <w:rPr>
          <w:sz w:val="26"/>
        </w:rPr>
        <w:t>Nájemce je povinen oznámit bez zbytečného odkladu pronajímateli potřebu těch oprav v bytě, které má nést pronajímatel a umožnit jejich provedení, jinak odpovídá za škodu, která nesplněním této povinnosti vznikla.</w:t>
      </w:r>
    </w:p>
    <w:p w14:paraId="749C5934" w14:textId="77777777" w:rsidR="002863AF" w:rsidRDefault="00000000">
      <w:pPr>
        <w:spacing w:after="0" w:line="216" w:lineRule="auto"/>
        <w:ind w:left="9" w:right="91"/>
        <w:jc w:val="both"/>
      </w:pPr>
      <w:r>
        <w:rPr>
          <w:sz w:val="26"/>
        </w:rPr>
        <w:t xml:space="preserve">Nájemce se zavazuje umožnit pronajímateli vstup do </w:t>
      </w:r>
      <w:proofErr w:type="spellStart"/>
      <w:r>
        <w:rPr>
          <w:sz w:val="26"/>
        </w:rPr>
        <w:t>pronqjatého</w:t>
      </w:r>
      <w:proofErr w:type="spellEnd"/>
      <w:r>
        <w:rPr>
          <w:sz w:val="26"/>
        </w:rPr>
        <w:t xml:space="preserve"> bytu, zejména za účelem prohlídky, zjištění technického stavu a způsobu užívání bytu.</w:t>
      </w:r>
    </w:p>
    <w:p w14:paraId="2D1712C2" w14:textId="77777777" w:rsidR="002863AF" w:rsidRDefault="00000000">
      <w:pPr>
        <w:spacing w:after="243" w:line="216" w:lineRule="auto"/>
        <w:ind w:left="9" w:right="91"/>
        <w:jc w:val="both"/>
      </w:pPr>
      <w:r>
        <w:rPr>
          <w:noProof/>
        </w:rPr>
        <w:drawing>
          <wp:anchor distT="0" distB="0" distL="114300" distR="114300" simplePos="0" relativeHeight="251660288" behindDoc="0" locked="0" layoutInCell="1" allowOverlap="0" wp14:anchorId="1DCF0BCE" wp14:editId="2B04AACA">
            <wp:simplePos x="0" y="0"/>
            <wp:positionH relativeFrom="page">
              <wp:posOffset>603545</wp:posOffset>
            </wp:positionH>
            <wp:positionV relativeFrom="page">
              <wp:posOffset>6130111</wp:posOffset>
            </wp:positionV>
            <wp:extent cx="24386" cy="27435"/>
            <wp:effectExtent l="0" t="0" r="0" b="0"/>
            <wp:wrapSquare wrapText="bothSides"/>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5"/>
                    <a:stretch>
                      <a:fillRect/>
                    </a:stretch>
                  </pic:blipFill>
                  <pic:spPr>
                    <a:xfrm>
                      <a:off x="0" y="0"/>
                      <a:ext cx="24386" cy="27435"/>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6D18CFC3" wp14:editId="6BE75782">
                <wp:simplePos x="0" y="0"/>
                <wp:positionH relativeFrom="page">
                  <wp:posOffset>871787</wp:posOffset>
                </wp:positionH>
                <wp:positionV relativeFrom="page">
                  <wp:posOffset>10031921</wp:posOffset>
                </wp:positionV>
                <wp:extent cx="5800734" cy="12193"/>
                <wp:effectExtent l="0" t="0" r="0" b="0"/>
                <wp:wrapTopAndBottom/>
                <wp:docPr id="5551" name="Group 5551"/>
                <wp:cNvGraphicFramePr/>
                <a:graphic xmlns:a="http://schemas.openxmlformats.org/drawingml/2006/main">
                  <a:graphicData uri="http://schemas.microsoft.com/office/word/2010/wordprocessingGroup">
                    <wpg:wgp>
                      <wpg:cNvGrpSpPr/>
                      <wpg:grpSpPr>
                        <a:xfrm>
                          <a:off x="0" y="0"/>
                          <a:ext cx="5800734" cy="12193"/>
                          <a:chOff x="0" y="0"/>
                          <a:chExt cx="5800734" cy="12193"/>
                        </a:xfrm>
                      </wpg:grpSpPr>
                      <wps:wsp>
                        <wps:cNvPr id="5550" name="Shape 5550"/>
                        <wps:cNvSpPr/>
                        <wps:spPr>
                          <a:xfrm>
                            <a:off x="0" y="0"/>
                            <a:ext cx="5800734" cy="12193"/>
                          </a:xfrm>
                          <a:custGeom>
                            <a:avLst/>
                            <a:gdLst/>
                            <a:ahLst/>
                            <a:cxnLst/>
                            <a:rect l="0" t="0" r="0" b="0"/>
                            <a:pathLst>
                              <a:path w="5800734" h="12193">
                                <a:moveTo>
                                  <a:pt x="0" y="6097"/>
                                </a:moveTo>
                                <a:lnTo>
                                  <a:pt x="580073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551" style="width:456.751pt;height:0.960083pt;position:absolute;mso-position-horizontal-relative:page;mso-position-horizontal:absolute;margin-left:68.6446pt;mso-position-vertical-relative:page;margin-top:789.915pt;" coordsize="58007,121">
                <v:shape id="Shape 5550" style="position:absolute;width:58007;height:121;left:0;top:0;" coordsize="5800734,12193" path="m0,6097l5800734,6097">
                  <v:stroke weight="0.960083pt" endcap="flat" joinstyle="miter" miterlimit="1" on="true" color="#000000"/>
                  <v:fill on="false" color="#000000"/>
                </v:shape>
                <w10:wrap type="topAndBottom"/>
              </v:group>
            </w:pict>
          </mc:Fallback>
        </mc:AlternateContent>
      </w:r>
      <w:r>
        <w:rPr>
          <w:sz w:val="26"/>
        </w:rPr>
        <w:t xml:space="preserve">Nájemce je povinen po předchozí písemné výzvě umožnit </w:t>
      </w:r>
      <w:proofErr w:type="spellStart"/>
      <w:r>
        <w:rPr>
          <w:sz w:val="26"/>
        </w:rPr>
        <w:t>pronqjírnateli</w:t>
      </w:r>
      <w:proofErr w:type="spellEnd"/>
      <w:r>
        <w:rPr>
          <w:sz w:val="26"/>
        </w:rPr>
        <w:t xml:space="preserve"> nebo jím pověřené osobě, aby provedl instalaci a údržbu zařízení pro měření a regulaci tepla, teplé a studené vody, jakož i odpočet naměřených hodnot. Stejně tak je povinen umožnit přístup k dalším technickým zařízením, pokud jsou součástí bytu a patří pronajímateli.</w:t>
      </w:r>
    </w:p>
    <w:p w14:paraId="6937617C" w14:textId="77777777" w:rsidR="002863AF" w:rsidRDefault="00000000">
      <w:pPr>
        <w:spacing w:after="0"/>
        <w:ind w:left="24" w:hanging="10"/>
        <w:jc w:val="center"/>
      </w:pPr>
      <w:r>
        <w:rPr>
          <w:sz w:val="24"/>
        </w:rPr>
        <w:t>VII.</w:t>
      </w:r>
    </w:p>
    <w:p w14:paraId="0CA3B70E" w14:textId="77777777" w:rsidR="002863AF" w:rsidRDefault="00000000">
      <w:pPr>
        <w:spacing w:after="222" w:line="216" w:lineRule="auto"/>
        <w:ind w:firstLine="34"/>
      </w:pPr>
      <w:r>
        <w:rPr>
          <w:sz w:val="28"/>
        </w:rPr>
        <w:t>Nájemce souhlasí, aby jeho osobní údaje, tj. rodné číslo a datum narození, které jsou spojeny se správou bytů, byly správcem bytů evidovány v databázi nájemců a majitelů bytu a zpracovány v souladu se zák. č. 101/2000 Sb. o ochraně osobních údajů.</w:t>
      </w:r>
    </w:p>
    <w:p w14:paraId="7FB241DD" w14:textId="77777777" w:rsidR="002863AF" w:rsidRDefault="00000000">
      <w:pPr>
        <w:spacing w:after="0"/>
        <w:ind w:left="5"/>
        <w:jc w:val="center"/>
      </w:pPr>
      <w:r>
        <w:t>VIII.</w:t>
      </w:r>
    </w:p>
    <w:p w14:paraId="7495BACF" w14:textId="77777777" w:rsidR="002863AF" w:rsidRDefault="00000000">
      <w:pPr>
        <w:spacing w:after="0" w:line="216" w:lineRule="auto"/>
        <w:ind w:left="14" w:hanging="5"/>
      </w:pPr>
      <w:r>
        <w:rPr>
          <w:sz w:val="26"/>
        </w:rPr>
        <w:t xml:space="preserve">Výše nájemného je stanovena dle </w:t>
      </w:r>
      <w:proofErr w:type="spellStart"/>
      <w:r>
        <w:rPr>
          <w:sz w:val="26"/>
        </w:rPr>
        <w:t>vyhl</w:t>
      </w:r>
      <w:proofErr w:type="spellEnd"/>
      <w:r>
        <w:rPr>
          <w:sz w:val="26"/>
        </w:rPr>
        <w:t>. 107 /2006 Sb., viz evidenční list. Nájemné je splatné do posledního dne každého kalendářního měsíce na účet pronajímatele. Vedle nájemného se nájemce zavazuje pronajímateli měsíčně platit zálohu na všechna ostatní plnění poskytovaná s užíváním bytu, zahrnující zejména zálohy na teplo, dodávku teplé užitkové vody, vodné a stočné, osvětlení společných prostor, STA a výtah. Na tyto úhrady se sjednává měsíční záloha ve výši uvedené v evidenčním listu, splatná je spolu s nájemným.</w:t>
      </w:r>
    </w:p>
    <w:p w14:paraId="2F2C9D66" w14:textId="77777777" w:rsidR="002863AF" w:rsidRDefault="00000000">
      <w:pPr>
        <w:spacing w:after="0" w:line="216" w:lineRule="auto"/>
        <w:ind w:left="9" w:right="91"/>
        <w:jc w:val="both"/>
      </w:pPr>
      <w:r>
        <w:rPr>
          <w:sz w:val="26"/>
        </w:rPr>
        <w:t xml:space="preserve">Výpočet </w:t>
      </w:r>
      <w:proofErr w:type="spellStart"/>
      <w:r>
        <w:rPr>
          <w:sz w:val="26"/>
        </w:rPr>
        <w:t>nŔjemného</w:t>
      </w:r>
      <w:proofErr w:type="spellEnd"/>
      <w:r>
        <w:rPr>
          <w:sz w:val="26"/>
        </w:rPr>
        <w:t xml:space="preserve"> a úhrady za plnění poskytovaná s užíváním bytu je nedílnou součástí této smlouvy.</w:t>
      </w:r>
    </w:p>
    <w:p w14:paraId="5D9F11D1" w14:textId="77777777" w:rsidR="002863AF" w:rsidRDefault="00000000">
      <w:pPr>
        <w:spacing w:after="514" w:line="216" w:lineRule="auto"/>
        <w:ind w:left="14" w:hanging="5"/>
      </w:pPr>
      <w:r>
        <w:rPr>
          <w:sz w:val="26"/>
        </w:rPr>
        <w:lastRenderedPageBreak/>
        <w:t xml:space="preserve">Zálohy úhrad za plnění poskytovaná s užíváním bytu vč. ceny tepla a teplé užitkové vody budou zúčtovány nejpozději do konce 6. kalendářního měsíce následujícího roku. Doplatky za tyto úhrady se nájemce zavazuje uhradit pronajímateli do </w:t>
      </w:r>
      <w:proofErr w:type="gramStart"/>
      <w:r>
        <w:rPr>
          <w:sz w:val="26"/>
        </w:rPr>
        <w:t>30-ti</w:t>
      </w:r>
      <w:proofErr w:type="gramEnd"/>
      <w:r>
        <w:rPr>
          <w:sz w:val="26"/>
        </w:rPr>
        <w:t xml:space="preserve"> dnů od doručení jejich vyúčtování. Vyúčtování záloh se řídí a provádí podle příslušných předpisů a v termínech předpisy nebo touto nájemní smlouvou stanovených. Vyúčtování vodného a stočného, TUV a tepla podružných měřidel je možné pouze v případě, že měřidla jsou instalována ve všech odběrných místech,</w:t>
      </w:r>
    </w:p>
    <w:p w14:paraId="3A7B6EDF" w14:textId="4126D11B" w:rsidR="002863AF" w:rsidRDefault="00000000">
      <w:pPr>
        <w:tabs>
          <w:tab w:val="right" w:pos="9092"/>
        </w:tabs>
        <w:spacing w:before="118" w:after="111" w:line="216" w:lineRule="auto"/>
      </w:pPr>
      <w:r>
        <w:rPr>
          <w:sz w:val="18"/>
        </w:rPr>
        <w:t xml:space="preserve">Telefon: </w:t>
      </w:r>
      <w:r>
        <w:rPr>
          <w:sz w:val="18"/>
        </w:rPr>
        <w:tab/>
      </w:r>
      <w:proofErr w:type="spellStart"/>
      <w:r>
        <w:rPr>
          <w:sz w:val="18"/>
        </w:rPr>
        <w:t>lč</w:t>
      </w:r>
      <w:proofErr w:type="spellEnd"/>
      <w:r>
        <w:rPr>
          <w:sz w:val="18"/>
        </w:rPr>
        <w:t>: 00194620</w:t>
      </w:r>
    </w:p>
    <w:sectPr w:rsidR="002863AF">
      <w:pgSz w:w="11900" w:h="16840"/>
      <w:pgMar w:top="1440" w:right="1430" w:bottom="1440" w:left="13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AF"/>
    <w:rsid w:val="002863AF"/>
    <w:rsid w:val="004E75C7"/>
    <w:rsid w:val="005D02AC"/>
    <w:rsid w:val="00CF1603"/>
    <w:rsid w:val="00FE7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27AB"/>
  <w15:docId w15:val="{6AEC4AEA-3B4B-4ACD-8BDD-1EF7DF6B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2750</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Králíček</dc:creator>
  <cp:keywords/>
  <cp:lastModifiedBy>Jan Králíček</cp:lastModifiedBy>
  <cp:revision>2</cp:revision>
  <dcterms:created xsi:type="dcterms:W3CDTF">2026-01-31T17:51:00Z</dcterms:created>
  <dcterms:modified xsi:type="dcterms:W3CDTF">2026-01-31T17:51:00Z</dcterms:modified>
</cp:coreProperties>
</file>