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0BCFA297" w:rsidR="00640B3F" w:rsidRPr="00520A8F" w:rsidRDefault="00640B3F" w:rsidP="00952C75">
      <w:pPr>
        <w:pStyle w:val="Nadpis1"/>
        <w:rPr>
          <w:lang w:val="cs-CZ"/>
        </w:rPr>
      </w:pPr>
      <w:r w:rsidRPr="00520A8F">
        <w:rPr>
          <w:lang w:val="cs-CZ"/>
        </w:rPr>
        <w:t xml:space="preserve">Dodatek č. </w:t>
      </w:r>
      <w:r w:rsidR="005A222E" w:rsidRPr="00520A8F">
        <w:rPr>
          <w:lang w:val="cs-CZ"/>
        </w:rPr>
        <w:t>1</w:t>
      </w:r>
      <w:r w:rsidR="00A35AC1" w:rsidRPr="00520A8F">
        <w:rPr>
          <w:lang w:val="cs-CZ"/>
        </w:rPr>
        <w:t xml:space="preserve"> ke Smlouvě na postupné dodávky léků č</w:t>
      </w:r>
      <w:r w:rsidR="000213D6" w:rsidRPr="00520A8F">
        <w:rPr>
          <w:lang w:val="cs-CZ"/>
        </w:rPr>
        <w:t xml:space="preserve">. </w:t>
      </w:r>
      <w:r w:rsidR="002E353D">
        <w:rPr>
          <w:color w:val="000000" w:themeColor="text1"/>
          <w:lang w:val="cs-CZ"/>
        </w:rPr>
        <w:t>70</w:t>
      </w:r>
      <w:r w:rsidR="0056204F">
        <w:rPr>
          <w:color w:val="000000" w:themeColor="text1"/>
          <w:lang w:val="cs-CZ"/>
        </w:rPr>
        <w:t>/2024</w:t>
      </w:r>
    </w:p>
    <w:p w14:paraId="17712408" w14:textId="77777777" w:rsidR="00640B3F" w:rsidRPr="00520A8F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6EF57D22" w:rsidR="00640B3F" w:rsidRPr="00520A8F" w:rsidRDefault="00952C75" w:rsidP="00CD4D35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zapsaná v obchodním rejstříku u Městského soudu v Praze, oddíl Pr, vl.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B18444F" w14:textId="5AA794BF" w:rsidR="00A35AC1" w:rsidRPr="00A35AC1" w:rsidRDefault="00A35AC1" w:rsidP="00DF296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DF2965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Pr="003E7637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289DB3DE" w14:textId="77777777" w:rsidR="0056204F" w:rsidRDefault="0056204F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2E647F94" w14:textId="77777777" w:rsidR="0056204F" w:rsidRDefault="0056204F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1CE50604" w14:textId="450A1215" w:rsidR="00640B3F" w:rsidRPr="003E7637" w:rsidRDefault="00A35AC1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  <w:lang w:val="de-DE"/>
        </w:rPr>
      </w:pPr>
      <w:r w:rsidRPr="003E7637">
        <w:rPr>
          <w:rFonts w:ascii="Tahoma" w:hAnsi="Tahoma" w:cs="Tahoma"/>
          <w:sz w:val="20"/>
        </w:rPr>
        <w:t>a</w:t>
      </w:r>
    </w:p>
    <w:p w14:paraId="3CAB88B0" w14:textId="77777777" w:rsidR="002A32FF" w:rsidRPr="002A32FF" w:rsidRDefault="002A32FF" w:rsidP="002A32F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72A16EFA" w14:textId="77777777" w:rsidR="0024460A" w:rsidRPr="0024460A" w:rsidRDefault="0024460A" w:rsidP="0024460A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6E1E9019" w14:textId="77777777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345A40C3" w14:textId="77777777" w:rsidR="002E353D" w:rsidRPr="002E353D" w:rsidRDefault="002E353D" w:rsidP="002E353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b/>
          <w:bCs/>
          <w:sz w:val="20"/>
          <w:szCs w:val="20"/>
          <w:lang w:val="cs-CZ" w:eastAsia="cs-CZ"/>
        </w:rPr>
        <w:t>Teva Pharmaceuticals CR, s.r.o.</w:t>
      </w:r>
    </w:p>
    <w:p w14:paraId="057341D3" w14:textId="77777777" w:rsidR="002E353D" w:rsidRPr="002E353D" w:rsidRDefault="002E353D" w:rsidP="002E35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sz w:val="20"/>
          <w:szCs w:val="20"/>
          <w:lang w:val="cs-CZ" w:eastAsia="cs-CZ"/>
        </w:rPr>
        <w:t>se sídlem: Radlická 3185/1c, 150 00 Praha 5</w:t>
      </w:r>
    </w:p>
    <w:p w14:paraId="31B0EBFB" w14:textId="77777777" w:rsidR="002E353D" w:rsidRPr="002E353D" w:rsidRDefault="002E353D" w:rsidP="002E353D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sz w:val="20"/>
          <w:szCs w:val="20"/>
          <w:lang w:val="cs-CZ" w:eastAsia="cs-CZ"/>
        </w:rPr>
        <w:t>IČ: 256 29 646</w:t>
      </w:r>
    </w:p>
    <w:p w14:paraId="6B59DC17" w14:textId="77777777" w:rsidR="002E353D" w:rsidRPr="002E353D" w:rsidRDefault="002E353D" w:rsidP="002E353D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sz w:val="20"/>
          <w:szCs w:val="20"/>
          <w:lang w:val="cs-CZ" w:eastAsia="cs-CZ"/>
        </w:rPr>
        <w:t>DIČ: CZ 256 29 646</w:t>
      </w:r>
    </w:p>
    <w:p w14:paraId="715D4B60" w14:textId="01B9D247" w:rsidR="002E353D" w:rsidRPr="002E353D" w:rsidRDefault="002E353D" w:rsidP="002E35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sz w:val="20"/>
          <w:szCs w:val="20"/>
          <w:lang w:val="cs-CZ" w:eastAsia="cs-CZ"/>
        </w:rPr>
        <w:t xml:space="preserve">Bankovní spojení: </w:t>
      </w:r>
      <w:r w:rsidR="00DF2965">
        <w:rPr>
          <w:rFonts w:ascii="Tahoma" w:hAnsi="Tahoma" w:cs="Tahoma"/>
          <w:sz w:val="20"/>
          <w:szCs w:val="20"/>
          <w:lang w:val="cs-CZ" w:eastAsia="cs-CZ"/>
        </w:rPr>
        <w:t>XXX</w:t>
      </w:r>
    </w:p>
    <w:p w14:paraId="232186CE" w14:textId="77777777" w:rsidR="002E353D" w:rsidRPr="002E353D" w:rsidRDefault="002E353D" w:rsidP="002E35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sz w:val="20"/>
          <w:szCs w:val="20"/>
          <w:lang w:val="cs-CZ" w:eastAsia="cs-CZ"/>
        </w:rPr>
        <w:t>Firma je zapsána u MS v Praze, oddíl C, vložka 56235</w:t>
      </w:r>
    </w:p>
    <w:p w14:paraId="583D5A16" w14:textId="7CDBA582" w:rsidR="002E353D" w:rsidRPr="002E353D" w:rsidRDefault="002E353D" w:rsidP="002E35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sz w:val="20"/>
          <w:szCs w:val="20"/>
          <w:lang w:val="cs-CZ" w:eastAsia="cs-CZ"/>
        </w:rPr>
        <w:t xml:space="preserve">zastoupena: </w:t>
      </w:r>
      <w:r w:rsidR="00756D32">
        <w:rPr>
          <w:rFonts w:ascii="Tahoma" w:hAnsi="Tahoma" w:cs="Tahoma"/>
          <w:sz w:val="20"/>
          <w:szCs w:val="20"/>
          <w:lang w:val="cs-CZ" w:eastAsia="cs-CZ"/>
        </w:rPr>
        <w:t>Jelenou Livsica</w:t>
      </w:r>
      <w:r w:rsidRPr="00F04300">
        <w:rPr>
          <w:rFonts w:ascii="Tahoma" w:hAnsi="Tahoma" w:cs="Tahoma"/>
          <w:sz w:val="20"/>
          <w:szCs w:val="20"/>
          <w:lang w:val="cs-CZ" w:eastAsia="cs-CZ"/>
        </w:rPr>
        <w:t>, jednatel, Kalinkou Hristova-Metodieva, jednatel</w:t>
      </w:r>
    </w:p>
    <w:p w14:paraId="4AEBCC03" w14:textId="58E6C80D" w:rsidR="009D6784" w:rsidRPr="009D6784" w:rsidRDefault="722CD4C3" w:rsidP="722CD4C3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r w:rsidRPr="722CD4C3">
        <w:rPr>
          <w:rFonts w:ascii="Tahoma" w:eastAsia="Times New Roman" w:hAnsi="Tahoma" w:cs="Tahoma"/>
          <w:color w:val="auto"/>
          <w:sz w:val="20"/>
          <w:lang w:val="en-US"/>
        </w:rPr>
        <w:t>(dále jen Prodávající)</w:t>
      </w:r>
    </w:p>
    <w:p w14:paraId="457376A5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5C126FB2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3E02455F" w14:textId="2B038FBB" w:rsidR="00640B3F" w:rsidRDefault="00640B3F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>léků</w:t>
      </w:r>
      <w:r w:rsidR="00CD4D35">
        <w:rPr>
          <w:rFonts w:ascii="Tahoma" w:hAnsi="Tahoma" w:cs="Tahoma"/>
          <w:sz w:val="20"/>
          <w:szCs w:val="20"/>
          <w:lang w:val="cs-CZ"/>
        </w:rPr>
        <w:t xml:space="preserve"> č</w:t>
      </w:r>
      <w:r w:rsidR="00CD4D35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. </w:t>
      </w:r>
      <w:r w:rsidR="002E353D">
        <w:rPr>
          <w:rFonts w:ascii="Tahoma" w:hAnsi="Tahoma" w:cs="Tahoma"/>
          <w:color w:val="000000" w:themeColor="text1"/>
          <w:sz w:val="20"/>
          <w:szCs w:val="20"/>
          <w:lang w:val="cs-CZ"/>
        </w:rPr>
        <w:t>70</w:t>
      </w:r>
      <w:r w:rsidR="0056204F">
        <w:rPr>
          <w:rFonts w:ascii="Tahoma" w:hAnsi="Tahoma" w:cs="Tahoma"/>
          <w:color w:val="000000" w:themeColor="text1"/>
          <w:sz w:val="20"/>
          <w:szCs w:val="20"/>
          <w:lang w:val="cs-CZ"/>
        </w:rPr>
        <w:t>/2024</w:t>
      </w:r>
      <w:r w:rsidR="005A222E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ze dne </w:t>
      </w:r>
      <w:r w:rsidR="002E353D">
        <w:rPr>
          <w:rFonts w:ascii="Tahoma" w:hAnsi="Tahoma" w:cs="Tahoma"/>
          <w:color w:val="000000" w:themeColor="text1"/>
          <w:sz w:val="20"/>
          <w:szCs w:val="20"/>
          <w:lang w:val="cs-CZ"/>
        </w:rPr>
        <w:t>16.1.2025</w:t>
      </w:r>
      <w:r w:rsidR="000213D6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="00952C75" w:rsidRPr="00520A8F">
        <w:rPr>
          <w:rFonts w:ascii="Tahoma" w:hAnsi="Tahoma" w:cs="Tahoma"/>
          <w:sz w:val="20"/>
          <w:szCs w:val="20"/>
          <w:lang w:val="cs-CZ"/>
        </w:rPr>
        <w:t>(dále jen S</w:t>
      </w:r>
      <w:r w:rsidRPr="00520A8F">
        <w:rPr>
          <w:rFonts w:ascii="Tahoma" w:hAnsi="Tahoma" w:cs="Tahoma"/>
          <w:sz w:val="20"/>
          <w:szCs w:val="20"/>
          <w:lang w:val="cs-CZ"/>
        </w:rPr>
        <w:t>mlouva)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4F6129" w:rsidRPr="004F6129">
        <w:rPr>
          <w:rFonts w:ascii="Tahoma" w:hAnsi="Tahoma" w:cs="Tahoma"/>
          <w:sz w:val="20"/>
          <w:szCs w:val="20"/>
          <w:lang w:val="cs-CZ"/>
        </w:rPr>
        <w:t>tento Dodatek č. 1 (dále jen „Dodatek</w:t>
      </w:r>
      <w:r w:rsidR="00490D32">
        <w:rPr>
          <w:rFonts w:ascii="Tahoma" w:hAnsi="Tahoma" w:cs="Tahoma"/>
          <w:sz w:val="20"/>
          <w:szCs w:val="20"/>
          <w:lang w:val="cs-CZ"/>
        </w:rPr>
        <w:t>).</w:t>
      </w:r>
    </w:p>
    <w:p w14:paraId="45160729" w14:textId="77777777" w:rsidR="003157EB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1C796684" w14:textId="77777777" w:rsidR="00493776" w:rsidRDefault="00493776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7B065C50" w14:textId="77777777" w:rsidR="003157EB" w:rsidRPr="003E7637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6D4873B2" w14:textId="091481E4" w:rsidR="00640B3F" w:rsidRPr="003E7637" w:rsidRDefault="00640B3F" w:rsidP="00952C75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716D9A0C" w14:textId="302FAEC8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40F0D4C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54B1D8F2" w14:textId="33D8D3DC" w:rsidR="00FF737E" w:rsidRPr="00FF737E" w:rsidRDefault="002E353D" w:rsidP="00FF737E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FF737E">
        <w:rPr>
          <w:rFonts w:ascii="Tahoma" w:hAnsi="Tahoma" w:cs="Tahoma"/>
          <w:sz w:val="20"/>
          <w:szCs w:val="20"/>
          <w:lang w:val="cs-CZ"/>
        </w:rPr>
        <w:t>Z důvodu obchodování další velikost</w:t>
      </w:r>
      <w:r w:rsidR="00F04300" w:rsidRPr="00FF737E">
        <w:rPr>
          <w:rFonts w:ascii="Tahoma" w:hAnsi="Tahoma" w:cs="Tahoma"/>
          <w:sz w:val="20"/>
          <w:szCs w:val="20"/>
          <w:lang w:val="cs-CZ"/>
        </w:rPr>
        <w:t>i</w:t>
      </w:r>
      <w:r w:rsidRPr="00FF737E">
        <w:rPr>
          <w:rFonts w:ascii="Tahoma" w:hAnsi="Tahoma" w:cs="Tahoma"/>
          <w:sz w:val="20"/>
          <w:szCs w:val="20"/>
          <w:lang w:val="cs-CZ"/>
        </w:rPr>
        <w:t xml:space="preserve"> balení předmětného léčivého přípravku AJOVY, 225MG INJ SOL PEP 3X1,5ML, KÓD SÚKL 0238799</w:t>
      </w:r>
      <w:r w:rsidR="00FF737E">
        <w:rPr>
          <w:rFonts w:ascii="Tahoma" w:hAnsi="Tahoma" w:cs="Tahoma"/>
          <w:sz w:val="20"/>
          <w:szCs w:val="20"/>
          <w:lang w:val="cs-CZ"/>
        </w:rPr>
        <w:t>,</w:t>
      </w:r>
      <w:r w:rsidRPr="00FF737E">
        <w:rPr>
          <w:rFonts w:ascii="Tahoma" w:hAnsi="Tahoma" w:cs="Tahoma"/>
          <w:sz w:val="20"/>
          <w:szCs w:val="20"/>
          <w:lang w:val="cs-CZ"/>
        </w:rPr>
        <w:t xml:space="preserve"> se smluvní strany dohodly na přidání </w:t>
      </w:r>
      <w:r w:rsidR="00F04300" w:rsidRPr="00FF737E">
        <w:rPr>
          <w:rFonts w:ascii="Tahoma" w:hAnsi="Tahoma" w:cs="Tahoma"/>
          <w:sz w:val="20"/>
          <w:szCs w:val="20"/>
          <w:lang w:val="cs-CZ"/>
        </w:rPr>
        <w:t xml:space="preserve">této </w:t>
      </w:r>
      <w:r w:rsidRPr="00FF737E">
        <w:rPr>
          <w:rFonts w:ascii="Tahoma" w:hAnsi="Tahoma" w:cs="Tahoma"/>
          <w:sz w:val="20"/>
          <w:szCs w:val="20"/>
          <w:lang w:val="cs-CZ"/>
        </w:rPr>
        <w:t xml:space="preserve">velikostí balení do Smlouvy za cenu nepřekračující smluvní nákupní cenu vzešlou z výběrového řízení. </w:t>
      </w:r>
    </w:p>
    <w:p w14:paraId="0F52C8CF" w14:textId="77777777" w:rsidR="003157EB" w:rsidRDefault="003157EB" w:rsidP="003157EB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>Příloha č. 1 Smlouvy - Podrobná specifikace předmětu plnění – položkový ceník se nahrazuje novou Přílohou č. 1 tohoto Dodatku</w:t>
      </w:r>
      <w:r>
        <w:rPr>
          <w:rFonts w:ascii="Tahoma" w:hAnsi="Tahoma" w:cs="Tahoma"/>
          <w:sz w:val="20"/>
          <w:szCs w:val="20"/>
          <w:lang w:val="cs-CZ"/>
        </w:rPr>
        <w:t>.</w:t>
      </w:r>
    </w:p>
    <w:p w14:paraId="34D450E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F3658B0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2C7ADE4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0778FF4" w14:textId="629E1701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5E57E6B" w14:textId="77777777" w:rsidR="00CD4D35" w:rsidRPr="003E7637" w:rsidRDefault="00CD4D35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08B5A972" w:rsidR="00640B3F" w:rsidRPr="003E7637" w:rsidRDefault="00952C75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Ostatní ujednání 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zůstávají beze změny. </w:t>
      </w:r>
    </w:p>
    <w:p w14:paraId="7127DCDE" w14:textId="77777777" w:rsidR="005A222E" w:rsidRPr="003E7637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Dodatek nabývá platnosti dnem jeho podpisu oběma smluvními stranami a účinnosti dnem jeho uveřejnění v Registru smluv. Rozsah uveřejnění Dodatku se řídí Smlouvou.      </w:t>
      </w:r>
    </w:p>
    <w:p w14:paraId="6F93C164" w14:textId="7C7DC4BB" w:rsidR="00640B3F" w:rsidRPr="003E7637" w:rsidRDefault="002A32FF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bookmarkStart w:id="0" w:name="_Hlk130984073"/>
      <w:r w:rsidRPr="002A32FF">
        <w:rPr>
          <w:rFonts w:ascii="Tahoma" w:hAnsi="Tahoma" w:cs="Tahoma"/>
          <w:sz w:val="20"/>
          <w:szCs w:val="20"/>
          <w:lang w:val="cs-CZ"/>
        </w:rPr>
        <w:t>Tento Dodatek je vyhotoven ve dvou vyhotoveních, přičemž každá ze smluvních stran obdrží jedno. Pokud je tento Dodatek podepisován elektronicky, je vyhotoven v jednom vyhotovení podepsaném elektronicky oběma smluvními stranami.</w:t>
      </w:r>
    </w:p>
    <w:bookmarkEnd w:id="0"/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B3C9197" w14:textId="77777777" w:rsidR="006B0D22" w:rsidRDefault="006B0D22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8EF57D7" w14:textId="22EA2FDA" w:rsidR="006B0D22" w:rsidRDefault="005A222E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D3A94E4" w14:textId="77777777" w:rsidR="00CD4D35" w:rsidRDefault="00CD4D35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DF66C11" w14:textId="5613CB39" w:rsidR="006B0D2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DF2965">
        <w:rPr>
          <w:rFonts w:ascii="Tahoma" w:hAnsi="Tahoma" w:cs="Tahoma"/>
          <w:sz w:val="20"/>
          <w:szCs w:val="20"/>
          <w:lang w:val="cs-CZ"/>
        </w:rPr>
        <w:t xml:space="preserve"> 27.1.2026</w:t>
      </w:r>
    </w:p>
    <w:p w14:paraId="4792B7B3" w14:textId="77777777" w:rsidR="00CD4D35" w:rsidRDefault="00CD4D35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236D2945" w14:textId="77777777" w:rsidR="006B0D22" w:rsidRDefault="006B0D22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702D29E8" w14:textId="719CB232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</w:p>
    <w:p w14:paraId="4E1404DD" w14:textId="3CCC2B1A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----------------------------------</w:t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CD4FCA" w:rsidRDefault="000213D6" w:rsidP="000213D6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za prodávajícího:                                                        za kupujícího: </w:t>
      </w:r>
    </w:p>
    <w:p w14:paraId="70EBDB68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>
        <w:rPr>
          <w:rFonts w:ascii="Tahoma" w:hAnsi="Tahoma" w:cs="Tahoma"/>
          <w:color w:val="000000" w:themeColor="text1"/>
          <w:sz w:val="20"/>
        </w:rPr>
        <w:t xml:space="preserve">Jelena Livsica, jednatel              </w:t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C267ED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5A222E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doc.MUDr. Zdeněk Beneš, CSc.,</w:t>
      </w:r>
      <w:r w:rsidR="000213D6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ředitel</w:t>
      </w:r>
    </w:p>
    <w:p w14:paraId="6103CFB4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52394E5E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03E722A1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7FDA4106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2FD33A55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>----------------------------------</w:t>
      </w:r>
    </w:p>
    <w:p w14:paraId="43CAE5CB" w14:textId="65A69012" w:rsidR="00756D32" w:rsidRDefault="00756D32" w:rsidP="002A32FF">
      <w:pPr>
        <w:ind w:right="2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 prodávajícího:</w:t>
      </w:r>
    </w:p>
    <w:p w14:paraId="65804CE5" w14:textId="208EDD60" w:rsidR="00BA1FD4" w:rsidRDefault="00756D32" w:rsidP="002A32FF">
      <w:pPr>
        <w:ind w:right="23"/>
        <w:jc w:val="both"/>
        <w:rPr>
          <w:rFonts w:ascii="Tahoma" w:eastAsia="ヒラギノ角ゴ Pro W3" w:hAnsi="Tahoma" w:cs="Tahoma"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sz w:val="20"/>
        </w:rPr>
        <w:t>Kalinka Hristova-Metodieva, jednatel</w:t>
      </w:r>
      <w:r w:rsidR="00BA1FD4">
        <w:rPr>
          <w:rFonts w:ascii="Tahoma" w:hAnsi="Tahoma" w:cs="Tahoma"/>
          <w:sz w:val="20"/>
        </w:rPr>
        <w:br w:type="page"/>
      </w:r>
    </w:p>
    <w:p w14:paraId="0B795E48" w14:textId="2A143D4C" w:rsidR="00640B3F" w:rsidRPr="003040D0" w:rsidRDefault="722CD4C3" w:rsidP="722CD4C3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  <w:lang w:val="en-US"/>
        </w:rPr>
      </w:pPr>
      <w:r w:rsidRPr="722CD4C3">
        <w:rPr>
          <w:rFonts w:ascii="Tahoma" w:hAnsi="Tahoma" w:cs="Tahoma"/>
          <w:sz w:val="20"/>
          <w:lang w:val="en-US"/>
        </w:rPr>
        <w:lastRenderedPageBreak/>
        <w:t>Příloha č. 1 – Podrobná specifikace předmětu plnění – položkový ceník</w:t>
      </w:r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520A8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19"/>
        <w:gridCol w:w="1751"/>
        <w:gridCol w:w="1140"/>
        <w:gridCol w:w="2122"/>
        <w:gridCol w:w="1364"/>
        <w:gridCol w:w="1466"/>
      </w:tblGrid>
      <w:tr w:rsidR="00A36B41" w:rsidRPr="00520A8F" w14:paraId="37F2BE94" w14:textId="77777777" w:rsidTr="003157EB">
        <w:trPr>
          <w:trHeight w:val="616"/>
          <w:jc w:val="center"/>
        </w:trPr>
        <w:tc>
          <w:tcPr>
            <w:tcW w:w="1219" w:type="dxa"/>
            <w:vAlign w:val="center"/>
          </w:tcPr>
          <w:p w14:paraId="517BCEF1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15BED4A9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ATC</w:t>
            </w:r>
          </w:p>
        </w:tc>
        <w:tc>
          <w:tcPr>
            <w:tcW w:w="1751" w:type="dxa"/>
            <w:vAlign w:val="center"/>
          </w:tcPr>
          <w:p w14:paraId="54F11A74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4090C3C9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</w:t>
            </w:r>
          </w:p>
        </w:tc>
        <w:tc>
          <w:tcPr>
            <w:tcW w:w="1140" w:type="dxa"/>
            <w:vAlign w:val="center"/>
          </w:tcPr>
          <w:p w14:paraId="0CB3C23A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672ED421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Kód SÚKL</w:t>
            </w:r>
          </w:p>
        </w:tc>
        <w:tc>
          <w:tcPr>
            <w:tcW w:w="2122" w:type="dxa"/>
            <w:vAlign w:val="center"/>
          </w:tcPr>
          <w:p w14:paraId="0A8CE483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A2725FE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Doplněk/balení</w:t>
            </w:r>
          </w:p>
        </w:tc>
        <w:tc>
          <w:tcPr>
            <w:tcW w:w="1364" w:type="dxa"/>
            <w:vAlign w:val="center"/>
          </w:tcPr>
          <w:p w14:paraId="2AE96827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74D62B4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Cena bez DPH/balení</w:t>
            </w:r>
          </w:p>
        </w:tc>
        <w:tc>
          <w:tcPr>
            <w:tcW w:w="1466" w:type="dxa"/>
            <w:vAlign w:val="center"/>
          </w:tcPr>
          <w:p w14:paraId="4ED0789E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2EB02E73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Sazba DPH</w:t>
            </w:r>
          </w:p>
        </w:tc>
      </w:tr>
      <w:tr w:rsidR="00A36B41" w:rsidRPr="00F73E7E" w14:paraId="7CA9F21D" w14:textId="77777777" w:rsidTr="003157EB">
        <w:trPr>
          <w:trHeight w:val="413"/>
          <w:jc w:val="center"/>
        </w:trPr>
        <w:tc>
          <w:tcPr>
            <w:tcW w:w="1219" w:type="dxa"/>
            <w:vAlign w:val="center"/>
          </w:tcPr>
          <w:p w14:paraId="76861492" w14:textId="53B63800" w:rsidR="00A36B41" w:rsidRPr="00F73E7E" w:rsidRDefault="00FC3D3C" w:rsidP="001B357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N02CD03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D018F5" w14:textId="0577D57B" w:rsidR="00A36B41" w:rsidRPr="00F73E7E" w:rsidRDefault="00FC3D3C" w:rsidP="001B357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AJOVY</w:t>
            </w:r>
          </w:p>
        </w:tc>
        <w:tc>
          <w:tcPr>
            <w:tcW w:w="1140" w:type="dxa"/>
            <w:vAlign w:val="center"/>
          </w:tcPr>
          <w:p w14:paraId="1A5A227B" w14:textId="3B3D2112" w:rsidR="00A36B41" w:rsidRPr="00F73E7E" w:rsidRDefault="00FC3D3C" w:rsidP="001B357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0238422</w:t>
            </w:r>
          </w:p>
        </w:tc>
        <w:tc>
          <w:tcPr>
            <w:tcW w:w="2122" w:type="dxa"/>
            <w:vAlign w:val="center"/>
          </w:tcPr>
          <w:p w14:paraId="0EE99A5C" w14:textId="22696DBF" w:rsidR="00A36B41" w:rsidRPr="00F73E7E" w:rsidRDefault="00FC3D3C" w:rsidP="001B357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225MG INJ</w:t>
            </w: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 </w:t>
            </w: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SOL</w:t>
            </w: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 </w:t>
            </w: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ISP</w:t>
            </w: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 </w:t>
            </w: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1X1,5ML</w:t>
            </w:r>
          </w:p>
        </w:tc>
        <w:tc>
          <w:tcPr>
            <w:tcW w:w="1364" w:type="dxa"/>
            <w:vAlign w:val="center"/>
          </w:tcPr>
          <w:p w14:paraId="32D36E73" w14:textId="76591A91" w:rsidR="00A36B41" w:rsidRPr="00F73E7E" w:rsidRDefault="00FC3D3C" w:rsidP="001B357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5 928,21</w:t>
            </w:r>
          </w:p>
        </w:tc>
        <w:tc>
          <w:tcPr>
            <w:tcW w:w="1466" w:type="dxa"/>
            <w:vAlign w:val="center"/>
          </w:tcPr>
          <w:p w14:paraId="74410000" w14:textId="5675B1D7" w:rsidR="00A36B41" w:rsidRPr="00F73E7E" w:rsidRDefault="000A27CF" w:rsidP="001B357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snížená</w:t>
            </w:r>
          </w:p>
        </w:tc>
      </w:tr>
      <w:tr w:rsidR="00FC3D3C" w:rsidRPr="00F73E7E" w14:paraId="47263C23" w14:textId="77777777" w:rsidTr="003157EB">
        <w:trPr>
          <w:trHeight w:val="413"/>
          <w:jc w:val="center"/>
        </w:trPr>
        <w:tc>
          <w:tcPr>
            <w:tcW w:w="1219" w:type="dxa"/>
            <w:vAlign w:val="center"/>
          </w:tcPr>
          <w:p w14:paraId="45C14435" w14:textId="2A399D01" w:rsidR="00FC3D3C" w:rsidRDefault="00FC3D3C" w:rsidP="00FC3D3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N02CD03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6274FB" w14:textId="7F48F066" w:rsidR="00FC3D3C" w:rsidRDefault="00FC3D3C" w:rsidP="00FC3D3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AJOVY</w:t>
            </w:r>
          </w:p>
        </w:tc>
        <w:tc>
          <w:tcPr>
            <w:tcW w:w="1140" w:type="dxa"/>
            <w:vAlign w:val="center"/>
          </w:tcPr>
          <w:p w14:paraId="362E95DA" w14:textId="047F4871" w:rsidR="00FC3D3C" w:rsidRDefault="00FC3D3C" w:rsidP="00FC3D3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0238798</w:t>
            </w:r>
          </w:p>
        </w:tc>
        <w:tc>
          <w:tcPr>
            <w:tcW w:w="2122" w:type="dxa"/>
            <w:vAlign w:val="center"/>
          </w:tcPr>
          <w:p w14:paraId="3437AFC7" w14:textId="4C449C78" w:rsidR="00FC3D3C" w:rsidRPr="009E1805" w:rsidRDefault="00FC3D3C" w:rsidP="00FC3D3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225MG INJ SOL </w:t>
            </w: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PEP</w:t>
            </w: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 1X1,5ML</w:t>
            </w:r>
          </w:p>
        </w:tc>
        <w:tc>
          <w:tcPr>
            <w:tcW w:w="1364" w:type="dxa"/>
            <w:vAlign w:val="center"/>
          </w:tcPr>
          <w:p w14:paraId="575F2821" w14:textId="0D630DA4" w:rsidR="00FC3D3C" w:rsidRDefault="00FC3D3C" w:rsidP="00FC3D3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5 928,21</w:t>
            </w:r>
          </w:p>
        </w:tc>
        <w:tc>
          <w:tcPr>
            <w:tcW w:w="1466" w:type="dxa"/>
            <w:vAlign w:val="center"/>
          </w:tcPr>
          <w:p w14:paraId="789354B9" w14:textId="3D88597F" w:rsidR="00FC3D3C" w:rsidRDefault="00FC3D3C" w:rsidP="00FC3D3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snížená</w:t>
            </w:r>
          </w:p>
        </w:tc>
      </w:tr>
      <w:tr w:rsidR="00FC3D3C" w:rsidRPr="00F73E7E" w14:paraId="2FA2ABB2" w14:textId="77777777" w:rsidTr="003157EB">
        <w:trPr>
          <w:trHeight w:val="413"/>
          <w:jc w:val="center"/>
        </w:trPr>
        <w:tc>
          <w:tcPr>
            <w:tcW w:w="1219" w:type="dxa"/>
            <w:vAlign w:val="center"/>
          </w:tcPr>
          <w:p w14:paraId="4F5BB281" w14:textId="182516A9" w:rsidR="00FC3D3C" w:rsidRPr="0024460A" w:rsidRDefault="00FC3D3C" w:rsidP="00FC3D3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N02CD03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DBEBE3" w14:textId="61E303EF" w:rsidR="00FC3D3C" w:rsidRDefault="00FC3D3C" w:rsidP="00FC3D3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AJOVY</w:t>
            </w:r>
          </w:p>
        </w:tc>
        <w:tc>
          <w:tcPr>
            <w:tcW w:w="1140" w:type="dxa"/>
            <w:vAlign w:val="center"/>
          </w:tcPr>
          <w:p w14:paraId="0EF521F5" w14:textId="03176789" w:rsidR="00FC3D3C" w:rsidRDefault="00FC3D3C" w:rsidP="00FC3D3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0238799</w:t>
            </w:r>
          </w:p>
        </w:tc>
        <w:tc>
          <w:tcPr>
            <w:tcW w:w="2122" w:type="dxa"/>
            <w:vAlign w:val="center"/>
          </w:tcPr>
          <w:p w14:paraId="6D247A36" w14:textId="59EAA03E" w:rsidR="00FC3D3C" w:rsidRDefault="00FC3D3C" w:rsidP="00FC3D3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225MG INJ SOL PEP 3X1,5ML</w:t>
            </w:r>
          </w:p>
        </w:tc>
        <w:tc>
          <w:tcPr>
            <w:tcW w:w="1364" w:type="dxa"/>
            <w:vAlign w:val="center"/>
          </w:tcPr>
          <w:p w14:paraId="2B714B07" w14:textId="1AB0B9B4" w:rsidR="00FC3D3C" w:rsidRDefault="00101653" w:rsidP="00FC3D3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17 784,64</w:t>
            </w:r>
          </w:p>
        </w:tc>
        <w:tc>
          <w:tcPr>
            <w:tcW w:w="1466" w:type="dxa"/>
            <w:vAlign w:val="center"/>
          </w:tcPr>
          <w:p w14:paraId="3458041D" w14:textId="4A0D6A1D" w:rsidR="00FC3D3C" w:rsidRDefault="00FC3D3C" w:rsidP="00FC3D3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snížená</w:t>
            </w:r>
          </w:p>
        </w:tc>
      </w:tr>
    </w:tbl>
    <w:p w14:paraId="1650D435" w14:textId="20F12737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7D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12C9" w14:textId="77777777" w:rsidR="0038164A" w:rsidRDefault="0038164A" w:rsidP="00640B3F">
      <w:r>
        <w:separator/>
      </w:r>
    </w:p>
  </w:endnote>
  <w:endnote w:type="continuationSeparator" w:id="0">
    <w:p w14:paraId="129C23C8" w14:textId="77777777" w:rsidR="0038164A" w:rsidRDefault="0038164A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C90E" w14:textId="77777777" w:rsidR="0038164A" w:rsidRDefault="0038164A" w:rsidP="00640B3F">
      <w:r>
        <w:separator/>
      </w:r>
    </w:p>
  </w:footnote>
  <w:footnote w:type="continuationSeparator" w:id="0">
    <w:p w14:paraId="26D6AD56" w14:textId="77777777" w:rsidR="0038164A" w:rsidRDefault="0038164A" w:rsidP="0064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B0DDE"/>
    <w:multiLevelType w:val="hybridMultilevel"/>
    <w:tmpl w:val="6E3E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64017">
    <w:abstractNumId w:val="0"/>
  </w:num>
  <w:num w:numId="2" w16cid:durableId="204316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001C6"/>
    <w:rsid w:val="00020A64"/>
    <w:rsid w:val="000213D6"/>
    <w:rsid w:val="0002637C"/>
    <w:rsid w:val="0005307F"/>
    <w:rsid w:val="00075083"/>
    <w:rsid w:val="00077089"/>
    <w:rsid w:val="00097352"/>
    <w:rsid w:val="00097C55"/>
    <w:rsid w:val="000A27CF"/>
    <w:rsid w:val="000F1773"/>
    <w:rsid w:val="000F3E37"/>
    <w:rsid w:val="00101653"/>
    <w:rsid w:val="00131DC2"/>
    <w:rsid w:val="00143C55"/>
    <w:rsid w:val="00164F81"/>
    <w:rsid w:val="00187843"/>
    <w:rsid w:val="001A5DDE"/>
    <w:rsid w:val="001E0BBE"/>
    <w:rsid w:val="001E79AF"/>
    <w:rsid w:val="001F586D"/>
    <w:rsid w:val="0020486B"/>
    <w:rsid w:val="00205C0E"/>
    <w:rsid w:val="00205E96"/>
    <w:rsid w:val="00207AE7"/>
    <w:rsid w:val="00237611"/>
    <w:rsid w:val="0024460A"/>
    <w:rsid w:val="002542EF"/>
    <w:rsid w:val="00283635"/>
    <w:rsid w:val="00296839"/>
    <w:rsid w:val="0029747A"/>
    <w:rsid w:val="002978E3"/>
    <w:rsid w:val="002A1551"/>
    <w:rsid w:val="002A23D7"/>
    <w:rsid w:val="002A32FF"/>
    <w:rsid w:val="002C4AB9"/>
    <w:rsid w:val="002C53D9"/>
    <w:rsid w:val="002D0502"/>
    <w:rsid w:val="002D0555"/>
    <w:rsid w:val="002D5D63"/>
    <w:rsid w:val="002E353D"/>
    <w:rsid w:val="002F31BA"/>
    <w:rsid w:val="002F5182"/>
    <w:rsid w:val="002F6007"/>
    <w:rsid w:val="003040D0"/>
    <w:rsid w:val="0031020E"/>
    <w:rsid w:val="00310B55"/>
    <w:rsid w:val="003157EB"/>
    <w:rsid w:val="00354105"/>
    <w:rsid w:val="00363C7F"/>
    <w:rsid w:val="0036515C"/>
    <w:rsid w:val="0038164A"/>
    <w:rsid w:val="00387B3C"/>
    <w:rsid w:val="00393B0A"/>
    <w:rsid w:val="003A0B5D"/>
    <w:rsid w:val="003A1A46"/>
    <w:rsid w:val="003C0734"/>
    <w:rsid w:val="003C2C4B"/>
    <w:rsid w:val="003E740A"/>
    <w:rsid w:val="003E7637"/>
    <w:rsid w:val="003F6983"/>
    <w:rsid w:val="004131E4"/>
    <w:rsid w:val="0043291F"/>
    <w:rsid w:val="00456164"/>
    <w:rsid w:val="004741FA"/>
    <w:rsid w:val="0048528C"/>
    <w:rsid w:val="00490D32"/>
    <w:rsid w:val="00491083"/>
    <w:rsid w:val="004916EA"/>
    <w:rsid w:val="00493776"/>
    <w:rsid w:val="004D337E"/>
    <w:rsid w:val="004E35D1"/>
    <w:rsid w:val="004F4756"/>
    <w:rsid w:val="004F6129"/>
    <w:rsid w:val="00507A30"/>
    <w:rsid w:val="00511207"/>
    <w:rsid w:val="005150CF"/>
    <w:rsid w:val="00520A8F"/>
    <w:rsid w:val="00525E8B"/>
    <w:rsid w:val="0053146E"/>
    <w:rsid w:val="005363D3"/>
    <w:rsid w:val="005423C3"/>
    <w:rsid w:val="0055469D"/>
    <w:rsid w:val="0056204F"/>
    <w:rsid w:val="005846DB"/>
    <w:rsid w:val="0059092E"/>
    <w:rsid w:val="00596CC8"/>
    <w:rsid w:val="00597C0B"/>
    <w:rsid w:val="005A16F5"/>
    <w:rsid w:val="005A222E"/>
    <w:rsid w:val="005C5BB8"/>
    <w:rsid w:val="005D4059"/>
    <w:rsid w:val="005D5BBF"/>
    <w:rsid w:val="005E1588"/>
    <w:rsid w:val="005F4D67"/>
    <w:rsid w:val="00620CB3"/>
    <w:rsid w:val="00620EB4"/>
    <w:rsid w:val="00640B3F"/>
    <w:rsid w:val="00645371"/>
    <w:rsid w:val="00645F97"/>
    <w:rsid w:val="00651110"/>
    <w:rsid w:val="00663504"/>
    <w:rsid w:val="0067049D"/>
    <w:rsid w:val="00683897"/>
    <w:rsid w:val="0068622F"/>
    <w:rsid w:val="006865C4"/>
    <w:rsid w:val="00693F17"/>
    <w:rsid w:val="006A3E8D"/>
    <w:rsid w:val="006B0D22"/>
    <w:rsid w:val="006B609D"/>
    <w:rsid w:val="006C0FCD"/>
    <w:rsid w:val="006D6CD0"/>
    <w:rsid w:val="006D73A8"/>
    <w:rsid w:val="006F6C62"/>
    <w:rsid w:val="006F71F8"/>
    <w:rsid w:val="0070604B"/>
    <w:rsid w:val="00720B8E"/>
    <w:rsid w:val="00756D32"/>
    <w:rsid w:val="00762D90"/>
    <w:rsid w:val="00782334"/>
    <w:rsid w:val="007908F1"/>
    <w:rsid w:val="00791AFC"/>
    <w:rsid w:val="007970EC"/>
    <w:rsid w:val="007B06B9"/>
    <w:rsid w:val="007B15F3"/>
    <w:rsid w:val="007B7C82"/>
    <w:rsid w:val="007C6B38"/>
    <w:rsid w:val="007D1EC9"/>
    <w:rsid w:val="007E02CA"/>
    <w:rsid w:val="007E4196"/>
    <w:rsid w:val="007E61E0"/>
    <w:rsid w:val="007F4A7C"/>
    <w:rsid w:val="00804F92"/>
    <w:rsid w:val="008062E8"/>
    <w:rsid w:val="0083139D"/>
    <w:rsid w:val="008835D7"/>
    <w:rsid w:val="00890406"/>
    <w:rsid w:val="00897F2E"/>
    <w:rsid w:val="008B0CDF"/>
    <w:rsid w:val="008D17B3"/>
    <w:rsid w:val="008D18B5"/>
    <w:rsid w:val="008E374E"/>
    <w:rsid w:val="00907340"/>
    <w:rsid w:val="009320E8"/>
    <w:rsid w:val="00952C75"/>
    <w:rsid w:val="0095355F"/>
    <w:rsid w:val="0095474E"/>
    <w:rsid w:val="00956EB8"/>
    <w:rsid w:val="00984DA7"/>
    <w:rsid w:val="0098771C"/>
    <w:rsid w:val="009A1C91"/>
    <w:rsid w:val="009A5129"/>
    <w:rsid w:val="009B0F12"/>
    <w:rsid w:val="009B13EA"/>
    <w:rsid w:val="009B3A12"/>
    <w:rsid w:val="009B6776"/>
    <w:rsid w:val="009C687D"/>
    <w:rsid w:val="009D538D"/>
    <w:rsid w:val="009D6784"/>
    <w:rsid w:val="009E1805"/>
    <w:rsid w:val="009F62D2"/>
    <w:rsid w:val="00A03E49"/>
    <w:rsid w:val="00A3228A"/>
    <w:rsid w:val="00A35AC1"/>
    <w:rsid w:val="00A36B41"/>
    <w:rsid w:val="00A84A19"/>
    <w:rsid w:val="00A86E18"/>
    <w:rsid w:val="00AD2C66"/>
    <w:rsid w:val="00AE355D"/>
    <w:rsid w:val="00AE7AFC"/>
    <w:rsid w:val="00AF4563"/>
    <w:rsid w:val="00AF50D4"/>
    <w:rsid w:val="00B01395"/>
    <w:rsid w:val="00B02F32"/>
    <w:rsid w:val="00B21779"/>
    <w:rsid w:val="00B21EA9"/>
    <w:rsid w:val="00B22140"/>
    <w:rsid w:val="00B42A7C"/>
    <w:rsid w:val="00B43933"/>
    <w:rsid w:val="00B469E3"/>
    <w:rsid w:val="00B51AC2"/>
    <w:rsid w:val="00B61E70"/>
    <w:rsid w:val="00B6474E"/>
    <w:rsid w:val="00B73B15"/>
    <w:rsid w:val="00B75FC1"/>
    <w:rsid w:val="00B87DAA"/>
    <w:rsid w:val="00BA1FD4"/>
    <w:rsid w:val="00BA2F5C"/>
    <w:rsid w:val="00BA44A6"/>
    <w:rsid w:val="00BD22E0"/>
    <w:rsid w:val="00BD38F1"/>
    <w:rsid w:val="00BD6416"/>
    <w:rsid w:val="00BE4C89"/>
    <w:rsid w:val="00BF01C1"/>
    <w:rsid w:val="00BF2FE2"/>
    <w:rsid w:val="00C23304"/>
    <w:rsid w:val="00C267ED"/>
    <w:rsid w:val="00C305CE"/>
    <w:rsid w:val="00C32102"/>
    <w:rsid w:val="00C4632D"/>
    <w:rsid w:val="00C65722"/>
    <w:rsid w:val="00C75DED"/>
    <w:rsid w:val="00C823CF"/>
    <w:rsid w:val="00C90273"/>
    <w:rsid w:val="00CB24E7"/>
    <w:rsid w:val="00CC1B18"/>
    <w:rsid w:val="00CD1D70"/>
    <w:rsid w:val="00CD3DBC"/>
    <w:rsid w:val="00CD4D35"/>
    <w:rsid w:val="00CD4FCA"/>
    <w:rsid w:val="00CD601F"/>
    <w:rsid w:val="00CE4935"/>
    <w:rsid w:val="00CF3200"/>
    <w:rsid w:val="00CF3C1E"/>
    <w:rsid w:val="00D07525"/>
    <w:rsid w:val="00D550C3"/>
    <w:rsid w:val="00D57967"/>
    <w:rsid w:val="00D71CC7"/>
    <w:rsid w:val="00D84F62"/>
    <w:rsid w:val="00D92BDA"/>
    <w:rsid w:val="00DA06E3"/>
    <w:rsid w:val="00DB6209"/>
    <w:rsid w:val="00DC54C1"/>
    <w:rsid w:val="00DD4860"/>
    <w:rsid w:val="00DE498A"/>
    <w:rsid w:val="00DF2965"/>
    <w:rsid w:val="00DF6D20"/>
    <w:rsid w:val="00E03CB4"/>
    <w:rsid w:val="00E0694E"/>
    <w:rsid w:val="00E82954"/>
    <w:rsid w:val="00E838AB"/>
    <w:rsid w:val="00E964AE"/>
    <w:rsid w:val="00EA55FA"/>
    <w:rsid w:val="00EB1CD2"/>
    <w:rsid w:val="00EC1FD4"/>
    <w:rsid w:val="00ED2BB5"/>
    <w:rsid w:val="00EF5F9B"/>
    <w:rsid w:val="00F04300"/>
    <w:rsid w:val="00F20BA3"/>
    <w:rsid w:val="00F24CA8"/>
    <w:rsid w:val="00F276BD"/>
    <w:rsid w:val="00F35E8D"/>
    <w:rsid w:val="00F36759"/>
    <w:rsid w:val="00F52EE6"/>
    <w:rsid w:val="00F55355"/>
    <w:rsid w:val="00F7128B"/>
    <w:rsid w:val="00F712B5"/>
    <w:rsid w:val="00F73E7E"/>
    <w:rsid w:val="00F848A5"/>
    <w:rsid w:val="00FB1182"/>
    <w:rsid w:val="00FC3D3C"/>
    <w:rsid w:val="00FC4CCB"/>
    <w:rsid w:val="00FE4742"/>
    <w:rsid w:val="00FF282C"/>
    <w:rsid w:val="00FF5C35"/>
    <w:rsid w:val="00FF737E"/>
    <w:rsid w:val="00FF73CC"/>
    <w:rsid w:val="722CD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2187</Characters>
  <Application>Microsoft Office Word</Application>
  <DocSecurity>4</DocSecurity>
  <Lines>18</Lines>
  <Paragraphs>5</Paragraphs>
  <ScaleCrop>false</ScaleCrop>
  <Company>vfn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Mašterová Hana</cp:lastModifiedBy>
  <cp:revision>2</cp:revision>
  <dcterms:created xsi:type="dcterms:W3CDTF">2026-01-29T12:22:00Z</dcterms:created>
  <dcterms:modified xsi:type="dcterms:W3CDTF">2026-01-29T12:22:00Z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2022-10-18T08:25:11Z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9bf61380-8e64-42dc-98be-2eb61009516e</vt:lpwstr>
  </property>
  <property fmtid="{D5CDD505-2E9C-101B-9397-08002B2CF9AE}" pid="16" name="MSIP_Label_c93be096-951f-40f1-830d-c27b8a8c2c27_ContentBits">
    <vt:lpwstr>0</vt:lpwstr>
  </property>
</Properties>
</file>