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FBC2" w14:textId="476AB23D" w:rsidR="000D3F34" w:rsidRDefault="000D3F34" w:rsidP="000D3F34">
      <w:pPr>
        <w:spacing w:after="0" w:line="259" w:lineRule="auto"/>
        <w:ind w:left="0" w:firstLine="0"/>
        <w:jc w:val="right"/>
        <w:rPr>
          <w:bCs/>
          <w:sz w:val="22"/>
          <w:szCs w:val="22"/>
        </w:rPr>
      </w:pPr>
      <w:r>
        <w:rPr>
          <w:bCs/>
          <w:sz w:val="22"/>
          <w:szCs w:val="22"/>
        </w:rPr>
        <w:t xml:space="preserve">č. j. </w:t>
      </w:r>
      <w:r w:rsidR="00482F80">
        <w:rPr>
          <w:bCs/>
          <w:sz w:val="22"/>
          <w:szCs w:val="22"/>
        </w:rPr>
        <w:t>2026/210/NM</w:t>
      </w:r>
    </w:p>
    <w:p w14:paraId="0F380118" w14:textId="77777777" w:rsidR="000D3F34" w:rsidRDefault="000D3F34" w:rsidP="000D3F34">
      <w:pPr>
        <w:spacing w:after="0" w:line="259" w:lineRule="auto"/>
        <w:ind w:left="0" w:firstLine="0"/>
        <w:jc w:val="both"/>
        <w:rPr>
          <w:sz w:val="28"/>
          <w:szCs w:val="28"/>
        </w:rPr>
      </w:pPr>
      <w:r>
        <w:rPr>
          <w:b/>
          <w:sz w:val="28"/>
          <w:szCs w:val="28"/>
        </w:rPr>
        <w:t>RÁMCOVÁ SMLOUVAO DÍLO</w:t>
      </w:r>
    </w:p>
    <w:p w14:paraId="728EB15C" w14:textId="75478C43" w:rsidR="000D3F34" w:rsidRDefault="000D3F34" w:rsidP="000D3F34">
      <w:pPr>
        <w:jc w:val="both"/>
        <w:rPr>
          <w:b/>
          <w:bCs/>
        </w:rPr>
      </w:pPr>
      <w:r>
        <w:rPr>
          <w:b/>
          <w:bCs/>
        </w:rPr>
        <w:t xml:space="preserve">O POSKYTOVÁNÍ STĚHOVACÍCH A PŘEPRAVNÍCH SLUŽEB č. </w:t>
      </w:r>
      <w:r w:rsidR="00CC728E" w:rsidRPr="00CC728E">
        <w:rPr>
          <w:b/>
          <w:bCs/>
        </w:rPr>
        <w:t>260048</w:t>
      </w:r>
    </w:p>
    <w:p w14:paraId="450A654A" w14:textId="074E3CE5" w:rsidR="000D3F34" w:rsidRDefault="000D3F34" w:rsidP="00944872">
      <w:pPr>
        <w:spacing w:after="8"/>
        <w:jc w:val="both"/>
      </w:pPr>
      <w:r>
        <w:t xml:space="preserve">uzavřená dle </w:t>
      </w:r>
      <w:proofErr w:type="spellStart"/>
      <w:r>
        <w:t>ust</w:t>
      </w:r>
      <w:proofErr w:type="spellEnd"/>
      <w:r>
        <w:t>. § 1746 odst. 2 zákona č. 89/2012 Sb., občanský zákoník, ve znění pozdějších předpisů</w:t>
      </w:r>
      <w:r>
        <w:rPr>
          <w:noProof/>
        </w:rPr>
        <mc:AlternateContent>
          <mc:Choice Requires="wpg">
            <w:drawing>
              <wp:inline distT="0" distB="0" distL="0" distR="0" wp14:anchorId="4178D729" wp14:editId="53E32845">
                <wp:extent cx="6119495" cy="2540"/>
                <wp:effectExtent l="0" t="0" r="0" b="0"/>
                <wp:docPr id="1" name="Group 1934"/>
                <wp:cNvGraphicFramePr/>
                <a:graphic xmlns:a="http://schemas.openxmlformats.org/drawingml/2006/main">
                  <a:graphicData uri="http://schemas.microsoft.com/office/word/2010/wordprocessingGroup">
                    <wpg:wgp>
                      <wpg:cNvGrpSpPr/>
                      <wpg:grpSpPr>
                        <a:xfrm>
                          <a:off x="0" y="0"/>
                          <a:ext cx="6119640" cy="2520"/>
                          <a:chOff x="0" y="0"/>
                          <a:chExt cx="6119640" cy="2520"/>
                        </a:xfrm>
                      </wpg:grpSpPr>
                      <wps:wsp>
                        <wps:cNvPr id="2" name="Shape 48"/>
                        <wps:cNvSpPr/>
                        <wps:spPr>
                          <a:xfrm>
                            <a:off x="0" y="1800"/>
                            <a:ext cx="6119640" cy="720"/>
                          </a:xfrm>
                          <a:custGeom>
                            <a:avLst/>
                            <a:gdLst/>
                            <a:ahLst/>
                            <a:cxnLst/>
                            <a:rect l="l" t="t" r="r" b="b"/>
                            <a:pathLst>
                              <a:path w="6119495">
                                <a:moveTo>
                                  <a:pt x="6119495" y="0"/>
                                </a:moveTo>
                                <a:lnTo>
                                  <a:pt x="0" y="0"/>
                                </a:lnTo>
                              </a:path>
                            </a:pathLst>
                          </a:custGeom>
                          <a:noFill/>
                          <a:ln w="1270">
                            <a:solidFill>
                              <a:srgbClr val="808080"/>
                            </a:solidFill>
                            <a:round/>
                          </a:ln>
                        </wps:spPr>
                        <wps:style>
                          <a:lnRef idx="1">
                            <a:scrgbClr r="0" g="0" b="0"/>
                          </a:lnRef>
                          <a:fillRef idx="0">
                            <a:scrgbClr r="0" g="0" b="0"/>
                          </a:fillRef>
                          <a:effectRef idx="0">
                            <a:scrgbClr r="0" g="0" b="0"/>
                          </a:effectRef>
                          <a:fontRef idx="minor"/>
                        </wps:style>
                        <wps:bodyPr/>
                      </wps:wsp>
                      <wps:wsp>
                        <wps:cNvPr id="3" name="Shape 49"/>
                        <wps:cNvSpPr/>
                        <wps:spPr>
                          <a:xfrm>
                            <a:off x="0" y="0"/>
                            <a:ext cx="6119640" cy="720"/>
                          </a:xfrm>
                          <a:custGeom>
                            <a:avLst/>
                            <a:gdLst/>
                            <a:ahLst/>
                            <a:cxnLst/>
                            <a:rect l="l" t="t" r="r" b="b"/>
                            <a:pathLst>
                              <a:path w="6119495">
                                <a:moveTo>
                                  <a:pt x="6119495" y="0"/>
                                </a:moveTo>
                                <a:lnTo>
                                  <a:pt x="0" y="0"/>
                                </a:lnTo>
                              </a:path>
                            </a:pathLst>
                          </a:custGeom>
                          <a:noFill/>
                          <a:ln w="1270">
                            <a:solidFill>
                              <a:srgbClr val="808080"/>
                            </a:solidFill>
                            <a:round/>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52FDD8DE" id="Group 1934" o:spid="_x0000_s1026" style="width:481.85pt;height:.2pt;mso-position-horizontal-relative:char;mso-position-vertical-relative:line" coordsize="611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">
                <v:shape id="Shape 48" o:spid="_x0000_s1027" style="position:absolute;top:18;width:61196;height:7;visibility:visible;mso-wrap-style:square;v-text-anchor:top" coordsize="611949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" path="m6119495,l,e" filled="f" strokecolor="gray" strokeweight=".1pt">
                  <v:path arrowok="t"/>
                </v:shape>
                <v:shape id="Shape 49" o:spid="_x0000_s1028" style="position:absolute;width:61196;height:7;visibility:visible;mso-wrap-style:square;v-text-anchor:top" coordsize="611949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" path="m6119495,l,e" filled="f" strokecolor="gray" strokeweight=".1pt">
                  <v:path arrowok="t"/>
                </v:shape>
                <w10:anchorlock/>
              </v:group>
            </w:pict>
          </mc:Fallback>
        </mc:AlternateContent>
      </w:r>
    </w:p>
    <w:p w14:paraId="3ADC9F8D" w14:textId="4D2DA7D4" w:rsidR="000D3F34" w:rsidRDefault="00A90BE4" w:rsidP="000D3F34">
      <w:pPr>
        <w:pStyle w:val="Nadpis1"/>
        <w:spacing w:after="92"/>
        <w:ind w:left="305" w:hanging="320"/>
        <w:rPr>
          <w:sz w:val="24"/>
        </w:rPr>
      </w:pPr>
      <w:r>
        <w:rPr>
          <w:sz w:val="24"/>
        </w:rPr>
        <w:t xml:space="preserve">I.   </w:t>
      </w:r>
      <w:r w:rsidR="000D3F34">
        <w:rPr>
          <w:sz w:val="24"/>
        </w:rPr>
        <w:t>Smluvní strany</w:t>
      </w:r>
    </w:p>
    <w:p w14:paraId="3CE1ABA1" w14:textId="77777777" w:rsidR="000D3F34" w:rsidRDefault="000D3F34" w:rsidP="000D3F34">
      <w:pPr>
        <w:spacing w:after="122" w:line="259" w:lineRule="auto"/>
        <w:ind w:left="-5"/>
      </w:pPr>
      <w:r>
        <w:rPr>
          <w:b/>
        </w:rPr>
        <w:t>Objednatel</w:t>
      </w:r>
    </w:p>
    <w:p w14:paraId="38821D4D" w14:textId="77777777" w:rsidR="000D3F34" w:rsidRDefault="000D3F34" w:rsidP="000D3F34">
      <w:pPr>
        <w:spacing w:after="11"/>
      </w:pPr>
      <w:r>
        <w:rPr>
          <w:b/>
        </w:rPr>
        <w:t>Národní muzeum</w:t>
      </w:r>
    </w:p>
    <w:p w14:paraId="72AAD655" w14:textId="77777777" w:rsidR="000D3F34" w:rsidRDefault="000D3F34" w:rsidP="000D3F34">
      <w:pPr>
        <w:spacing w:after="7"/>
      </w:pPr>
      <w:r>
        <w:t>se sídlem Václavské náměstí 1700/68, 110 00 Praha 1</w:t>
      </w:r>
    </w:p>
    <w:p w14:paraId="1EED6009" w14:textId="77777777" w:rsidR="000D3F34" w:rsidRDefault="000D3F34" w:rsidP="000D3F34">
      <w:pPr>
        <w:spacing w:after="7"/>
      </w:pPr>
      <w:r>
        <w:t>IČO: 00023272.DIČ: CZ00023272</w:t>
      </w:r>
    </w:p>
    <w:p w14:paraId="1389F524" w14:textId="77777777" w:rsidR="000D3F34" w:rsidRDefault="000D3F34" w:rsidP="000D3F34">
      <w:pPr>
        <w:spacing w:after="7"/>
      </w:pPr>
      <w:r>
        <w:t>jehož jménem jedná    Ing. Rudolf Pohl, provozní náměstek</w:t>
      </w:r>
    </w:p>
    <w:p w14:paraId="2E8E1E93" w14:textId="77777777" w:rsidR="000D3F34" w:rsidRDefault="000D3F34" w:rsidP="000D3F34">
      <w:pPr>
        <w:spacing w:after="8"/>
      </w:pPr>
      <w:r>
        <w:t>(dále jen „objednatel“)</w:t>
      </w:r>
    </w:p>
    <w:p w14:paraId="1D37C598" w14:textId="77777777" w:rsidR="000D3F34" w:rsidRDefault="000D3F34" w:rsidP="000D3F34">
      <w:pPr>
        <w:spacing w:after="8"/>
      </w:pPr>
    </w:p>
    <w:p w14:paraId="7FA42A09" w14:textId="77777777" w:rsidR="000D3F34" w:rsidRDefault="000D3F34" w:rsidP="000D3F34">
      <w:pPr>
        <w:spacing w:after="8"/>
      </w:pPr>
      <w:r>
        <w:t>a</w:t>
      </w:r>
    </w:p>
    <w:p w14:paraId="57EDA8F5" w14:textId="77777777" w:rsidR="000D3F34" w:rsidRDefault="000D3F34" w:rsidP="000D3F34">
      <w:pPr>
        <w:spacing w:after="8"/>
      </w:pPr>
    </w:p>
    <w:p w14:paraId="5377AB6D" w14:textId="77777777" w:rsidR="000D3F34" w:rsidRDefault="000D3F34" w:rsidP="000D3F34">
      <w:pPr>
        <w:spacing w:after="122" w:line="259" w:lineRule="auto"/>
        <w:ind w:left="-5"/>
      </w:pPr>
      <w:r>
        <w:rPr>
          <w:b/>
        </w:rPr>
        <w:t>Zhotovitel</w:t>
      </w:r>
    </w:p>
    <w:p w14:paraId="30F84812" w14:textId="77777777" w:rsidR="000D3F34" w:rsidRDefault="000D3F34" w:rsidP="000D3F34">
      <w:pPr>
        <w:spacing w:after="11"/>
      </w:pPr>
      <w:r>
        <w:rPr>
          <w:b/>
        </w:rPr>
        <w:t>JITOZ s.r.o.</w:t>
      </w:r>
    </w:p>
    <w:p w14:paraId="3FF19B5A" w14:textId="5F82D5C3" w:rsidR="000D3F34" w:rsidRDefault="000D3F34" w:rsidP="000D3F34">
      <w:pPr>
        <w:spacing w:after="7"/>
      </w:pPr>
      <w:r>
        <w:t>se sídlem Náměstí 14. října 1307/2, 150 00 Praha 5 – Smíchov</w:t>
      </w:r>
    </w:p>
    <w:p w14:paraId="32E1AA1B" w14:textId="77777777" w:rsidR="000D3F34" w:rsidRDefault="000D3F34" w:rsidP="000D3F34">
      <w:pPr>
        <w:spacing w:after="7"/>
      </w:pPr>
      <w:r>
        <w:t xml:space="preserve">IČO: </w:t>
      </w:r>
      <w:proofErr w:type="gramStart"/>
      <w:r>
        <w:t>23510269,DIČ</w:t>
      </w:r>
      <w:proofErr w:type="gramEnd"/>
      <w:r>
        <w:t>: CZ23510269</w:t>
      </w:r>
    </w:p>
    <w:p w14:paraId="1647A28E" w14:textId="77777777" w:rsidR="000D3F34" w:rsidRDefault="000D3F34" w:rsidP="000D3F34">
      <w:pPr>
        <w:spacing w:after="7"/>
      </w:pPr>
      <w:r>
        <w:t>zastoupený: Jiřím Beranem na základě generální plné moci</w:t>
      </w:r>
    </w:p>
    <w:p w14:paraId="5533E5C5" w14:textId="429F0595" w:rsidR="000D3F34" w:rsidRDefault="000D3F34" w:rsidP="000D3F34">
      <w:pPr>
        <w:spacing w:after="7"/>
      </w:pPr>
      <w:r>
        <w:t xml:space="preserve">číslo účtu: </w:t>
      </w:r>
      <w:r w:rsidR="008418D3">
        <w:t>XXXXXXXXXXXX</w:t>
      </w:r>
    </w:p>
    <w:p w14:paraId="43029BA5" w14:textId="77777777" w:rsidR="000D3F34" w:rsidRDefault="000D3F34" w:rsidP="000D3F34">
      <w:pPr>
        <w:spacing w:after="9"/>
      </w:pPr>
      <w:r>
        <w:t>(dále jen „zhotovitel“)</w:t>
      </w:r>
    </w:p>
    <w:p w14:paraId="3A4EC221" w14:textId="4E9B84FD" w:rsidR="000D3F34" w:rsidRDefault="00A90BE4" w:rsidP="000D3F34">
      <w:pPr>
        <w:pStyle w:val="Nadpis1"/>
        <w:ind w:left="445" w:hanging="460"/>
        <w:jc w:val="both"/>
        <w:rPr>
          <w:sz w:val="24"/>
        </w:rPr>
      </w:pPr>
      <w:r>
        <w:rPr>
          <w:sz w:val="24"/>
        </w:rPr>
        <w:t xml:space="preserve">II.   </w:t>
      </w:r>
      <w:r w:rsidR="000D3F34">
        <w:rPr>
          <w:sz w:val="24"/>
        </w:rPr>
        <w:t>Předmět rámcové smlouvy</w:t>
      </w:r>
    </w:p>
    <w:p w14:paraId="7A7A4C0B" w14:textId="77777777" w:rsidR="000D3F34" w:rsidRDefault="000D3F34" w:rsidP="000D3F34">
      <w:pPr>
        <w:numPr>
          <w:ilvl w:val="0"/>
          <w:numId w:val="1"/>
        </w:numPr>
        <w:ind w:hanging="283"/>
        <w:jc w:val="both"/>
        <w:rPr>
          <w:bCs/>
        </w:rPr>
      </w:pPr>
      <w:r>
        <w:t xml:space="preserve">Tato rámcová smlouva upravuje podmínky, za kterých bude zhotovitel pro objednatele </w:t>
      </w:r>
      <w:r>
        <w:rPr>
          <w:bCs/>
        </w:rPr>
        <w:t>opakovaně poskytovat stěhovací a přepravní služby dle aktuálních potřeb objednatele.</w:t>
      </w:r>
    </w:p>
    <w:p w14:paraId="40C43CF4" w14:textId="77777777" w:rsidR="000D3F34" w:rsidRDefault="000D3F34" w:rsidP="000D3F34">
      <w:pPr>
        <w:numPr>
          <w:ilvl w:val="0"/>
          <w:numId w:val="1"/>
        </w:numPr>
        <w:ind w:hanging="283"/>
        <w:jc w:val="both"/>
      </w:pPr>
      <w:r>
        <w:t>Předmětem plnění jsou zejména:</w:t>
      </w:r>
    </w:p>
    <w:p w14:paraId="43633954" w14:textId="77777777" w:rsidR="000D3F34" w:rsidRDefault="000D3F34" w:rsidP="000D3F34">
      <w:pPr>
        <w:numPr>
          <w:ilvl w:val="1"/>
          <w:numId w:val="1"/>
        </w:numPr>
        <w:ind w:hanging="283"/>
        <w:jc w:val="both"/>
      </w:pPr>
      <w:r>
        <w:t>stěhování a převozy mobiliáře,</w:t>
      </w:r>
    </w:p>
    <w:p w14:paraId="509B1971" w14:textId="77777777" w:rsidR="000D3F34" w:rsidRDefault="000D3F34" w:rsidP="000D3F34">
      <w:pPr>
        <w:numPr>
          <w:ilvl w:val="1"/>
          <w:numId w:val="1"/>
        </w:numPr>
        <w:ind w:hanging="283"/>
        <w:jc w:val="both"/>
      </w:pPr>
      <w:r>
        <w:t>stěhování a převozy sbírkových předmětů a fondů,</w:t>
      </w:r>
    </w:p>
    <w:p w14:paraId="692BDA4B" w14:textId="77777777" w:rsidR="000D3F34" w:rsidRDefault="000D3F34" w:rsidP="000D3F34">
      <w:pPr>
        <w:numPr>
          <w:ilvl w:val="1"/>
          <w:numId w:val="1"/>
        </w:numPr>
        <w:ind w:hanging="283"/>
        <w:jc w:val="both"/>
      </w:pPr>
      <w:r>
        <w:t>manipulace s mobiliářem,</w:t>
      </w:r>
    </w:p>
    <w:p w14:paraId="52624BB5" w14:textId="77777777" w:rsidR="000D3F34" w:rsidRDefault="000D3F34" w:rsidP="000D3F34">
      <w:pPr>
        <w:numPr>
          <w:ilvl w:val="1"/>
          <w:numId w:val="1"/>
        </w:numPr>
        <w:ind w:hanging="283"/>
        <w:jc w:val="both"/>
      </w:pPr>
      <w:r>
        <w:t>balení, ochrana a zajištění přepravovaných předmětů proti poškození.</w:t>
      </w:r>
    </w:p>
    <w:p w14:paraId="1FFF3E24" w14:textId="77777777" w:rsidR="000D3F34" w:rsidRDefault="000D3F34" w:rsidP="000D3F34">
      <w:pPr>
        <w:numPr>
          <w:ilvl w:val="0"/>
          <w:numId w:val="1"/>
        </w:numPr>
        <w:ind w:hanging="283"/>
        <w:jc w:val="both"/>
        <w:rPr>
          <w:bCs/>
        </w:rPr>
      </w:pPr>
      <w:r>
        <w:t xml:space="preserve">Konkrétní rozsah, termín a místo jednotlivých plnění bude objednatel zhotoviteli zadávat </w:t>
      </w:r>
      <w:r>
        <w:rPr>
          <w:bCs/>
        </w:rPr>
        <w:t>formou dílčích objednávek.</w:t>
      </w:r>
    </w:p>
    <w:p w14:paraId="1DFFA753" w14:textId="77777777" w:rsidR="000D3F34" w:rsidRDefault="000D3F34" w:rsidP="000D3F34">
      <w:pPr>
        <w:numPr>
          <w:ilvl w:val="0"/>
          <w:numId w:val="1"/>
        </w:numPr>
        <w:spacing w:after="11"/>
        <w:ind w:hanging="283"/>
        <w:jc w:val="both"/>
        <w:rPr>
          <w:bCs/>
        </w:rPr>
      </w:pPr>
      <w:r>
        <w:rPr>
          <w:bCs/>
        </w:rPr>
        <w:t>U sbírkových předmětů bude manipulace a balení prováděna ve spolupráci s pověřenými pracovníky a kurátory objednatele.</w:t>
      </w:r>
    </w:p>
    <w:p w14:paraId="73C2D020" w14:textId="77777777" w:rsidR="000D3F34" w:rsidRDefault="000D3F34" w:rsidP="000D3F34">
      <w:pPr>
        <w:spacing w:after="11"/>
        <w:ind w:left="694" w:firstLine="0"/>
        <w:jc w:val="both"/>
      </w:pPr>
    </w:p>
    <w:p w14:paraId="13B74594" w14:textId="687124C6" w:rsidR="000D3F34" w:rsidRDefault="00A90BE4" w:rsidP="000D3F34">
      <w:pPr>
        <w:pStyle w:val="Nadpis1"/>
        <w:ind w:left="585" w:hanging="600"/>
        <w:jc w:val="both"/>
        <w:rPr>
          <w:sz w:val="24"/>
        </w:rPr>
      </w:pPr>
      <w:r>
        <w:rPr>
          <w:sz w:val="24"/>
        </w:rPr>
        <w:t xml:space="preserve">III.   </w:t>
      </w:r>
      <w:r w:rsidR="000D3F34">
        <w:rPr>
          <w:sz w:val="24"/>
        </w:rPr>
        <w:t>Doba a místo plnění</w:t>
      </w:r>
    </w:p>
    <w:p w14:paraId="78F4EC3E" w14:textId="77777777" w:rsidR="000D3F34" w:rsidRDefault="000D3F34" w:rsidP="000D3F34">
      <w:pPr>
        <w:numPr>
          <w:ilvl w:val="0"/>
          <w:numId w:val="2"/>
        </w:numPr>
        <w:ind w:hanging="283"/>
        <w:jc w:val="both"/>
      </w:pPr>
      <w:r>
        <w:t>Rámcová smlouva se uzavírá na dobu určitou: od data podpisu smlouvy do 31. 12. 2028, nebo do vyčerpání finančního limitu objednatele, podle toho, která skutečnost nastane dříve.</w:t>
      </w:r>
    </w:p>
    <w:p w14:paraId="6718108A" w14:textId="77777777" w:rsidR="000D3F34" w:rsidRDefault="000D3F34" w:rsidP="000D3F34">
      <w:pPr>
        <w:numPr>
          <w:ilvl w:val="0"/>
          <w:numId w:val="2"/>
        </w:numPr>
        <w:spacing w:after="8"/>
        <w:ind w:hanging="283"/>
        <w:jc w:val="both"/>
      </w:pPr>
      <w:r>
        <w:lastRenderedPageBreak/>
        <w:t>Místem plnění je Česká republika, zejména objekty objednatele.</w:t>
      </w:r>
    </w:p>
    <w:p w14:paraId="76632D1C" w14:textId="77777777" w:rsidR="00A01139" w:rsidRDefault="00A01139" w:rsidP="00A01139">
      <w:pPr>
        <w:spacing w:after="8"/>
        <w:ind w:left="694" w:firstLine="0"/>
        <w:jc w:val="both"/>
      </w:pPr>
    </w:p>
    <w:p w14:paraId="197D1655" w14:textId="6A9EC739" w:rsidR="000D3F34" w:rsidRDefault="00A90BE4" w:rsidP="000D3F34">
      <w:pPr>
        <w:pStyle w:val="Nadpis1"/>
        <w:ind w:left="518" w:hanging="533"/>
        <w:jc w:val="both"/>
        <w:rPr>
          <w:sz w:val="24"/>
        </w:rPr>
      </w:pPr>
      <w:r>
        <w:rPr>
          <w:sz w:val="24"/>
        </w:rPr>
        <w:t xml:space="preserve">IV.   </w:t>
      </w:r>
      <w:r w:rsidR="000D3F34">
        <w:rPr>
          <w:sz w:val="24"/>
        </w:rPr>
        <w:t>Cena a platební podmínky</w:t>
      </w:r>
    </w:p>
    <w:p w14:paraId="6ECE8B93" w14:textId="77777777" w:rsidR="000D3F34" w:rsidRDefault="000D3F34" w:rsidP="000D3F34">
      <w:pPr>
        <w:numPr>
          <w:ilvl w:val="0"/>
          <w:numId w:val="3"/>
        </w:numPr>
        <w:ind w:hanging="283"/>
        <w:jc w:val="both"/>
      </w:pPr>
      <w:r>
        <w:t>Cena plnění dle této rámcové smlouvy je sjednána jako cena nepřekročitelná a je stanovena na základě těchto jednotkových cen:</w:t>
      </w:r>
    </w:p>
    <w:p w14:paraId="04CD784C" w14:textId="77777777" w:rsidR="000D3F34" w:rsidRDefault="000D3F34" w:rsidP="000D3F34">
      <w:pPr>
        <w:numPr>
          <w:ilvl w:val="1"/>
          <w:numId w:val="3"/>
        </w:numPr>
        <w:spacing w:after="11"/>
        <w:ind w:hanging="259"/>
        <w:jc w:val="both"/>
      </w:pPr>
      <w:r>
        <w:t>obalový materiál na zabalení převážených předmětů a mobiliáře:</w:t>
      </w:r>
    </w:p>
    <w:p w14:paraId="598CB2AE" w14:textId="77777777" w:rsidR="000D3F34" w:rsidRDefault="000D3F34" w:rsidP="000D3F34">
      <w:pPr>
        <w:spacing w:after="147"/>
        <w:ind w:left="704"/>
        <w:jc w:val="both"/>
      </w:pPr>
      <w:r>
        <w:t>30,00 Kč bez DPH / 1 m³</w:t>
      </w:r>
    </w:p>
    <w:p w14:paraId="05AFAA76" w14:textId="77777777" w:rsidR="000D3F34" w:rsidRDefault="000D3F34" w:rsidP="000D3F34">
      <w:pPr>
        <w:numPr>
          <w:ilvl w:val="1"/>
          <w:numId w:val="3"/>
        </w:numPr>
        <w:spacing w:after="11"/>
        <w:ind w:hanging="259"/>
        <w:jc w:val="both"/>
      </w:pPr>
      <w:r>
        <w:t>převoz dle dispozic objednatele:</w:t>
      </w:r>
    </w:p>
    <w:p w14:paraId="3F2B1DE6" w14:textId="77777777" w:rsidR="000D3F34" w:rsidRDefault="000D3F34" w:rsidP="000D3F34">
      <w:pPr>
        <w:spacing w:after="147"/>
        <w:ind w:left="704"/>
        <w:jc w:val="both"/>
      </w:pPr>
      <w:r>
        <w:t>12,00 Kč bez DPH / 1 ujetý km</w:t>
      </w:r>
    </w:p>
    <w:p w14:paraId="7426E0C2" w14:textId="77777777" w:rsidR="000D3F34" w:rsidRDefault="000D3F34" w:rsidP="000D3F34">
      <w:pPr>
        <w:numPr>
          <w:ilvl w:val="1"/>
          <w:numId w:val="3"/>
        </w:numPr>
        <w:spacing w:after="11"/>
        <w:ind w:hanging="259"/>
        <w:jc w:val="both"/>
      </w:pPr>
      <w:r>
        <w:t>manipulace s mobiliářem (balení, přenášení, nakládka, vykládka):</w:t>
      </w:r>
    </w:p>
    <w:p w14:paraId="12897B60" w14:textId="77777777" w:rsidR="000D3F34" w:rsidRDefault="000D3F34" w:rsidP="000D3F34">
      <w:pPr>
        <w:spacing w:after="147"/>
        <w:ind w:left="704"/>
        <w:jc w:val="both"/>
      </w:pPr>
      <w:r>
        <w:t>230,00 Kč bez DPH / 1 hodina / osoba.</w:t>
      </w:r>
    </w:p>
    <w:p w14:paraId="3F4EBFF5" w14:textId="77777777" w:rsidR="000D3F34" w:rsidRDefault="000D3F34" w:rsidP="000D3F34">
      <w:pPr>
        <w:ind w:left="709"/>
        <w:jc w:val="both"/>
        <w:rPr>
          <w:bCs/>
        </w:rPr>
      </w:pPr>
      <w:r>
        <w:rPr>
          <w:bCs/>
        </w:rPr>
        <w:t>Maximální celková cena plnění činí bez DPH 1.850.000 Kč (jeden milion osm set padesát tisíc korun českých).</w:t>
      </w:r>
    </w:p>
    <w:p w14:paraId="4B26E8AE" w14:textId="0770B776" w:rsidR="000D3F34" w:rsidRDefault="00CC728E" w:rsidP="00CC728E">
      <w:pPr>
        <w:jc w:val="both"/>
      </w:pPr>
      <w:r>
        <w:t xml:space="preserve">       </w:t>
      </w:r>
      <w:r w:rsidR="000D3F34">
        <w:t>K jednotkovým cenám bude připočtena DPH ve výši 21 % dle platných právních předpisů.</w:t>
      </w:r>
    </w:p>
    <w:p w14:paraId="2EB92A69" w14:textId="77777777" w:rsidR="000D3F34" w:rsidRDefault="000D3F34" w:rsidP="000D3F34">
      <w:pPr>
        <w:numPr>
          <w:ilvl w:val="0"/>
          <w:numId w:val="3"/>
        </w:numPr>
        <w:ind w:hanging="283"/>
        <w:jc w:val="both"/>
      </w:pPr>
      <w:r>
        <w:t>Jednotkové ceny zahrnují veškeré náklady zhotovitele spojené s realizací plnění, zejména:</w:t>
      </w:r>
    </w:p>
    <w:p w14:paraId="109CD7C3" w14:textId="77777777" w:rsidR="000D3F34" w:rsidRDefault="000D3F34" w:rsidP="000D3F34">
      <w:pPr>
        <w:numPr>
          <w:ilvl w:val="2"/>
          <w:numId w:val="4"/>
        </w:numPr>
        <w:ind w:hanging="283"/>
        <w:jc w:val="both"/>
      </w:pPr>
      <w:r>
        <w:t>přistavení a odjezd vozidel,</w:t>
      </w:r>
    </w:p>
    <w:p w14:paraId="6C0E109B" w14:textId="77777777" w:rsidR="000D3F34" w:rsidRDefault="000D3F34" w:rsidP="000D3F34">
      <w:pPr>
        <w:numPr>
          <w:ilvl w:val="2"/>
          <w:numId w:val="4"/>
        </w:numPr>
        <w:ind w:hanging="283"/>
        <w:jc w:val="both"/>
      </w:pPr>
      <w:r>
        <w:t>dopravu pomůcek,</w:t>
      </w:r>
    </w:p>
    <w:p w14:paraId="729FF00F" w14:textId="77777777" w:rsidR="000D3F34" w:rsidRDefault="000D3F34" w:rsidP="000D3F34">
      <w:pPr>
        <w:numPr>
          <w:ilvl w:val="2"/>
          <w:numId w:val="4"/>
        </w:numPr>
        <w:ind w:hanging="283"/>
        <w:jc w:val="both"/>
      </w:pPr>
      <w:r>
        <w:t>obalový materiál,</w:t>
      </w:r>
    </w:p>
    <w:p w14:paraId="7CC9630F" w14:textId="77777777" w:rsidR="000D3F34" w:rsidRDefault="000D3F34" w:rsidP="000D3F34">
      <w:pPr>
        <w:numPr>
          <w:ilvl w:val="2"/>
          <w:numId w:val="4"/>
        </w:numPr>
        <w:ind w:hanging="283"/>
        <w:jc w:val="both"/>
      </w:pPr>
      <w:r>
        <w:t>pojištění odpovědnosti.</w:t>
      </w:r>
    </w:p>
    <w:p w14:paraId="54EA4124" w14:textId="77777777" w:rsidR="000D3F34" w:rsidRDefault="000D3F34" w:rsidP="000D3F34">
      <w:pPr>
        <w:numPr>
          <w:ilvl w:val="0"/>
          <w:numId w:val="3"/>
        </w:numPr>
        <w:spacing w:after="10"/>
        <w:ind w:hanging="283"/>
        <w:jc w:val="both"/>
      </w:pPr>
      <w:r>
        <w:t>Zhotovitel je oprávněn fakturovat plnění na základě skutečně provedených služeb dle jednotlivých objednávek objednatele.</w:t>
      </w:r>
    </w:p>
    <w:p w14:paraId="39D1E44F" w14:textId="77777777" w:rsidR="000D3F34" w:rsidRDefault="000D3F34" w:rsidP="000D3F34">
      <w:pPr>
        <w:pStyle w:val="Zkladntext"/>
        <w:numPr>
          <w:ilvl w:val="0"/>
          <w:numId w:val="3"/>
        </w:numPr>
        <w:suppressAutoHyphens w:val="0"/>
        <w:ind w:hanging="268"/>
        <w:jc w:val="both"/>
        <w:rPr>
          <w:b w:val="0"/>
          <w:szCs w:val="24"/>
        </w:rPr>
      </w:pPr>
      <w:r>
        <w:rPr>
          <w:b w:val="0"/>
          <w:szCs w:val="24"/>
        </w:rPr>
        <w:t>Faktura (daňový doklad) bude obsahovat všechny náležitosti daňového a účetního dokladu, jak je stanoveno zákonem č. 235/2004 Sb., o dani z přidané hodnoty, ve znění pozdějších předpisů, a tyto náležitosti:</w:t>
      </w:r>
    </w:p>
    <w:p w14:paraId="4430898F" w14:textId="77777777" w:rsidR="000D3F34" w:rsidRDefault="000D3F34" w:rsidP="009E1C6C">
      <w:pPr>
        <w:pStyle w:val="Odrky"/>
        <w:rPr>
          <w:color w:val="000000"/>
        </w:rPr>
      </w:pPr>
      <w:r>
        <w:t>číslo smlouvy</w:t>
      </w:r>
      <w:r>
        <w:rPr>
          <w:color w:val="000000"/>
        </w:rPr>
        <w:t>,</w:t>
      </w:r>
    </w:p>
    <w:p w14:paraId="04C164A2" w14:textId="77777777" w:rsidR="009E1C6C" w:rsidRDefault="000D3F34" w:rsidP="009E1C6C">
      <w:pPr>
        <w:spacing w:after="0" w:line="240" w:lineRule="auto"/>
        <w:ind w:firstLine="698"/>
        <w:jc w:val="both"/>
      </w:pPr>
      <w:r>
        <w:t>soupis provedených prací dokladující oprávněnost fakturované částky potvrzený</w:t>
      </w:r>
    </w:p>
    <w:p w14:paraId="151A0B25" w14:textId="54B4DAC9" w:rsidR="000D3F34" w:rsidRDefault="005A43B1" w:rsidP="009E1C6C">
      <w:pPr>
        <w:spacing w:after="0" w:line="240" w:lineRule="auto"/>
        <w:ind w:firstLine="698"/>
        <w:jc w:val="both"/>
      </w:pPr>
      <w:r>
        <w:t xml:space="preserve">      </w:t>
      </w:r>
      <w:r w:rsidR="000D3F34">
        <w:t>objednatelem.</w:t>
      </w:r>
    </w:p>
    <w:p w14:paraId="232A35E7" w14:textId="77777777" w:rsidR="000D3F34" w:rsidRDefault="000D3F34" w:rsidP="000D3F34">
      <w:pPr>
        <w:ind w:left="709" w:firstLine="0"/>
        <w:jc w:val="both"/>
      </w:pPr>
      <w: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5629FE2" w14:textId="56A68223" w:rsidR="000D3F34" w:rsidRDefault="002C046E" w:rsidP="002C046E">
      <w:pPr>
        <w:spacing w:after="0" w:line="240" w:lineRule="auto"/>
        <w:jc w:val="both"/>
      </w:pPr>
      <w:r>
        <w:t xml:space="preserve">        </w:t>
      </w:r>
      <w:r w:rsidR="000D3F34">
        <w:t>Daňový doklad je splatný ve lhůtě 30 dnů od předání a převzetí dílčího plnění.</w:t>
      </w:r>
    </w:p>
    <w:p w14:paraId="539C6715" w14:textId="77777777" w:rsidR="000D3F34" w:rsidRDefault="000D3F34" w:rsidP="000D3F34">
      <w:pPr>
        <w:spacing w:after="10"/>
        <w:ind w:left="411" w:firstLine="0"/>
        <w:jc w:val="both"/>
      </w:pPr>
    </w:p>
    <w:p w14:paraId="322B837F" w14:textId="1E351E1B" w:rsidR="000D3F34" w:rsidRDefault="00DC7195" w:rsidP="000D3F34">
      <w:pPr>
        <w:pStyle w:val="Nadpis1"/>
        <w:ind w:left="378" w:hanging="393"/>
        <w:rPr>
          <w:sz w:val="24"/>
        </w:rPr>
      </w:pPr>
      <w:r>
        <w:rPr>
          <w:sz w:val="24"/>
        </w:rPr>
        <w:t xml:space="preserve">V.   </w:t>
      </w:r>
      <w:r w:rsidR="000D3F34">
        <w:rPr>
          <w:sz w:val="24"/>
        </w:rPr>
        <w:t>Objednávky dílčího plnění</w:t>
      </w:r>
    </w:p>
    <w:p w14:paraId="4A606412" w14:textId="3A7F345A" w:rsidR="000D3F34" w:rsidRDefault="000D3F34" w:rsidP="000D3F34">
      <w:pPr>
        <w:numPr>
          <w:ilvl w:val="0"/>
          <w:numId w:val="5"/>
        </w:numPr>
        <w:ind w:hanging="283"/>
        <w:jc w:val="both"/>
      </w:pPr>
      <w:r>
        <w:t>Objednatel bude zadávat jednotlivá plnění formou dílčích objednávek (písemně, elektronicky</w:t>
      </w:r>
      <w:r w:rsidR="00165F37">
        <w:t>).</w:t>
      </w:r>
    </w:p>
    <w:p w14:paraId="6EEBE492" w14:textId="77777777" w:rsidR="000D3F34" w:rsidRDefault="000D3F34" w:rsidP="000D3F34">
      <w:pPr>
        <w:numPr>
          <w:ilvl w:val="0"/>
          <w:numId w:val="5"/>
        </w:numPr>
        <w:ind w:hanging="283"/>
        <w:jc w:val="both"/>
      </w:pPr>
      <w:r>
        <w:t>Dílčí objednávka zejména určí:</w:t>
      </w:r>
    </w:p>
    <w:p w14:paraId="6AACB3AA" w14:textId="77777777" w:rsidR="000D3F34" w:rsidRDefault="000D3F34" w:rsidP="000D3F34">
      <w:pPr>
        <w:numPr>
          <w:ilvl w:val="1"/>
          <w:numId w:val="5"/>
        </w:numPr>
        <w:ind w:hanging="283"/>
        <w:jc w:val="both"/>
      </w:pPr>
      <w:r>
        <w:t>předmět plnění,</w:t>
      </w:r>
    </w:p>
    <w:p w14:paraId="7E75800F" w14:textId="77777777" w:rsidR="000D3F34" w:rsidRDefault="000D3F34" w:rsidP="000D3F34">
      <w:pPr>
        <w:numPr>
          <w:ilvl w:val="1"/>
          <w:numId w:val="5"/>
        </w:numPr>
        <w:ind w:hanging="283"/>
        <w:jc w:val="both"/>
      </w:pPr>
      <w:r>
        <w:lastRenderedPageBreak/>
        <w:t>předpokládaný rozsah,</w:t>
      </w:r>
    </w:p>
    <w:p w14:paraId="7CBEB096" w14:textId="77777777" w:rsidR="000D3F34" w:rsidRDefault="000D3F34" w:rsidP="000D3F34">
      <w:pPr>
        <w:numPr>
          <w:ilvl w:val="1"/>
          <w:numId w:val="5"/>
        </w:numPr>
        <w:ind w:hanging="283"/>
        <w:jc w:val="both"/>
      </w:pPr>
      <w:r>
        <w:t>místo a termín realizace.</w:t>
      </w:r>
    </w:p>
    <w:p w14:paraId="3A89757C" w14:textId="77777777" w:rsidR="000D3F34" w:rsidRDefault="000D3F34" w:rsidP="000D3F34">
      <w:pPr>
        <w:numPr>
          <w:ilvl w:val="0"/>
          <w:numId w:val="5"/>
        </w:numPr>
        <w:spacing w:after="9"/>
        <w:ind w:hanging="283"/>
        <w:jc w:val="both"/>
      </w:pPr>
      <w:r>
        <w:t>Zhotovitel je povinen objednávku potvrdit a plnění provést dle sjednaných podmínek.</w:t>
      </w:r>
    </w:p>
    <w:p w14:paraId="466CEDCA" w14:textId="77777777" w:rsidR="000D3F34" w:rsidRDefault="000D3F34" w:rsidP="000D3F34">
      <w:pPr>
        <w:spacing w:after="9"/>
        <w:ind w:left="411" w:firstLine="0"/>
      </w:pPr>
    </w:p>
    <w:p w14:paraId="5BEB2CC2" w14:textId="21D7E9A5" w:rsidR="000D3F34" w:rsidRDefault="00DC7195" w:rsidP="000D3F34">
      <w:pPr>
        <w:pStyle w:val="Nadpis1"/>
        <w:ind w:left="565" w:hanging="580"/>
        <w:rPr>
          <w:sz w:val="24"/>
        </w:rPr>
      </w:pPr>
      <w:r>
        <w:rPr>
          <w:sz w:val="24"/>
        </w:rPr>
        <w:t xml:space="preserve">VI.   </w:t>
      </w:r>
      <w:r w:rsidR="000D3F34">
        <w:rPr>
          <w:sz w:val="24"/>
        </w:rPr>
        <w:t>Práva a povinnosti smluvních stran</w:t>
      </w:r>
    </w:p>
    <w:p w14:paraId="6820E82A" w14:textId="77777777" w:rsidR="000D3F34" w:rsidRDefault="000D3F34" w:rsidP="000D3F34">
      <w:pPr>
        <w:numPr>
          <w:ilvl w:val="0"/>
          <w:numId w:val="6"/>
        </w:numPr>
        <w:ind w:hanging="283"/>
        <w:jc w:val="both"/>
      </w:pPr>
      <w:r>
        <w:t>Zhotovitel se zavazuje:</w:t>
      </w:r>
    </w:p>
    <w:p w14:paraId="51777D5B" w14:textId="77777777" w:rsidR="000D3F34" w:rsidRDefault="000D3F34" w:rsidP="000D3F34">
      <w:pPr>
        <w:numPr>
          <w:ilvl w:val="1"/>
          <w:numId w:val="6"/>
        </w:numPr>
        <w:ind w:hanging="283"/>
        <w:jc w:val="both"/>
      </w:pPr>
      <w:r>
        <w:t>provádět služby odborně, šetrně a s náležitou péčí,</w:t>
      </w:r>
    </w:p>
    <w:p w14:paraId="7010EDB0" w14:textId="77777777" w:rsidR="000D3F34" w:rsidRDefault="000D3F34" w:rsidP="000D3F34">
      <w:pPr>
        <w:numPr>
          <w:ilvl w:val="1"/>
          <w:numId w:val="6"/>
        </w:numPr>
        <w:ind w:hanging="283"/>
        <w:jc w:val="both"/>
      </w:pPr>
      <w:r>
        <w:t>chránit přepravované předměty proti poškození,</w:t>
      </w:r>
    </w:p>
    <w:p w14:paraId="547B6CC7" w14:textId="77777777" w:rsidR="000D3F34" w:rsidRDefault="000D3F34" w:rsidP="000D3F34">
      <w:pPr>
        <w:numPr>
          <w:ilvl w:val="1"/>
          <w:numId w:val="6"/>
        </w:numPr>
        <w:ind w:hanging="283"/>
        <w:jc w:val="both"/>
      </w:pPr>
      <w:r>
        <w:t>řídit se pokyny objednatele,</w:t>
      </w:r>
    </w:p>
    <w:p w14:paraId="1E08E13E" w14:textId="77777777" w:rsidR="000D3F34" w:rsidRDefault="000D3F34" w:rsidP="000D3F34">
      <w:pPr>
        <w:numPr>
          <w:ilvl w:val="1"/>
          <w:numId w:val="6"/>
        </w:numPr>
        <w:ind w:hanging="283"/>
        <w:jc w:val="both"/>
      </w:pPr>
      <w:r>
        <w:t>zpracovat podrobný harmonogram každého stěhování, který musí být odsouhlasen objednatelem,</w:t>
      </w:r>
    </w:p>
    <w:p w14:paraId="55B5BDEC" w14:textId="77777777" w:rsidR="000D3F34" w:rsidRDefault="000D3F34" w:rsidP="000D3F34">
      <w:pPr>
        <w:numPr>
          <w:ilvl w:val="1"/>
          <w:numId w:val="6"/>
        </w:numPr>
        <w:ind w:hanging="283"/>
        <w:jc w:val="both"/>
      </w:pPr>
      <w:r>
        <w:t>nést odpovědnost za bezúhonnost svých zaměstnanců podílejících se na předmětu plnění.</w:t>
      </w:r>
    </w:p>
    <w:p w14:paraId="3843DBA1" w14:textId="77777777" w:rsidR="000D3F34" w:rsidRDefault="000D3F34" w:rsidP="000D3F34">
      <w:pPr>
        <w:numPr>
          <w:ilvl w:val="0"/>
          <w:numId w:val="6"/>
        </w:numPr>
        <w:spacing w:after="9"/>
        <w:ind w:hanging="283"/>
        <w:jc w:val="both"/>
      </w:pPr>
      <w:r>
        <w:t>Objednatel se zavazuje poskytnout zhotoviteli potřebnou součinnost.</w:t>
      </w:r>
    </w:p>
    <w:p w14:paraId="1E4D819D" w14:textId="77777777" w:rsidR="000D3F34" w:rsidRDefault="000D3F34" w:rsidP="000D3F34">
      <w:pPr>
        <w:spacing w:after="9"/>
        <w:jc w:val="both"/>
      </w:pPr>
    </w:p>
    <w:p w14:paraId="1E721A83" w14:textId="71345336" w:rsidR="000D3F34" w:rsidRDefault="00DC7195" w:rsidP="000D3F34">
      <w:pPr>
        <w:pStyle w:val="Nadpis1"/>
        <w:ind w:left="705" w:hanging="720"/>
        <w:rPr>
          <w:sz w:val="24"/>
        </w:rPr>
      </w:pPr>
      <w:r>
        <w:rPr>
          <w:sz w:val="24"/>
        </w:rPr>
        <w:t xml:space="preserve">VII.   </w:t>
      </w:r>
      <w:r w:rsidR="000D3F34">
        <w:rPr>
          <w:sz w:val="24"/>
        </w:rPr>
        <w:t>Odpovědnost za škodu a pojištění</w:t>
      </w:r>
    </w:p>
    <w:p w14:paraId="1A6FC917" w14:textId="77777777" w:rsidR="000D3F34" w:rsidRDefault="000D3F34" w:rsidP="000D3F34">
      <w:pPr>
        <w:numPr>
          <w:ilvl w:val="0"/>
          <w:numId w:val="7"/>
        </w:numPr>
        <w:ind w:hanging="283"/>
        <w:jc w:val="both"/>
      </w:pPr>
      <w:r>
        <w:t>Zhotovitel odpovídá za škodu způsobenou při plnění této rámcové smlouvy.</w:t>
      </w:r>
    </w:p>
    <w:p w14:paraId="4D82455B" w14:textId="77777777" w:rsidR="000D3F34" w:rsidRDefault="000D3F34" w:rsidP="000D3F34">
      <w:pPr>
        <w:numPr>
          <w:ilvl w:val="0"/>
          <w:numId w:val="7"/>
        </w:numPr>
        <w:spacing w:after="10"/>
        <w:ind w:hanging="283"/>
        <w:jc w:val="both"/>
      </w:pPr>
      <w:r>
        <w:t>Zhotovitel prohlašuje, že má po celou dobu trvání rámcové smlouvy sjednáno pojištění odpovědnosti za škodu s limitem pojistného plnění minimálně 10 000 000 Kč. Zhotovitel předložil objednateli před podpisem této smlouvy kopii pojistné smlouvy.</w:t>
      </w:r>
    </w:p>
    <w:p w14:paraId="19AB9146" w14:textId="77777777" w:rsidR="000D3F34" w:rsidRDefault="000D3F34" w:rsidP="000D3F34">
      <w:pPr>
        <w:spacing w:after="10"/>
        <w:jc w:val="both"/>
      </w:pPr>
    </w:p>
    <w:p w14:paraId="65F0DC68" w14:textId="02282240" w:rsidR="000D3F34" w:rsidRDefault="00DC7195" w:rsidP="000D3F34">
      <w:pPr>
        <w:pStyle w:val="Nadpis1"/>
        <w:ind w:left="845" w:hanging="860"/>
        <w:rPr>
          <w:sz w:val="24"/>
        </w:rPr>
      </w:pPr>
      <w:r>
        <w:rPr>
          <w:sz w:val="24"/>
        </w:rPr>
        <w:t xml:space="preserve">VIII.   </w:t>
      </w:r>
      <w:r w:rsidR="000D3F34">
        <w:rPr>
          <w:sz w:val="24"/>
        </w:rPr>
        <w:t>Ukončení rámcové smlouvy</w:t>
      </w:r>
    </w:p>
    <w:p w14:paraId="6444618A" w14:textId="77777777" w:rsidR="000D3F34" w:rsidRDefault="000D3F34" w:rsidP="000D3F34">
      <w:pPr>
        <w:ind w:left="421"/>
        <w:jc w:val="both"/>
      </w:pPr>
      <w:r>
        <w:t>1. Rámcovou smlouvu lze ukončit:</w:t>
      </w:r>
    </w:p>
    <w:p w14:paraId="2E5ECA38" w14:textId="77777777" w:rsidR="000D3F34" w:rsidRDefault="000D3F34" w:rsidP="000D3F34">
      <w:pPr>
        <w:numPr>
          <w:ilvl w:val="0"/>
          <w:numId w:val="8"/>
        </w:numPr>
        <w:ind w:hanging="283"/>
        <w:jc w:val="both"/>
      </w:pPr>
      <w:r>
        <w:t>písemnou dohodou smluvních stran,</w:t>
      </w:r>
    </w:p>
    <w:p w14:paraId="05808D14" w14:textId="77777777" w:rsidR="000D3F34" w:rsidRDefault="000D3F34" w:rsidP="000D3F34">
      <w:pPr>
        <w:numPr>
          <w:ilvl w:val="0"/>
          <w:numId w:val="8"/>
        </w:numPr>
        <w:ind w:hanging="283"/>
        <w:jc w:val="both"/>
      </w:pPr>
      <w:r>
        <w:t>písemnou výpovědí kterékoliv smluvní strany bez udání důvodu s výpovědní lhůtou 3 měsíce,</w:t>
      </w:r>
    </w:p>
    <w:p w14:paraId="2FB0FDBA" w14:textId="77777777" w:rsidR="000D3F34" w:rsidRDefault="000D3F34" w:rsidP="000D3F34">
      <w:pPr>
        <w:numPr>
          <w:ilvl w:val="0"/>
          <w:numId w:val="8"/>
        </w:numPr>
        <w:spacing w:after="0"/>
        <w:ind w:hanging="283"/>
        <w:jc w:val="both"/>
      </w:pPr>
      <w:r>
        <w:t>odstoupením v případě podstatného porušení smlouvy.</w:t>
      </w:r>
    </w:p>
    <w:p w14:paraId="34028AA8" w14:textId="77777777" w:rsidR="000D3F34" w:rsidRDefault="000D3F34" w:rsidP="000D3F34">
      <w:pPr>
        <w:spacing w:after="0"/>
        <w:jc w:val="both"/>
      </w:pPr>
    </w:p>
    <w:p w14:paraId="608E30D0" w14:textId="0C9050A6" w:rsidR="000D3F34" w:rsidRDefault="00DC7195" w:rsidP="000D3F34">
      <w:pPr>
        <w:pStyle w:val="Nadpis1"/>
        <w:ind w:left="565" w:hanging="580"/>
        <w:rPr>
          <w:sz w:val="24"/>
        </w:rPr>
      </w:pPr>
      <w:r>
        <w:rPr>
          <w:sz w:val="24"/>
        </w:rPr>
        <w:t xml:space="preserve">IX.   </w:t>
      </w:r>
      <w:r w:rsidR="000D3F34">
        <w:rPr>
          <w:sz w:val="24"/>
        </w:rPr>
        <w:t>Závěrečná ustanovení</w:t>
      </w:r>
    </w:p>
    <w:p w14:paraId="49F376FA" w14:textId="77777777" w:rsidR="000D3F34" w:rsidRDefault="000D3F34" w:rsidP="000D3F34">
      <w:pPr>
        <w:numPr>
          <w:ilvl w:val="0"/>
          <w:numId w:val="9"/>
        </w:numPr>
        <w:ind w:hanging="283"/>
        <w:jc w:val="both"/>
      </w:pPr>
      <w:r>
        <w:t>Tato rámcová smlouva nabývá platnosti dnem podpisu smluvními stranami a účinnosti dnem zveřejnění v registru smluv.</w:t>
      </w:r>
    </w:p>
    <w:p w14:paraId="1C281F60" w14:textId="6DE50B51" w:rsidR="000D3F34" w:rsidRDefault="000D3F34" w:rsidP="000D3F34">
      <w:pPr>
        <w:numPr>
          <w:ilvl w:val="0"/>
          <w:numId w:val="9"/>
        </w:numPr>
        <w:ind w:hanging="283"/>
        <w:jc w:val="both"/>
      </w:pPr>
      <w:r>
        <w:t>Smlouva je vyhotovena ve třech stejnopisech, z nichž ob</w:t>
      </w:r>
      <w:r w:rsidR="00DE6061">
        <w:t>j</w:t>
      </w:r>
      <w:r>
        <w:t>ednatel obdrží dvě a zhotovitel jedno vyhotovení.</w:t>
      </w:r>
    </w:p>
    <w:p w14:paraId="4A487573" w14:textId="77777777" w:rsidR="000D3F34" w:rsidRDefault="000D3F34" w:rsidP="000D3F34">
      <w:pPr>
        <w:numPr>
          <w:ilvl w:val="0"/>
          <w:numId w:val="9"/>
        </w:numPr>
        <w:spacing w:after="1" w:line="382" w:lineRule="auto"/>
        <w:ind w:hanging="283"/>
        <w:jc w:val="both"/>
      </w:pPr>
      <w:r>
        <w:t xml:space="preserve">Nedílnou součástí této rámcové smlouvy je: </w:t>
      </w:r>
      <w:r>
        <w:rPr>
          <w:rFonts w:ascii="Calibri" w:eastAsia="Calibri" w:hAnsi="Calibri" w:cs="Calibri"/>
        </w:rPr>
        <w:t xml:space="preserve">• </w:t>
      </w:r>
      <w:r>
        <w:t>nabídka zhotovitele,</w:t>
      </w:r>
    </w:p>
    <w:p w14:paraId="58CE92DE" w14:textId="77777777" w:rsidR="000D3F34" w:rsidRDefault="000D3F34" w:rsidP="000D3F34">
      <w:pPr>
        <w:ind w:left="1145"/>
        <w:jc w:val="both"/>
      </w:pPr>
      <w:r>
        <w:rPr>
          <w:rFonts w:ascii="Calibri" w:eastAsia="Calibri" w:hAnsi="Calibri" w:cs="Calibri"/>
        </w:rPr>
        <w:t xml:space="preserve">• </w:t>
      </w:r>
      <w:r>
        <w:t>výpočtový list.</w:t>
      </w:r>
    </w:p>
    <w:p w14:paraId="07E5438A" w14:textId="77777777" w:rsidR="000D3F34" w:rsidRDefault="000D3F34" w:rsidP="000D3F34">
      <w:pPr>
        <w:ind w:left="1145"/>
        <w:jc w:val="both"/>
      </w:pPr>
    </w:p>
    <w:p w14:paraId="015CC666" w14:textId="77777777" w:rsidR="000D3F34" w:rsidRDefault="000D3F34" w:rsidP="000D3F34">
      <w:pPr>
        <w:ind w:left="1145"/>
        <w:jc w:val="both"/>
      </w:pPr>
    </w:p>
    <w:p w14:paraId="5F33F28C" w14:textId="77777777" w:rsidR="000D3F34" w:rsidRDefault="000D3F34" w:rsidP="000D3F34">
      <w:pPr>
        <w:numPr>
          <w:ilvl w:val="0"/>
          <w:numId w:val="9"/>
        </w:numPr>
        <w:spacing w:after="9"/>
        <w:ind w:hanging="283"/>
        <w:jc w:val="both"/>
      </w:pPr>
      <w:r>
        <w:t>Právní vztahy neupravené touto smlouvou se řídí občanským zákoníkem.</w:t>
      </w:r>
    </w:p>
    <w:p w14:paraId="66ECC73D" w14:textId="77777777" w:rsidR="000D3F34" w:rsidRDefault="000D3F34" w:rsidP="000D3F34">
      <w:pPr>
        <w:pStyle w:val="Bezmezer"/>
        <w:jc w:val="both"/>
      </w:pPr>
    </w:p>
    <w:p w14:paraId="24A4676C" w14:textId="77777777" w:rsidR="000D3F34" w:rsidRDefault="000D3F34" w:rsidP="000D3F34">
      <w:pPr>
        <w:pStyle w:val="Bezmezer"/>
        <w:jc w:val="both"/>
      </w:pPr>
    </w:p>
    <w:p w14:paraId="5220622A" w14:textId="77777777" w:rsidR="000D3F34" w:rsidRDefault="000D3F34" w:rsidP="000D3F34">
      <w:pPr>
        <w:pStyle w:val="Bezmezer"/>
        <w:ind w:left="0" w:firstLine="0"/>
        <w:jc w:val="both"/>
        <w:rPr>
          <w:bCs/>
          <w:szCs w:val="22"/>
        </w:rPr>
      </w:pPr>
      <w:r>
        <w:rPr>
          <w:bCs/>
          <w:szCs w:val="22"/>
        </w:rPr>
        <w:t>V Praze dne _______________</w:t>
      </w:r>
      <w:r>
        <w:rPr>
          <w:bCs/>
          <w:szCs w:val="22"/>
        </w:rPr>
        <w:tab/>
      </w:r>
      <w:r>
        <w:rPr>
          <w:bCs/>
          <w:szCs w:val="22"/>
        </w:rPr>
        <w:tab/>
      </w:r>
      <w:r>
        <w:rPr>
          <w:bCs/>
          <w:szCs w:val="22"/>
        </w:rPr>
        <w:tab/>
      </w:r>
      <w:r>
        <w:rPr>
          <w:bCs/>
          <w:szCs w:val="22"/>
        </w:rPr>
        <w:tab/>
        <w:t>V Praze dne _______________</w:t>
      </w:r>
    </w:p>
    <w:p w14:paraId="3F62CD7C" w14:textId="77777777" w:rsidR="000D3F34" w:rsidRDefault="000D3F34" w:rsidP="000D3F34">
      <w:pPr>
        <w:pStyle w:val="Bezmezer"/>
        <w:jc w:val="both"/>
      </w:pPr>
    </w:p>
    <w:p w14:paraId="4C71DAEC" w14:textId="77777777" w:rsidR="000D3F34" w:rsidRDefault="000D3F34" w:rsidP="000D3F34">
      <w:pPr>
        <w:pStyle w:val="Bezmezer"/>
        <w:jc w:val="both"/>
      </w:pPr>
    </w:p>
    <w:p w14:paraId="46E87783" w14:textId="77777777" w:rsidR="000D3F34" w:rsidRDefault="000D3F34" w:rsidP="000D3F34">
      <w:pPr>
        <w:pStyle w:val="Bezmezer"/>
        <w:jc w:val="both"/>
      </w:pPr>
      <w:r>
        <w:t>Za objednatele:</w:t>
      </w:r>
      <w:r>
        <w:tab/>
      </w:r>
      <w:r>
        <w:tab/>
      </w:r>
      <w:r>
        <w:tab/>
      </w:r>
      <w:r>
        <w:tab/>
      </w:r>
      <w:r>
        <w:tab/>
      </w:r>
      <w:r>
        <w:tab/>
        <w:t>Za zhotovitele:</w:t>
      </w:r>
    </w:p>
    <w:p w14:paraId="5F3DA605" w14:textId="77777777" w:rsidR="000D3F34" w:rsidRDefault="000D3F34" w:rsidP="000D3F34">
      <w:pPr>
        <w:pStyle w:val="Bezmezer"/>
        <w:jc w:val="both"/>
      </w:pPr>
    </w:p>
    <w:p w14:paraId="5B16E7F4" w14:textId="77777777" w:rsidR="000D3F34" w:rsidRDefault="000D3F34" w:rsidP="000D3F34">
      <w:pPr>
        <w:pStyle w:val="Bezmezer"/>
        <w:jc w:val="both"/>
      </w:pPr>
    </w:p>
    <w:p w14:paraId="18CD6930" w14:textId="77777777" w:rsidR="000D3F34" w:rsidRDefault="000D3F34" w:rsidP="000D3F34">
      <w:pPr>
        <w:pStyle w:val="Bezmezer"/>
        <w:jc w:val="both"/>
      </w:pPr>
    </w:p>
    <w:p w14:paraId="1B491F58" w14:textId="77777777" w:rsidR="000D3F34" w:rsidRDefault="000D3F34" w:rsidP="000D3F34">
      <w:pPr>
        <w:pStyle w:val="Bezmezer"/>
        <w:jc w:val="both"/>
      </w:pPr>
      <w:bookmarkStart w:id="0" w:name="_Hlk190761167"/>
      <w:bookmarkStart w:id="1" w:name="_Hlk203119028"/>
      <w:bookmarkStart w:id="2" w:name="_Hlk209449331"/>
      <w:bookmarkStart w:id="3" w:name="_Hlk190761229"/>
      <w:bookmarkEnd w:id="0"/>
      <w:r>
        <w:t>_________________________</w:t>
      </w:r>
      <w:r>
        <w:tab/>
      </w:r>
      <w:r>
        <w:tab/>
      </w:r>
      <w:r>
        <w:tab/>
      </w:r>
      <w:r>
        <w:tab/>
        <w:t>_________________________</w:t>
      </w:r>
      <w:bookmarkEnd w:id="1"/>
      <w:bookmarkEnd w:id="2"/>
      <w:bookmarkEnd w:id="3"/>
    </w:p>
    <w:p w14:paraId="5F4442B1" w14:textId="77777777" w:rsidR="000D3F34" w:rsidRDefault="000D3F34" w:rsidP="000D3F34">
      <w:pPr>
        <w:spacing w:after="0"/>
      </w:pPr>
      <w:r>
        <w:t xml:space="preserve">         Ing. Rudolf Pohl</w:t>
      </w:r>
    </w:p>
    <w:p w14:paraId="58BF6454" w14:textId="71BDE302" w:rsidR="000D3F34" w:rsidRDefault="000D3F34" w:rsidP="000D3F34">
      <w:pPr>
        <w:spacing w:after="0"/>
      </w:pPr>
      <w:r>
        <w:t xml:space="preserve">        provozní náměstek</w:t>
      </w:r>
      <w:proofErr w:type="gramStart"/>
      <w:r>
        <w:tab/>
        <w:t xml:space="preserve">  </w:t>
      </w:r>
      <w:r w:rsidR="005279B3">
        <w:tab/>
      </w:r>
      <w:proofErr w:type="gramEnd"/>
      <w:r w:rsidR="005279B3">
        <w:tab/>
      </w:r>
      <w:r w:rsidR="005279B3">
        <w:tab/>
      </w:r>
      <w:proofErr w:type="gramStart"/>
      <w:r w:rsidR="005279B3">
        <w:tab/>
        <w:t xml:space="preserve">  </w:t>
      </w:r>
      <w:r>
        <w:t>JITOZ</w:t>
      </w:r>
      <w:proofErr w:type="gramEnd"/>
      <w:r>
        <w:t xml:space="preserve"> s.r.o.</w:t>
      </w:r>
    </w:p>
    <w:p w14:paraId="03863C1A" w14:textId="69A5F29A" w:rsidR="008418D3" w:rsidRDefault="008418D3">
      <w:pPr>
        <w:suppressAutoHyphens w:val="0"/>
        <w:spacing w:after="160" w:line="278" w:lineRule="auto"/>
        <w:ind w:left="0" w:firstLine="0"/>
      </w:pPr>
      <w:r>
        <w:br w:type="page"/>
      </w:r>
    </w:p>
    <w:p w14:paraId="12FA4D10" w14:textId="77777777" w:rsidR="008418D3" w:rsidRDefault="008418D3">
      <w:pPr>
        <w:rPr>
          <w:b/>
          <w:bCs/>
          <w:sz w:val="28"/>
          <w:szCs w:val="28"/>
        </w:rPr>
      </w:pPr>
      <w:r>
        <w:rPr>
          <w:b/>
          <w:bCs/>
          <w:sz w:val="28"/>
          <w:szCs w:val="28"/>
        </w:rPr>
        <w:lastRenderedPageBreak/>
        <w:t>Příloha č. 1 – Výpočtový listopad</w:t>
      </w:r>
    </w:p>
    <w:p w14:paraId="1E58F71B" w14:textId="4DDCB2C2" w:rsidR="000D3F34" w:rsidRDefault="008418D3">
      <w:r>
        <w:t>Tato příloha je nedílnou součástí smlouvy dle článku IX – Výpočtový list.</w:t>
      </w:r>
    </w:p>
    <w:tbl>
      <w:tblPr>
        <w:tblStyle w:val="Mkatabulky"/>
        <w:tblW w:w="0" w:type="auto"/>
        <w:tblInd w:w="10" w:type="dxa"/>
        <w:tblLook w:val="04A0" w:firstRow="1" w:lastRow="0" w:firstColumn="1" w:lastColumn="0" w:noHBand="0" w:noVBand="1"/>
      </w:tblPr>
      <w:tblGrid>
        <w:gridCol w:w="694"/>
        <w:gridCol w:w="1843"/>
        <w:gridCol w:w="1596"/>
        <w:gridCol w:w="1299"/>
        <w:gridCol w:w="1582"/>
        <w:gridCol w:w="1235"/>
        <w:gridCol w:w="1299"/>
      </w:tblGrid>
      <w:tr w:rsidR="008418D3" w14:paraId="737522A0" w14:textId="77777777" w:rsidTr="006B04E9">
        <w:tc>
          <w:tcPr>
            <w:tcW w:w="694" w:type="dxa"/>
          </w:tcPr>
          <w:p w14:paraId="12F4FF79" w14:textId="77777777" w:rsidR="008418D3" w:rsidRDefault="008418D3" w:rsidP="00DA7D86">
            <w:pPr>
              <w:ind w:left="0" w:firstLine="0"/>
              <w:jc w:val="center"/>
            </w:pPr>
          </w:p>
        </w:tc>
        <w:tc>
          <w:tcPr>
            <w:tcW w:w="1843" w:type="dxa"/>
            <w:vAlign w:val="center"/>
          </w:tcPr>
          <w:p w14:paraId="5BF98B9D" w14:textId="4AF8A586" w:rsidR="008418D3" w:rsidRDefault="008418D3" w:rsidP="006B04E9">
            <w:pPr>
              <w:ind w:left="0" w:firstLine="0"/>
              <w:jc w:val="center"/>
            </w:pPr>
            <w:r>
              <w:t>Popis plnění</w:t>
            </w:r>
          </w:p>
        </w:tc>
        <w:tc>
          <w:tcPr>
            <w:tcW w:w="1596" w:type="dxa"/>
            <w:vAlign w:val="center"/>
          </w:tcPr>
          <w:p w14:paraId="0F6DEAE4" w14:textId="4BA8290E" w:rsidR="008418D3" w:rsidRDefault="008418D3" w:rsidP="006B04E9">
            <w:pPr>
              <w:ind w:left="0" w:firstLine="0"/>
              <w:jc w:val="center"/>
            </w:pPr>
            <w:r>
              <w:t>jednotka</w:t>
            </w:r>
          </w:p>
        </w:tc>
        <w:tc>
          <w:tcPr>
            <w:tcW w:w="1299" w:type="dxa"/>
            <w:vAlign w:val="center"/>
          </w:tcPr>
          <w:p w14:paraId="06D8F30A" w14:textId="74E8413E" w:rsidR="008418D3" w:rsidRDefault="008418D3" w:rsidP="006B04E9">
            <w:pPr>
              <w:ind w:left="0" w:firstLine="0"/>
              <w:jc w:val="center"/>
            </w:pPr>
            <w:r>
              <w:t>Cena za jednotku bez DPH (Kč)</w:t>
            </w:r>
          </w:p>
        </w:tc>
        <w:tc>
          <w:tcPr>
            <w:tcW w:w="1582" w:type="dxa"/>
            <w:vAlign w:val="center"/>
          </w:tcPr>
          <w:p w14:paraId="4BF081AD" w14:textId="734F8165" w:rsidR="008418D3" w:rsidRDefault="008418D3" w:rsidP="006B04E9">
            <w:pPr>
              <w:ind w:left="0" w:firstLine="0"/>
              <w:jc w:val="center"/>
            </w:pPr>
            <w:r>
              <w:t>DPH (%) vyberte z rozevíracího seznamu</w:t>
            </w:r>
          </w:p>
        </w:tc>
        <w:tc>
          <w:tcPr>
            <w:tcW w:w="1235" w:type="dxa"/>
            <w:vAlign w:val="center"/>
          </w:tcPr>
          <w:p w14:paraId="64ABA8C8" w14:textId="1A2C562F" w:rsidR="008418D3" w:rsidRDefault="008418D3" w:rsidP="006B04E9">
            <w:pPr>
              <w:ind w:left="0" w:firstLine="0"/>
              <w:jc w:val="center"/>
            </w:pPr>
            <w:r>
              <w:t>DPH (Kč)</w:t>
            </w:r>
          </w:p>
        </w:tc>
        <w:tc>
          <w:tcPr>
            <w:tcW w:w="1299" w:type="dxa"/>
            <w:vAlign w:val="center"/>
          </w:tcPr>
          <w:p w14:paraId="2876DFD1" w14:textId="5926D97E" w:rsidR="008418D3" w:rsidRDefault="008418D3" w:rsidP="006B04E9">
            <w:pPr>
              <w:ind w:left="0" w:firstLine="0"/>
              <w:jc w:val="center"/>
            </w:pPr>
            <w:r>
              <w:t>Cena za jednotku vč. DPH (Kč)</w:t>
            </w:r>
          </w:p>
        </w:tc>
      </w:tr>
      <w:tr w:rsidR="008418D3" w14:paraId="2923F05F" w14:textId="77777777" w:rsidTr="006B04E9">
        <w:tc>
          <w:tcPr>
            <w:tcW w:w="694" w:type="dxa"/>
            <w:vAlign w:val="center"/>
          </w:tcPr>
          <w:p w14:paraId="090B4570" w14:textId="22A567D9" w:rsidR="008418D3" w:rsidRDefault="006B04E9" w:rsidP="006B04E9">
            <w:pPr>
              <w:jc w:val="center"/>
            </w:pPr>
            <w:r>
              <w:t>a)</w:t>
            </w:r>
          </w:p>
          <w:p w14:paraId="6FBE3BD3" w14:textId="3C914F00" w:rsidR="006B04E9" w:rsidRPr="006B04E9" w:rsidRDefault="006B04E9" w:rsidP="006B04E9">
            <w:pPr>
              <w:ind w:left="0" w:firstLine="0"/>
              <w:jc w:val="center"/>
            </w:pPr>
          </w:p>
        </w:tc>
        <w:tc>
          <w:tcPr>
            <w:tcW w:w="1843" w:type="dxa"/>
            <w:vAlign w:val="center"/>
          </w:tcPr>
          <w:p w14:paraId="7009F679" w14:textId="31EE8C6F" w:rsidR="008418D3" w:rsidRDefault="008418D3" w:rsidP="006B04E9">
            <w:pPr>
              <w:ind w:left="0" w:firstLine="0"/>
              <w:jc w:val="center"/>
            </w:pPr>
            <w:r>
              <w:t>Obalový materiál na zabalení převážených předmětů, mobiliáře …</w:t>
            </w:r>
          </w:p>
        </w:tc>
        <w:tc>
          <w:tcPr>
            <w:tcW w:w="1596" w:type="dxa"/>
            <w:vAlign w:val="center"/>
          </w:tcPr>
          <w:p w14:paraId="494184A8" w14:textId="1F8F631D" w:rsidR="008418D3" w:rsidRDefault="008418D3" w:rsidP="006B04E9">
            <w:pPr>
              <w:ind w:left="0" w:firstLine="0"/>
              <w:jc w:val="center"/>
            </w:pPr>
            <w:r>
              <w:t>Obaly na 1 m3 předmětů, mobiliáře</w:t>
            </w:r>
          </w:p>
        </w:tc>
        <w:tc>
          <w:tcPr>
            <w:tcW w:w="1299" w:type="dxa"/>
            <w:vAlign w:val="center"/>
          </w:tcPr>
          <w:p w14:paraId="718AEEE1" w14:textId="42F4528E" w:rsidR="008418D3" w:rsidRDefault="008418D3" w:rsidP="006B04E9">
            <w:pPr>
              <w:ind w:left="0" w:firstLine="0"/>
              <w:jc w:val="right"/>
            </w:pPr>
            <w:r>
              <w:t>30,00</w:t>
            </w:r>
          </w:p>
        </w:tc>
        <w:tc>
          <w:tcPr>
            <w:tcW w:w="1582" w:type="dxa"/>
            <w:vAlign w:val="center"/>
          </w:tcPr>
          <w:p w14:paraId="79FB235F" w14:textId="298DB1D6" w:rsidR="008418D3" w:rsidRDefault="008418D3" w:rsidP="006B04E9">
            <w:pPr>
              <w:ind w:left="0" w:firstLine="0"/>
              <w:jc w:val="right"/>
            </w:pPr>
            <w:r>
              <w:t>21</w:t>
            </w:r>
          </w:p>
        </w:tc>
        <w:tc>
          <w:tcPr>
            <w:tcW w:w="1235" w:type="dxa"/>
            <w:vAlign w:val="center"/>
          </w:tcPr>
          <w:p w14:paraId="3288FA9C" w14:textId="4C584416" w:rsidR="008418D3" w:rsidRDefault="008418D3" w:rsidP="006B04E9">
            <w:pPr>
              <w:ind w:left="0" w:firstLine="0"/>
              <w:jc w:val="right"/>
            </w:pPr>
            <w:r>
              <w:t>6,30</w:t>
            </w:r>
          </w:p>
        </w:tc>
        <w:tc>
          <w:tcPr>
            <w:tcW w:w="1299" w:type="dxa"/>
            <w:vAlign w:val="center"/>
          </w:tcPr>
          <w:p w14:paraId="4C02F954" w14:textId="38A4CDD0" w:rsidR="008418D3" w:rsidRDefault="008418D3" w:rsidP="006B04E9">
            <w:pPr>
              <w:ind w:left="0" w:firstLine="0"/>
              <w:jc w:val="right"/>
            </w:pPr>
            <w:r>
              <w:t>36,30</w:t>
            </w:r>
          </w:p>
        </w:tc>
      </w:tr>
      <w:tr w:rsidR="008418D3" w14:paraId="561DBEEF" w14:textId="77777777" w:rsidTr="006B04E9">
        <w:tc>
          <w:tcPr>
            <w:tcW w:w="694" w:type="dxa"/>
            <w:vAlign w:val="center"/>
          </w:tcPr>
          <w:p w14:paraId="62C932B8" w14:textId="1039A117" w:rsidR="008418D3" w:rsidRDefault="008418D3" w:rsidP="006B04E9">
            <w:pPr>
              <w:ind w:left="0" w:firstLine="0"/>
              <w:jc w:val="center"/>
            </w:pPr>
            <w:r>
              <w:t>b)</w:t>
            </w:r>
          </w:p>
        </w:tc>
        <w:tc>
          <w:tcPr>
            <w:tcW w:w="1843" w:type="dxa"/>
            <w:vAlign w:val="center"/>
          </w:tcPr>
          <w:p w14:paraId="5BAB9E40" w14:textId="7EA62302" w:rsidR="008418D3" w:rsidRDefault="008418D3" w:rsidP="006B04E9">
            <w:pPr>
              <w:ind w:left="0" w:firstLine="0"/>
              <w:jc w:val="center"/>
            </w:pPr>
            <w:r>
              <w:t>Převoz dle dispozic Národního muzea</w:t>
            </w:r>
          </w:p>
        </w:tc>
        <w:tc>
          <w:tcPr>
            <w:tcW w:w="1596" w:type="dxa"/>
            <w:vAlign w:val="center"/>
          </w:tcPr>
          <w:p w14:paraId="61E2DC2F" w14:textId="5DB613DC" w:rsidR="008418D3" w:rsidRDefault="008418D3" w:rsidP="006B04E9">
            <w:pPr>
              <w:ind w:left="0" w:firstLine="0"/>
              <w:jc w:val="center"/>
            </w:pPr>
            <w:r>
              <w:t>1 km</w:t>
            </w:r>
          </w:p>
        </w:tc>
        <w:tc>
          <w:tcPr>
            <w:tcW w:w="1299" w:type="dxa"/>
            <w:vAlign w:val="center"/>
          </w:tcPr>
          <w:p w14:paraId="5725D63B" w14:textId="7439A7E9" w:rsidR="008418D3" w:rsidRDefault="008418D3" w:rsidP="006B04E9">
            <w:pPr>
              <w:ind w:left="0" w:firstLine="0"/>
              <w:jc w:val="right"/>
            </w:pPr>
            <w:r>
              <w:t>12,00</w:t>
            </w:r>
          </w:p>
        </w:tc>
        <w:tc>
          <w:tcPr>
            <w:tcW w:w="1582" w:type="dxa"/>
            <w:vAlign w:val="center"/>
          </w:tcPr>
          <w:p w14:paraId="6198897F" w14:textId="7ECFE664" w:rsidR="008418D3" w:rsidRDefault="008418D3" w:rsidP="006B04E9">
            <w:pPr>
              <w:ind w:left="0" w:firstLine="0"/>
              <w:jc w:val="right"/>
            </w:pPr>
            <w:r>
              <w:t>21</w:t>
            </w:r>
          </w:p>
        </w:tc>
        <w:tc>
          <w:tcPr>
            <w:tcW w:w="1235" w:type="dxa"/>
            <w:vAlign w:val="center"/>
          </w:tcPr>
          <w:p w14:paraId="33DFB4D7" w14:textId="0C054624" w:rsidR="008418D3" w:rsidRDefault="008418D3" w:rsidP="006B04E9">
            <w:pPr>
              <w:ind w:left="0" w:firstLine="0"/>
              <w:jc w:val="right"/>
            </w:pPr>
            <w:r>
              <w:t>2,52</w:t>
            </w:r>
          </w:p>
        </w:tc>
        <w:tc>
          <w:tcPr>
            <w:tcW w:w="1299" w:type="dxa"/>
            <w:vAlign w:val="center"/>
          </w:tcPr>
          <w:p w14:paraId="28295E92" w14:textId="5B98AC17" w:rsidR="008418D3" w:rsidRDefault="008418D3" w:rsidP="006B04E9">
            <w:pPr>
              <w:ind w:left="0" w:firstLine="0"/>
              <w:jc w:val="right"/>
            </w:pPr>
            <w:r>
              <w:t>14,52</w:t>
            </w:r>
          </w:p>
        </w:tc>
      </w:tr>
      <w:tr w:rsidR="008418D3" w14:paraId="240207EB" w14:textId="77777777" w:rsidTr="006B04E9">
        <w:tc>
          <w:tcPr>
            <w:tcW w:w="694" w:type="dxa"/>
            <w:vAlign w:val="center"/>
          </w:tcPr>
          <w:p w14:paraId="4E32C3FF" w14:textId="552249CC" w:rsidR="008418D3" w:rsidRDefault="008418D3" w:rsidP="006B04E9">
            <w:pPr>
              <w:ind w:left="0" w:firstLine="0"/>
              <w:jc w:val="center"/>
            </w:pPr>
            <w:r>
              <w:t>c)</w:t>
            </w:r>
          </w:p>
        </w:tc>
        <w:tc>
          <w:tcPr>
            <w:tcW w:w="1843" w:type="dxa"/>
            <w:vAlign w:val="center"/>
          </w:tcPr>
          <w:p w14:paraId="0C95DA11" w14:textId="6AA95842" w:rsidR="008418D3" w:rsidRDefault="008418D3" w:rsidP="006B04E9">
            <w:pPr>
              <w:ind w:left="0" w:firstLine="0"/>
              <w:jc w:val="center"/>
            </w:pPr>
            <w:r>
              <w:t>Manipulace s mobiliářem (balení, přenášení) dle dispozic Národního muzea</w:t>
            </w:r>
          </w:p>
        </w:tc>
        <w:tc>
          <w:tcPr>
            <w:tcW w:w="1596" w:type="dxa"/>
            <w:vAlign w:val="center"/>
          </w:tcPr>
          <w:p w14:paraId="6BDB7C24" w14:textId="7748EC06" w:rsidR="008418D3" w:rsidRDefault="008418D3" w:rsidP="006B04E9">
            <w:pPr>
              <w:ind w:left="0" w:firstLine="0"/>
              <w:jc w:val="center"/>
            </w:pPr>
            <w:r>
              <w:t>1 hodina/osoba</w:t>
            </w:r>
          </w:p>
        </w:tc>
        <w:tc>
          <w:tcPr>
            <w:tcW w:w="1299" w:type="dxa"/>
            <w:vAlign w:val="center"/>
          </w:tcPr>
          <w:p w14:paraId="5E36533C" w14:textId="12B2A2A4" w:rsidR="008418D3" w:rsidRDefault="008418D3" w:rsidP="006B04E9">
            <w:pPr>
              <w:ind w:left="0" w:firstLine="0"/>
              <w:jc w:val="right"/>
            </w:pPr>
            <w:r>
              <w:t>230,00</w:t>
            </w:r>
          </w:p>
        </w:tc>
        <w:tc>
          <w:tcPr>
            <w:tcW w:w="1582" w:type="dxa"/>
            <w:vAlign w:val="center"/>
          </w:tcPr>
          <w:p w14:paraId="6523FCD6" w14:textId="6DDC694F" w:rsidR="008418D3" w:rsidRDefault="008418D3" w:rsidP="006B04E9">
            <w:pPr>
              <w:ind w:left="0" w:firstLine="0"/>
              <w:jc w:val="right"/>
            </w:pPr>
            <w:r>
              <w:t>21</w:t>
            </w:r>
          </w:p>
        </w:tc>
        <w:tc>
          <w:tcPr>
            <w:tcW w:w="1235" w:type="dxa"/>
            <w:vAlign w:val="center"/>
          </w:tcPr>
          <w:p w14:paraId="30A787FE" w14:textId="1570F0F7" w:rsidR="008418D3" w:rsidRDefault="008418D3" w:rsidP="006B04E9">
            <w:pPr>
              <w:ind w:left="0" w:firstLine="0"/>
              <w:jc w:val="right"/>
            </w:pPr>
            <w:r>
              <w:t>48,30</w:t>
            </w:r>
          </w:p>
        </w:tc>
        <w:tc>
          <w:tcPr>
            <w:tcW w:w="1299" w:type="dxa"/>
            <w:vAlign w:val="center"/>
          </w:tcPr>
          <w:p w14:paraId="2618E47B" w14:textId="4B8CD4B9" w:rsidR="008418D3" w:rsidRDefault="008418D3" w:rsidP="006B04E9">
            <w:pPr>
              <w:ind w:left="0" w:firstLine="0"/>
              <w:jc w:val="right"/>
            </w:pPr>
            <w:r>
              <w:t>278,30</w:t>
            </w:r>
          </w:p>
        </w:tc>
      </w:tr>
      <w:tr w:rsidR="008418D3" w14:paraId="6BA01083" w14:textId="77777777" w:rsidTr="006B04E9">
        <w:tc>
          <w:tcPr>
            <w:tcW w:w="694" w:type="dxa"/>
            <w:vAlign w:val="center"/>
          </w:tcPr>
          <w:p w14:paraId="7CF695EA" w14:textId="77777777" w:rsidR="008418D3" w:rsidRDefault="008418D3" w:rsidP="006B04E9">
            <w:pPr>
              <w:ind w:left="0" w:firstLine="0"/>
              <w:jc w:val="center"/>
            </w:pPr>
          </w:p>
        </w:tc>
        <w:tc>
          <w:tcPr>
            <w:tcW w:w="1843" w:type="dxa"/>
            <w:vAlign w:val="center"/>
          </w:tcPr>
          <w:p w14:paraId="1AE22028" w14:textId="33B80FB1" w:rsidR="008418D3" w:rsidRPr="008418D3" w:rsidRDefault="008418D3" w:rsidP="006B04E9">
            <w:pPr>
              <w:ind w:left="0" w:firstLine="0"/>
              <w:jc w:val="center"/>
              <w:rPr>
                <w:b/>
                <w:bCs/>
              </w:rPr>
            </w:pPr>
            <w:r w:rsidRPr="008418D3">
              <w:rPr>
                <w:b/>
                <w:bCs/>
              </w:rPr>
              <w:t>MAX. CENA CELKEM</w:t>
            </w:r>
          </w:p>
        </w:tc>
        <w:tc>
          <w:tcPr>
            <w:tcW w:w="1596" w:type="dxa"/>
            <w:vAlign w:val="center"/>
          </w:tcPr>
          <w:p w14:paraId="6FF8529B" w14:textId="77777777" w:rsidR="008418D3" w:rsidRPr="008418D3" w:rsidRDefault="008418D3" w:rsidP="006B04E9">
            <w:pPr>
              <w:ind w:left="0" w:firstLine="0"/>
              <w:jc w:val="center"/>
              <w:rPr>
                <w:b/>
                <w:bCs/>
              </w:rPr>
            </w:pPr>
          </w:p>
        </w:tc>
        <w:tc>
          <w:tcPr>
            <w:tcW w:w="1299" w:type="dxa"/>
            <w:vAlign w:val="center"/>
          </w:tcPr>
          <w:p w14:paraId="2485E75E" w14:textId="7D6DC9DC" w:rsidR="008418D3" w:rsidRPr="008418D3" w:rsidRDefault="008418D3" w:rsidP="006B04E9">
            <w:pPr>
              <w:ind w:left="0" w:firstLine="0"/>
              <w:jc w:val="right"/>
              <w:rPr>
                <w:b/>
                <w:bCs/>
              </w:rPr>
            </w:pPr>
            <w:r w:rsidRPr="008418D3">
              <w:rPr>
                <w:b/>
                <w:bCs/>
              </w:rPr>
              <w:t>272,00</w:t>
            </w:r>
          </w:p>
        </w:tc>
        <w:tc>
          <w:tcPr>
            <w:tcW w:w="1582" w:type="dxa"/>
            <w:vAlign w:val="center"/>
          </w:tcPr>
          <w:p w14:paraId="4009B9B8" w14:textId="77777777" w:rsidR="008418D3" w:rsidRPr="008418D3" w:rsidRDefault="008418D3" w:rsidP="006B04E9">
            <w:pPr>
              <w:ind w:left="0" w:firstLine="0"/>
              <w:jc w:val="right"/>
              <w:rPr>
                <w:b/>
                <w:bCs/>
              </w:rPr>
            </w:pPr>
          </w:p>
        </w:tc>
        <w:tc>
          <w:tcPr>
            <w:tcW w:w="1235" w:type="dxa"/>
            <w:vAlign w:val="center"/>
          </w:tcPr>
          <w:p w14:paraId="5026A701" w14:textId="77777777" w:rsidR="008418D3" w:rsidRPr="008418D3" w:rsidRDefault="008418D3" w:rsidP="006B04E9">
            <w:pPr>
              <w:ind w:left="0" w:firstLine="0"/>
              <w:jc w:val="right"/>
              <w:rPr>
                <w:b/>
                <w:bCs/>
              </w:rPr>
            </w:pPr>
          </w:p>
        </w:tc>
        <w:tc>
          <w:tcPr>
            <w:tcW w:w="1299" w:type="dxa"/>
            <w:vAlign w:val="center"/>
          </w:tcPr>
          <w:p w14:paraId="75E19F10" w14:textId="22B0C7D7" w:rsidR="008418D3" w:rsidRPr="008418D3" w:rsidRDefault="008418D3" w:rsidP="006B04E9">
            <w:pPr>
              <w:ind w:left="0" w:firstLine="0"/>
              <w:jc w:val="right"/>
              <w:rPr>
                <w:b/>
                <w:bCs/>
              </w:rPr>
            </w:pPr>
            <w:r w:rsidRPr="008418D3">
              <w:rPr>
                <w:b/>
                <w:bCs/>
              </w:rPr>
              <w:t>329,12</w:t>
            </w:r>
          </w:p>
        </w:tc>
      </w:tr>
    </w:tbl>
    <w:p w14:paraId="11F67423" w14:textId="77777777" w:rsidR="008418D3" w:rsidRPr="008418D3" w:rsidRDefault="008418D3"/>
    <w:sectPr w:rsidR="008418D3" w:rsidRPr="008418D3" w:rsidSect="00944872">
      <w:pgSz w:w="11906" w:h="16838"/>
      <w:pgMar w:top="851" w:right="1202" w:bottom="851" w:left="1136"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861"/>
    <w:multiLevelType w:val="multilevel"/>
    <w:tmpl w:val="95EAAC0A"/>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1418"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18D006F3"/>
    <w:multiLevelType w:val="multilevel"/>
    <w:tmpl w:val="A1A23E02"/>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F315A8B"/>
    <w:multiLevelType w:val="multilevel"/>
    <w:tmpl w:val="986A9724"/>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9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24E93234"/>
    <w:multiLevelType w:val="multilevel"/>
    <w:tmpl w:val="56FC95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8303E3"/>
    <w:multiLevelType w:val="multilevel"/>
    <w:tmpl w:val="79809F6C"/>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D6F3B72"/>
    <w:multiLevelType w:val="multilevel"/>
    <w:tmpl w:val="75582F6E"/>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427A160A"/>
    <w:multiLevelType w:val="multilevel"/>
    <w:tmpl w:val="3FD64966"/>
    <w:lvl w:ilvl="0">
      <w:start w:val="1"/>
      <w:numFmt w:val="bullet"/>
      <w:lvlText w:val="•"/>
      <w:lvlJc w:val="left"/>
      <w:pPr>
        <w:tabs>
          <w:tab w:val="num" w:pos="0"/>
        </w:tabs>
        <w:ind w:left="36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928"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418"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2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9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6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3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0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8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45DF39D9"/>
    <w:multiLevelType w:val="multilevel"/>
    <w:tmpl w:val="E0187DA2"/>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1418"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65A370F6"/>
    <w:multiLevelType w:val="multilevel"/>
    <w:tmpl w:val="D0446A42"/>
    <w:lvl w:ilvl="0">
      <w:start w:val="1"/>
      <w:numFmt w:val="bullet"/>
      <w:lvlText w:val="•"/>
      <w:lvlJc w:val="left"/>
      <w:pPr>
        <w:tabs>
          <w:tab w:val="num" w:pos="0"/>
        </w:tabs>
        <w:ind w:left="1418"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2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9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6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3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0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8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5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2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7F024800"/>
    <w:multiLevelType w:val="multilevel"/>
    <w:tmpl w:val="B85C3DC2"/>
    <w:lvl w:ilvl="0">
      <w:start w:val="1"/>
      <w:numFmt w:val="decimal"/>
      <w:lvlText w:val="%1."/>
      <w:lvlJc w:val="left"/>
      <w:pPr>
        <w:tabs>
          <w:tab w:val="num" w:pos="0"/>
        </w:tabs>
        <w:ind w:left="6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1418"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num w:numId="1" w16cid:durableId="1964730547">
    <w:abstractNumId w:val="0"/>
  </w:num>
  <w:num w:numId="2" w16cid:durableId="1673680895">
    <w:abstractNumId w:val="4"/>
  </w:num>
  <w:num w:numId="3" w16cid:durableId="653724365">
    <w:abstractNumId w:val="2"/>
  </w:num>
  <w:num w:numId="4" w16cid:durableId="970019788">
    <w:abstractNumId w:val="6"/>
  </w:num>
  <w:num w:numId="5" w16cid:durableId="2026322435">
    <w:abstractNumId w:val="9"/>
  </w:num>
  <w:num w:numId="6" w16cid:durableId="2114006908">
    <w:abstractNumId w:val="7"/>
  </w:num>
  <w:num w:numId="7" w16cid:durableId="1671912169">
    <w:abstractNumId w:val="1"/>
  </w:num>
  <w:num w:numId="8" w16cid:durableId="1865900169">
    <w:abstractNumId w:val="8"/>
  </w:num>
  <w:num w:numId="9" w16cid:durableId="1138962031">
    <w:abstractNumId w:val="5"/>
  </w:num>
  <w:num w:numId="10" w16cid:durableId="38202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4"/>
    <w:rsid w:val="000D3F34"/>
    <w:rsid w:val="00165F37"/>
    <w:rsid w:val="002C046E"/>
    <w:rsid w:val="00482F80"/>
    <w:rsid w:val="005279B3"/>
    <w:rsid w:val="005A43B1"/>
    <w:rsid w:val="006B04E9"/>
    <w:rsid w:val="008418D3"/>
    <w:rsid w:val="00944872"/>
    <w:rsid w:val="009E1C6C"/>
    <w:rsid w:val="00A01139"/>
    <w:rsid w:val="00A90BE4"/>
    <w:rsid w:val="00AB773A"/>
    <w:rsid w:val="00CC728E"/>
    <w:rsid w:val="00DA7D86"/>
    <w:rsid w:val="00DC7195"/>
    <w:rsid w:val="00DE6061"/>
    <w:rsid w:val="00E05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C736"/>
  <w15:chartTrackingRefBased/>
  <w15:docId w15:val="{1495296F-A5CB-48DD-9293-41CE3360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3F34"/>
    <w:pPr>
      <w:suppressAutoHyphens/>
      <w:spacing w:after="142" w:line="269" w:lineRule="auto"/>
      <w:ind w:left="10" w:hanging="10"/>
    </w:pPr>
    <w:rPr>
      <w:rFonts w:ascii="Times New Roman" w:eastAsia="Times New Roman" w:hAnsi="Times New Roman" w:cs="Times New Roman"/>
      <w:color w:val="000000"/>
      <w:lang w:eastAsia="cs-CZ"/>
    </w:rPr>
  </w:style>
  <w:style w:type="paragraph" w:styleId="Nadpis1">
    <w:name w:val="heading 1"/>
    <w:basedOn w:val="Normln"/>
    <w:next w:val="Normln"/>
    <w:link w:val="Nadpis1Char"/>
    <w:uiPriority w:val="9"/>
    <w:qFormat/>
    <w:rsid w:val="000D3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3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3F3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3F3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3F3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3F3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3F3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3F3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3F3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D3F3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3F3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3F3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3F3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3F3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3F3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3F3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3F3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3F34"/>
    <w:rPr>
      <w:rFonts w:eastAsiaTheme="majorEastAsia" w:cstheme="majorBidi"/>
      <w:color w:val="272727" w:themeColor="text1" w:themeTint="D8"/>
    </w:rPr>
  </w:style>
  <w:style w:type="paragraph" w:styleId="Nzev">
    <w:name w:val="Title"/>
    <w:basedOn w:val="Normln"/>
    <w:next w:val="Normln"/>
    <w:link w:val="NzevChar"/>
    <w:uiPriority w:val="10"/>
    <w:qFormat/>
    <w:rsid w:val="000D3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3F3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3F34"/>
    <w:pPr>
      <w:numPr>
        <w:ilvl w:val="1"/>
      </w:numPr>
      <w:ind w:left="10" w:hanging="1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3F3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3F34"/>
    <w:pPr>
      <w:spacing w:before="160"/>
      <w:jc w:val="center"/>
    </w:pPr>
    <w:rPr>
      <w:i/>
      <w:iCs/>
      <w:color w:val="404040" w:themeColor="text1" w:themeTint="BF"/>
    </w:rPr>
  </w:style>
  <w:style w:type="character" w:customStyle="1" w:styleId="CittChar">
    <w:name w:val="Citát Char"/>
    <w:basedOn w:val="Standardnpsmoodstavce"/>
    <w:link w:val="Citt"/>
    <w:uiPriority w:val="29"/>
    <w:rsid w:val="000D3F34"/>
    <w:rPr>
      <w:i/>
      <w:iCs/>
      <w:color w:val="404040" w:themeColor="text1" w:themeTint="BF"/>
    </w:rPr>
  </w:style>
  <w:style w:type="paragraph" w:styleId="Odstavecseseznamem">
    <w:name w:val="List Paragraph"/>
    <w:basedOn w:val="Normln"/>
    <w:uiPriority w:val="34"/>
    <w:qFormat/>
    <w:rsid w:val="000D3F34"/>
    <w:pPr>
      <w:ind w:left="720"/>
      <w:contextualSpacing/>
    </w:pPr>
  </w:style>
  <w:style w:type="character" w:styleId="Zdraznnintenzivn">
    <w:name w:val="Intense Emphasis"/>
    <w:basedOn w:val="Standardnpsmoodstavce"/>
    <w:uiPriority w:val="21"/>
    <w:qFormat/>
    <w:rsid w:val="000D3F34"/>
    <w:rPr>
      <w:i/>
      <w:iCs/>
      <w:color w:val="0F4761" w:themeColor="accent1" w:themeShade="BF"/>
    </w:rPr>
  </w:style>
  <w:style w:type="paragraph" w:styleId="Vrazncitt">
    <w:name w:val="Intense Quote"/>
    <w:basedOn w:val="Normln"/>
    <w:next w:val="Normln"/>
    <w:link w:val="VrazncittChar"/>
    <w:uiPriority w:val="30"/>
    <w:qFormat/>
    <w:rsid w:val="000D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3F34"/>
    <w:rPr>
      <w:i/>
      <w:iCs/>
      <w:color w:val="0F4761" w:themeColor="accent1" w:themeShade="BF"/>
    </w:rPr>
  </w:style>
  <w:style w:type="character" w:styleId="Odkazintenzivn">
    <w:name w:val="Intense Reference"/>
    <w:basedOn w:val="Standardnpsmoodstavce"/>
    <w:uiPriority w:val="32"/>
    <w:qFormat/>
    <w:rsid w:val="000D3F34"/>
    <w:rPr>
      <w:b/>
      <w:bCs/>
      <w:smallCaps/>
      <w:color w:val="0F4761" w:themeColor="accent1" w:themeShade="BF"/>
      <w:spacing w:val="5"/>
    </w:rPr>
  </w:style>
  <w:style w:type="character" w:customStyle="1" w:styleId="ZkladntextChar">
    <w:name w:val="Základní text Char"/>
    <w:basedOn w:val="Standardnpsmoodstavce"/>
    <w:link w:val="Zkladntext"/>
    <w:semiHidden/>
    <w:qFormat/>
    <w:rsid w:val="000D3F34"/>
    <w:rPr>
      <w:rFonts w:ascii="Times New Roman" w:eastAsia="Times New Roman" w:hAnsi="Times New Roman" w:cs="Times New Roman"/>
      <w:b/>
      <w:bCs/>
      <w:kern w:val="0"/>
      <w:szCs w:val="26"/>
      <w:lang w:eastAsia="ar-SA"/>
      <w14:ligatures w14:val="none"/>
    </w:rPr>
  </w:style>
  <w:style w:type="paragraph" w:styleId="Zkladntext">
    <w:name w:val="Body Text"/>
    <w:basedOn w:val="Normln"/>
    <w:link w:val="ZkladntextChar"/>
    <w:semiHidden/>
    <w:rsid w:val="000D3F34"/>
    <w:pPr>
      <w:spacing w:after="0" w:line="240" w:lineRule="auto"/>
      <w:ind w:left="0" w:firstLine="0"/>
    </w:pPr>
    <w:rPr>
      <w:b/>
      <w:bCs/>
      <w:color w:val="auto"/>
      <w:kern w:val="0"/>
      <w:szCs w:val="26"/>
      <w:lang w:eastAsia="ar-SA"/>
      <w14:ligatures w14:val="none"/>
    </w:rPr>
  </w:style>
  <w:style w:type="character" w:customStyle="1" w:styleId="ZkladntextChar1">
    <w:name w:val="Základní text Char1"/>
    <w:basedOn w:val="Standardnpsmoodstavce"/>
    <w:uiPriority w:val="99"/>
    <w:semiHidden/>
    <w:rsid w:val="000D3F34"/>
    <w:rPr>
      <w:rFonts w:ascii="Times New Roman" w:eastAsia="Times New Roman" w:hAnsi="Times New Roman" w:cs="Times New Roman"/>
      <w:color w:val="000000"/>
      <w:lang w:eastAsia="cs-CZ"/>
    </w:rPr>
  </w:style>
  <w:style w:type="paragraph" w:customStyle="1" w:styleId="Odrky">
    <w:name w:val="Odrážky"/>
    <w:basedOn w:val="Normln"/>
    <w:qFormat/>
    <w:rsid w:val="000D3F34"/>
    <w:pPr>
      <w:spacing w:after="0" w:line="240" w:lineRule="auto"/>
      <w:ind w:left="1134" w:hanging="425"/>
      <w:jc w:val="both"/>
    </w:pPr>
    <w:rPr>
      <w:color w:val="auto"/>
      <w:kern w:val="0"/>
      <w:lang w:eastAsia="ar-SA"/>
      <w14:ligatures w14:val="none"/>
    </w:rPr>
  </w:style>
  <w:style w:type="paragraph" w:styleId="Bezmezer">
    <w:name w:val="No Spacing"/>
    <w:uiPriority w:val="1"/>
    <w:qFormat/>
    <w:rsid w:val="000D3F34"/>
    <w:pPr>
      <w:suppressAutoHyphens/>
      <w:spacing w:after="0" w:line="240" w:lineRule="auto"/>
      <w:ind w:left="10" w:hanging="10"/>
    </w:pPr>
    <w:rPr>
      <w:rFonts w:ascii="Times New Roman" w:eastAsia="Times New Roman" w:hAnsi="Times New Roman" w:cs="Times New Roman"/>
      <w:color w:val="000000"/>
      <w:lang w:eastAsia="cs-CZ"/>
    </w:rPr>
  </w:style>
  <w:style w:type="table" w:styleId="Mkatabulky">
    <w:name w:val="Table Grid"/>
    <w:basedOn w:val="Normlntabulka"/>
    <w:uiPriority w:val="39"/>
    <w:rsid w:val="0084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847</Words>
  <Characters>5002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Kofroňová Kristýna</dc:creator>
  <cp:keywords/>
  <dc:description/>
  <cp:lastModifiedBy>Kofroňová Kristýna</cp:lastModifiedBy>
  <cp:revision>17</cp:revision>
  <dcterms:created xsi:type="dcterms:W3CDTF">2026-01-13T12:36:00Z</dcterms:created>
  <dcterms:modified xsi:type="dcterms:W3CDTF">2026-01-27T14:25:00Z</dcterms:modified>
</cp:coreProperties>
</file>