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35" w:rsidRDefault="00874A35" w:rsidP="00874A35">
      <w:pPr>
        <w:spacing w:after="0"/>
        <w:jc w:val="center"/>
        <w:rPr>
          <w:rFonts w:ascii="Times New Roman" w:hAnsi="Times New Roman" w:cs="Times New Roman"/>
          <w:b/>
        </w:rPr>
      </w:pPr>
    </w:p>
    <w:p w:rsidR="00874A35" w:rsidRPr="00874A35" w:rsidRDefault="00874A35" w:rsidP="00874A35">
      <w:pPr>
        <w:spacing w:after="0"/>
        <w:jc w:val="center"/>
        <w:rPr>
          <w:rFonts w:ascii="Times New Roman" w:hAnsi="Times New Roman" w:cs="Times New Roman"/>
          <w:b/>
        </w:rPr>
      </w:pPr>
      <w:r w:rsidRPr="00874A35">
        <w:rPr>
          <w:rFonts w:ascii="Times New Roman" w:hAnsi="Times New Roman" w:cs="Times New Roman"/>
          <w:b/>
        </w:rPr>
        <w:t>SMLOUVA O DÍLO</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(dle § 2586 a následujících zákona 89/2012 Sb., občanského zákoníku v platném znění)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Smluvní strany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u w:val="single"/>
        </w:rPr>
      </w:pPr>
      <w:r w:rsidRPr="00874A35">
        <w:rPr>
          <w:rFonts w:ascii="Times New Roman" w:hAnsi="Times New Roman" w:cs="Times New Roman"/>
          <w:u w:val="single"/>
        </w:rPr>
        <w:t>Zhotovitel díla:</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Pavel Hovorka</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Servis multifunkčních kopírovacích strojů a tiskáren</w:t>
      </w:r>
    </w:p>
    <w:p w:rsidR="00874A35" w:rsidRPr="00874A35" w:rsidRDefault="00874A35" w:rsidP="00874A35">
      <w:pPr>
        <w:spacing w:after="0"/>
        <w:rPr>
          <w:rFonts w:ascii="Times New Roman" w:hAnsi="Times New Roman" w:cs="Times New Roman"/>
        </w:rPr>
      </w:pPr>
      <w:proofErr w:type="spellStart"/>
      <w:r w:rsidRPr="00874A35">
        <w:rPr>
          <w:rFonts w:ascii="Times New Roman" w:hAnsi="Times New Roman" w:cs="Times New Roman"/>
        </w:rPr>
        <w:t>CopyFaxservis</w:t>
      </w:r>
      <w:proofErr w:type="spellEnd"/>
      <w:r w:rsidRPr="00874A35">
        <w:rPr>
          <w:rFonts w:ascii="Times New Roman" w:hAnsi="Times New Roman" w:cs="Times New Roman"/>
        </w:rPr>
        <w:t xml:space="preserve">, s. r. o. </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Na Břehu 433/33</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Praha 9</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IČO: 27958647</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DIČ: CZ27958647</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u w:val="single"/>
        </w:rPr>
      </w:pPr>
      <w:r w:rsidRPr="00874A35">
        <w:rPr>
          <w:rFonts w:ascii="Times New Roman" w:hAnsi="Times New Roman" w:cs="Times New Roman"/>
          <w:u w:val="single"/>
        </w:rPr>
        <w:t>Objednavatel:</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Základní škola Bohumila Hrabala, Praha 8, Zenklova 52</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Zenklova 52/26, Praha 8 – Libeň, 180 00</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IČO: 63 113 961</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 xml:space="preserve">Zastoupená: Mgr. </w:t>
      </w:r>
      <w:r>
        <w:rPr>
          <w:rFonts w:ascii="Times New Roman" w:hAnsi="Times New Roman" w:cs="Times New Roman"/>
        </w:rPr>
        <w:t>Bc. Matějem Rašovským, MBA</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Předmět smlouvy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Na základě této smlouvy se zhotovitel zavazuje za podmínek obsažených v této smlouvě na své nebezpečí a v níže uvedeném termínu provést pro objednavatele dílo, které spočívá v </w:t>
      </w:r>
      <w:r w:rsidRPr="00874A35">
        <w:rPr>
          <w:rFonts w:ascii="Times New Roman" w:hAnsi="Times New Roman" w:cs="Times New Roman"/>
          <w:b/>
        </w:rPr>
        <w:t>servisu multifunkčních kopírovacích strojů a tiskáren</w:t>
      </w:r>
      <w:r w:rsidRPr="00874A35">
        <w:rPr>
          <w:rFonts w:ascii="Times New Roman" w:hAnsi="Times New Roman" w:cs="Times New Roman"/>
        </w:rPr>
        <w:t>.</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III.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Doba a místo plnění</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 xml:space="preserve">Servis multifunkčních kopírovacích strojů a tiskáren </w:t>
      </w:r>
      <w:r w:rsidRPr="00874A35">
        <w:rPr>
          <w:rFonts w:ascii="Times New Roman" w:hAnsi="Times New Roman" w:cs="Times New Roman"/>
          <w:b/>
        </w:rPr>
        <w:t>bude prováděn podle zadání objednavatele dle j</w:t>
      </w:r>
      <w:r w:rsidR="00F03086">
        <w:rPr>
          <w:rFonts w:ascii="Times New Roman" w:hAnsi="Times New Roman" w:cs="Times New Roman"/>
          <w:b/>
        </w:rPr>
        <w:t>eho aktuální potřeby v roce 2026</w:t>
      </w:r>
      <w:r w:rsidRPr="00874A35">
        <w:rPr>
          <w:rFonts w:ascii="Times New Roman" w:hAnsi="Times New Roman" w:cs="Times New Roman"/>
          <w:b/>
        </w:rPr>
        <w:t>.</w:t>
      </w:r>
      <w:r w:rsidRPr="00874A35">
        <w:rPr>
          <w:rFonts w:ascii="Times New Roman" w:hAnsi="Times New Roman" w:cs="Times New Roman"/>
        </w:rPr>
        <w:t xml:space="preserve"> </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IV.</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Cena za dílo</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Cena za provedení prací je uvedena v příloze – výběrovém řízení. Tato cena je cenou konečnou a je plat</w:t>
      </w:r>
      <w:r w:rsidR="00F03086">
        <w:rPr>
          <w:rFonts w:ascii="Times New Roman" w:hAnsi="Times New Roman" w:cs="Times New Roman"/>
        </w:rPr>
        <w:t>ná po celý rok 2026</w:t>
      </w:r>
      <w:r w:rsidRPr="00874A35">
        <w:rPr>
          <w:rFonts w:ascii="Times New Roman" w:hAnsi="Times New Roman" w:cs="Times New Roman"/>
        </w:rPr>
        <w:t>.</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V.</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Platební podmínky</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 xml:space="preserve">Cena za provedení práce bude uskutečněna prostřednictvím faktury. </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VI.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Závazky zhotovitele</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je povinen provést dílo kompletně, v patřičné kvalitě a v objednaných termínech. Požadovaná kvalita je vymezena obecně platnými právními předpisy, včetně norem a podzákonných právních předpisů. Pokud porušením těchto norem vznikne škoda objednavateli nebo třetím osobám, nese ji pouze zhotovitel.</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se zavazuje dodržovat bezpečnostní, hygienické, protipožární a ekologické předpisy a normy na pracovištích objednavatele.</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se seznámí s riziky na pracovišti objednavatele, upozorní na ně své pracovníky a určí způsob ochrany a prevence proti úrazům a jinému poškození zdraví.</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VII.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Závazky objednavatele</w:t>
      </w:r>
    </w:p>
    <w:p w:rsidR="00874A35" w:rsidRPr="00874A35" w:rsidRDefault="00874A35" w:rsidP="00874A35">
      <w:pPr>
        <w:spacing w:after="0"/>
        <w:jc w:val="center"/>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Objednavatel se zavazuje vytvořit zhotoviteli podmínky pro realizaci smluveného díla.</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VIII.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Převzetí díla</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předá dílo kontaktním osobám:</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Budova Zenklova: paní Markéta Zachová, hospodářka školy</w:t>
      </w: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 xml:space="preserve">Budova Na </w:t>
      </w:r>
      <w:proofErr w:type="spellStart"/>
      <w:r w:rsidRPr="00874A35">
        <w:rPr>
          <w:rFonts w:ascii="Times New Roman" w:hAnsi="Times New Roman" w:cs="Times New Roman"/>
        </w:rPr>
        <w:t>Korábě</w:t>
      </w:r>
      <w:proofErr w:type="spellEnd"/>
      <w:r w:rsidRPr="00874A35">
        <w:rPr>
          <w:rFonts w:ascii="Times New Roman" w:hAnsi="Times New Roman" w:cs="Times New Roman"/>
        </w:rPr>
        <w:t xml:space="preserve">: paní Alena </w:t>
      </w:r>
      <w:proofErr w:type="spellStart"/>
      <w:r w:rsidRPr="00874A35">
        <w:rPr>
          <w:rFonts w:ascii="Times New Roman" w:hAnsi="Times New Roman" w:cs="Times New Roman"/>
        </w:rPr>
        <w:t>Landsingerová</w:t>
      </w:r>
      <w:proofErr w:type="spellEnd"/>
      <w:r w:rsidRPr="00874A35">
        <w:rPr>
          <w:rFonts w:ascii="Times New Roman" w:hAnsi="Times New Roman" w:cs="Times New Roman"/>
        </w:rPr>
        <w:t>, hospodářka školy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Objednavatel je povinen dílo převzít pouze v případě, že na něm nebudou v době převzetí zjištěny žádné podstatné vady či nedodělky či jiné nedostatky bránící řádnému využívání díla. Tyto vady a nedodělky budou uvedeny v předávacím protokolu s dohodnutými termíny jejich odstranění.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IX.</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Záruka za dílo</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Záruka za dílo podle této smlouvy jsou dva roky ode dne převzetí.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 xml:space="preserve">Práva a povinnosti při uplatňování vad díla se řídí příslušnými ustanoveními zákona 89/2012 Sb., občanského zákoníku v platném znění. </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lastRenderedPageBreak/>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 Zhotovitel se zavazuje nést veškeré náklady s dostavením se na místo a odborným posouzením všech reklamovaných vad.</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X.</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Smluvní pokuty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bude platit objednavateli smluvní pokutu za nedodržení termínu dokončení a předání díla 0,05% ze smluvní ceny za každý den prodlení.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Objednavatel bude platit za prodlení s placením faktur ve výši 0,05% z dlužné částky za každý den prodlení.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Splatnost smluvních pokud je 14 dní a to na základě faktury vystavené příslušnou stranou.</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XI.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Ostatní podmínky smlouvy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Objednavatel je oprávněn kontrolovat provádění díla:</w:t>
      </w:r>
    </w:p>
    <w:p w:rsidR="00874A35" w:rsidRPr="00874A35" w:rsidRDefault="00874A35" w:rsidP="00874A35">
      <w:pPr>
        <w:pStyle w:val="Odstavecseseznamem"/>
        <w:numPr>
          <w:ilvl w:val="0"/>
          <w:numId w:val="1"/>
        </w:numPr>
        <w:spacing w:after="0" w:line="240" w:lineRule="auto"/>
        <w:rPr>
          <w:rFonts w:ascii="Times New Roman" w:hAnsi="Times New Roman" w:cs="Times New Roman"/>
        </w:rPr>
      </w:pPr>
      <w:r w:rsidRPr="00874A35">
        <w:rPr>
          <w:rFonts w:ascii="Times New Roman" w:hAnsi="Times New Roman" w:cs="Times New Roman"/>
        </w:rPr>
        <w:t>kontrolovat, zda práce jsou prováděny v souladu se smluvními podmínkami, příslušnými normami a předpisy</w:t>
      </w:r>
    </w:p>
    <w:p w:rsidR="00874A35" w:rsidRPr="00874A35" w:rsidRDefault="00874A35" w:rsidP="00874A35">
      <w:pPr>
        <w:pStyle w:val="Odstavecseseznamem"/>
        <w:numPr>
          <w:ilvl w:val="0"/>
          <w:numId w:val="1"/>
        </w:numPr>
        <w:spacing w:after="0" w:line="240" w:lineRule="auto"/>
        <w:rPr>
          <w:rFonts w:ascii="Times New Roman" w:hAnsi="Times New Roman" w:cs="Times New Roman"/>
        </w:rPr>
      </w:pPr>
      <w:r w:rsidRPr="00874A35">
        <w:rPr>
          <w:rFonts w:ascii="Times New Roman" w:hAnsi="Times New Roman" w:cs="Times New Roman"/>
        </w:rPr>
        <w:t>upozorňovat na zjištěné nedostatky</w:t>
      </w:r>
    </w:p>
    <w:p w:rsidR="00874A35" w:rsidRPr="00874A35" w:rsidRDefault="00874A35" w:rsidP="00874A35">
      <w:pPr>
        <w:pStyle w:val="Odstavecseseznamem"/>
        <w:numPr>
          <w:ilvl w:val="0"/>
          <w:numId w:val="1"/>
        </w:numPr>
        <w:spacing w:after="0" w:line="240" w:lineRule="auto"/>
        <w:rPr>
          <w:rFonts w:ascii="Times New Roman" w:hAnsi="Times New Roman" w:cs="Times New Roman"/>
        </w:rPr>
      </w:pPr>
      <w:r w:rsidRPr="00874A35">
        <w:rPr>
          <w:rFonts w:ascii="Times New Roman" w:hAnsi="Times New Roman" w:cs="Times New Roman"/>
        </w:rPr>
        <w:t>dát příkaz k zastavení provádění díla, je-li ohrožena bezpečnost nebo zdraví nebo hrozí-li jiné vážné škody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Zhotovitel nese do předání předmětu smlouvy objednavateli veškerou odpovědnost za škodu na realizovaném díle, materiálu, zařízení i jiných věcech, jakož i za škody způsobené v důsledku svého zavinění třetím osobám.</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XII.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Vzájemný styk a doručování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XIII.</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Odstoupení od smlouvy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Od smlouvy lze odstoupit v případě porušení této smlouvy a to jak na straně zhotovitele, tak na straně objednavatele.</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lastRenderedPageBreak/>
        <w:t>XIV.</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Zvláštní ujednání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Smluvní vztahy dle této smlouvy se řídí obecně platnými předpisy.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Všechny spory vzniklé v souvislosti s touto smlouvou a jejím prováděním se smluvní strany pokusí řešit cestou vzájemné dohody.</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XV.</w:t>
      </w:r>
    </w:p>
    <w:p w:rsidR="00874A35" w:rsidRPr="00874A35" w:rsidRDefault="00874A35" w:rsidP="00874A35">
      <w:pPr>
        <w:spacing w:after="0"/>
        <w:jc w:val="center"/>
        <w:rPr>
          <w:rFonts w:ascii="Times New Roman" w:hAnsi="Times New Roman" w:cs="Times New Roman"/>
        </w:rPr>
      </w:pPr>
      <w:r w:rsidRPr="00874A35">
        <w:rPr>
          <w:rFonts w:ascii="Times New Roman" w:hAnsi="Times New Roman" w:cs="Times New Roman"/>
        </w:rPr>
        <w:t>Závěrečná ustanovení</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Tuto smlouvu lze měnit či doplňovat pouze formou písemných dodatků odsouhlasených oběma smluvními stranami.</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Tato smlouva se vyhotovuje ve dvou stejnopisech s platností originálu, z nichž po jednom obdrží objednavatel i zhotovitel.</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r w:rsidRPr="00874A35">
        <w:rPr>
          <w:rFonts w:ascii="Times New Roman" w:hAnsi="Times New Roman" w:cs="Times New Roman"/>
        </w:rPr>
        <w:t>Tato smlouva nabývá účinnosti dnem podpisu obou smluvních stran a j</w:t>
      </w:r>
      <w:r w:rsidR="00F03086">
        <w:rPr>
          <w:rFonts w:ascii="Times New Roman" w:hAnsi="Times New Roman" w:cs="Times New Roman"/>
        </w:rPr>
        <w:t>e platná pro kalendářní rok 2026</w:t>
      </w:r>
      <w:bookmarkStart w:id="0" w:name="_GoBack"/>
      <w:bookmarkEnd w:id="0"/>
      <w:r w:rsidRPr="00874A35">
        <w:rPr>
          <w:rFonts w:ascii="Times New Roman" w:hAnsi="Times New Roman" w:cs="Times New Roman"/>
        </w:rPr>
        <w:t>.</w:t>
      </w: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p w:rsidR="00874A35" w:rsidRPr="00874A35" w:rsidRDefault="00874A35" w:rsidP="00874A35">
      <w:pPr>
        <w:spacing w:after="0"/>
        <w:rPr>
          <w:rFonts w:ascii="Times New Roman" w:hAnsi="Times New Roman" w:cs="Times New Roman"/>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874A35" w:rsidRPr="00874A35" w:rsidTr="00874A35">
        <w:tc>
          <w:tcPr>
            <w:tcW w:w="4605" w:type="dxa"/>
            <w:hideMark/>
          </w:tcPr>
          <w:p w:rsidR="00874A35" w:rsidRDefault="00874A35" w:rsidP="00874A35">
            <w:pPr>
              <w:rPr>
                <w:sz w:val="22"/>
                <w:szCs w:val="22"/>
              </w:rPr>
            </w:pPr>
            <w:r w:rsidRPr="00874A35">
              <w:rPr>
                <w:sz w:val="22"/>
                <w:szCs w:val="22"/>
              </w:rPr>
              <w:t>V Praze dne</w:t>
            </w:r>
          </w:p>
          <w:p w:rsidR="00874A35" w:rsidRDefault="00874A35" w:rsidP="00874A35">
            <w:pPr>
              <w:rPr>
                <w:sz w:val="22"/>
                <w:szCs w:val="22"/>
              </w:rPr>
            </w:pPr>
          </w:p>
          <w:p w:rsidR="00874A35" w:rsidRDefault="00874A35" w:rsidP="00874A35">
            <w:pPr>
              <w:rPr>
                <w:sz w:val="22"/>
                <w:szCs w:val="22"/>
              </w:rPr>
            </w:pPr>
          </w:p>
          <w:p w:rsidR="00874A35" w:rsidRDefault="00874A35" w:rsidP="00874A35">
            <w:pPr>
              <w:rPr>
                <w:sz w:val="22"/>
                <w:szCs w:val="22"/>
              </w:rPr>
            </w:pPr>
          </w:p>
          <w:p w:rsidR="00874A35" w:rsidRDefault="00874A35" w:rsidP="00874A35">
            <w:pPr>
              <w:rPr>
                <w:sz w:val="22"/>
                <w:szCs w:val="22"/>
              </w:rPr>
            </w:pPr>
          </w:p>
          <w:p w:rsidR="00874A35" w:rsidRDefault="00874A35" w:rsidP="00874A35">
            <w:pPr>
              <w:rPr>
                <w:sz w:val="22"/>
                <w:szCs w:val="22"/>
              </w:rPr>
            </w:pPr>
          </w:p>
          <w:p w:rsidR="00874A35" w:rsidRPr="00874A35" w:rsidRDefault="00874A35" w:rsidP="00874A35">
            <w:pPr>
              <w:rPr>
                <w:sz w:val="22"/>
                <w:szCs w:val="22"/>
              </w:rPr>
            </w:pPr>
          </w:p>
        </w:tc>
        <w:tc>
          <w:tcPr>
            <w:tcW w:w="4605" w:type="dxa"/>
          </w:tcPr>
          <w:p w:rsidR="00874A35" w:rsidRPr="00874A35" w:rsidRDefault="00874A35" w:rsidP="00874A35">
            <w:pPr>
              <w:rPr>
                <w:sz w:val="22"/>
                <w:szCs w:val="22"/>
              </w:rPr>
            </w:pPr>
            <w:r w:rsidRPr="00874A35">
              <w:rPr>
                <w:sz w:val="22"/>
                <w:szCs w:val="22"/>
              </w:rPr>
              <w:t xml:space="preserve"> V Praze dne</w:t>
            </w:r>
          </w:p>
          <w:p w:rsidR="00874A35" w:rsidRPr="00874A35" w:rsidRDefault="00874A35" w:rsidP="00874A35">
            <w:pPr>
              <w:rPr>
                <w:sz w:val="22"/>
                <w:szCs w:val="22"/>
              </w:rPr>
            </w:pPr>
          </w:p>
          <w:p w:rsidR="00874A35" w:rsidRPr="00874A35" w:rsidRDefault="00874A35" w:rsidP="00874A35">
            <w:pPr>
              <w:rPr>
                <w:sz w:val="22"/>
                <w:szCs w:val="22"/>
              </w:rPr>
            </w:pPr>
          </w:p>
          <w:p w:rsidR="00874A35" w:rsidRPr="00874A35" w:rsidRDefault="00874A35" w:rsidP="00874A35">
            <w:pPr>
              <w:rPr>
                <w:sz w:val="22"/>
                <w:szCs w:val="22"/>
              </w:rPr>
            </w:pPr>
          </w:p>
        </w:tc>
      </w:tr>
      <w:tr w:rsidR="00874A35" w:rsidRPr="00874A35" w:rsidTr="00874A35">
        <w:tc>
          <w:tcPr>
            <w:tcW w:w="4605" w:type="dxa"/>
            <w:hideMark/>
          </w:tcPr>
          <w:p w:rsidR="00874A35" w:rsidRPr="00874A35" w:rsidRDefault="00874A35" w:rsidP="00874A35">
            <w:pPr>
              <w:jc w:val="center"/>
              <w:rPr>
                <w:sz w:val="22"/>
                <w:szCs w:val="22"/>
              </w:rPr>
            </w:pPr>
            <w:r w:rsidRPr="00874A35">
              <w:rPr>
                <w:sz w:val="22"/>
                <w:szCs w:val="22"/>
              </w:rPr>
              <w:t>-------------------------------------</w:t>
            </w:r>
          </w:p>
        </w:tc>
        <w:tc>
          <w:tcPr>
            <w:tcW w:w="4605" w:type="dxa"/>
            <w:hideMark/>
          </w:tcPr>
          <w:p w:rsidR="00874A35" w:rsidRPr="00874A35" w:rsidRDefault="00874A35" w:rsidP="00874A35">
            <w:pPr>
              <w:jc w:val="center"/>
              <w:rPr>
                <w:sz w:val="22"/>
                <w:szCs w:val="22"/>
              </w:rPr>
            </w:pPr>
            <w:r w:rsidRPr="00874A35">
              <w:rPr>
                <w:sz w:val="22"/>
                <w:szCs w:val="22"/>
              </w:rPr>
              <w:t>------------------------------------------</w:t>
            </w:r>
          </w:p>
        </w:tc>
      </w:tr>
      <w:tr w:rsidR="00874A35" w:rsidRPr="00874A35" w:rsidTr="00874A35">
        <w:tc>
          <w:tcPr>
            <w:tcW w:w="4605" w:type="dxa"/>
            <w:hideMark/>
          </w:tcPr>
          <w:p w:rsidR="00874A35" w:rsidRPr="00874A35" w:rsidRDefault="00874A35" w:rsidP="00874A35">
            <w:pPr>
              <w:jc w:val="center"/>
              <w:rPr>
                <w:sz w:val="22"/>
                <w:szCs w:val="22"/>
              </w:rPr>
            </w:pPr>
            <w:r w:rsidRPr="00874A35">
              <w:rPr>
                <w:sz w:val="22"/>
                <w:szCs w:val="22"/>
              </w:rPr>
              <w:t>objednavatel</w:t>
            </w:r>
          </w:p>
        </w:tc>
        <w:tc>
          <w:tcPr>
            <w:tcW w:w="4605" w:type="dxa"/>
            <w:hideMark/>
          </w:tcPr>
          <w:p w:rsidR="00874A35" w:rsidRPr="00874A35" w:rsidRDefault="00874A35" w:rsidP="00874A35">
            <w:pPr>
              <w:jc w:val="center"/>
              <w:rPr>
                <w:sz w:val="22"/>
                <w:szCs w:val="22"/>
              </w:rPr>
            </w:pPr>
            <w:r w:rsidRPr="00874A35">
              <w:rPr>
                <w:sz w:val="22"/>
                <w:szCs w:val="22"/>
              </w:rPr>
              <w:t>zhotovitel</w:t>
            </w:r>
          </w:p>
        </w:tc>
      </w:tr>
    </w:tbl>
    <w:p w:rsidR="000C3228" w:rsidRPr="002E0DF9" w:rsidRDefault="000C3228">
      <w:pPr>
        <w:rPr>
          <w:rFonts w:ascii="Arial" w:hAnsi="Arial" w:cs="Arial"/>
          <w:sz w:val="24"/>
          <w:szCs w:val="24"/>
        </w:rPr>
      </w:pPr>
    </w:p>
    <w:sectPr w:rsidR="000C3228" w:rsidRPr="002E0DF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84" w:rsidRDefault="008A0C84" w:rsidP="002E0DF9">
      <w:pPr>
        <w:spacing w:after="0" w:line="240" w:lineRule="auto"/>
      </w:pPr>
      <w:r>
        <w:separator/>
      </w:r>
    </w:p>
  </w:endnote>
  <w:endnote w:type="continuationSeparator" w:id="0">
    <w:p w:rsidR="008A0C84" w:rsidRDefault="008A0C84" w:rsidP="002E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84" w:rsidRDefault="008A0C84" w:rsidP="002E0DF9">
      <w:pPr>
        <w:spacing w:after="0" w:line="240" w:lineRule="auto"/>
      </w:pPr>
      <w:r>
        <w:separator/>
      </w:r>
    </w:p>
  </w:footnote>
  <w:footnote w:type="continuationSeparator" w:id="0">
    <w:p w:rsidR="008A0C84" w:rsidRDefault="008A0C84" w:rsidP="002E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DF9" w:rsidRDefault="002E0DF9" w:rsidP="002E0DF9">
    <w:pPr>
      <w:pStyle w:val="Normlnweb"/>
      <w:spacing w:before="0" w:beforeAutospacing="0" w:after="0" w:afterAutospacing="0"/>
      <w:jc w:val="center"/>
    </w:pPr>
    <w:r>
      <w:rPr>
        <w:noProof/>
        <w:bdr w:val="none" w:sz="0" w:space="0" w:color="auto" w:frame="1"/>
      </w:rPr>
      <w:drawing>
        <wp:anchor distT="0" distB="0" distL="114300" distR="114300" simplePos="0" relativeHeight="251658240" behindDoc="0" locked="0" layoutInCell="1" allowOverlap="0">
          <wp:simplePos x="0" y="0"/>
          <wp:positionH relativeFrom="column">
            <wp:posOffset>-240665</wp:posOffset>
          </wp:positionH>
          <wp:positionV relativeFrom="paragraph">
            <wp:posOffset>39370</wp:posOffset>
          </wp:positionV>
          <wp:extent cx="759460" cy="727075"/>
          <wp:effectExtent l="0" t="0" r="2540" b="0"/>
          <wp:wrapSquare wrapText="right"/>
          <wp:docPr id="2" name="Obrázek 2" descr="https://lh7-rt.googleusercontent.com/docsz/AD_4nXe5-1Ce3Q9P39pjRdOcjx3Ip9kWufi03_HqQicHGFRjJ2XxR2gtys2NRBLgteUIs_YqEgiOFFV0q5KxskoC7RpMPWxtPu3VNsp9qaSwLP14EUUJFoTNNgnmazq5vnDzZNPWbiYkkCYsCb_dJVPMHf4p8ktD?key=t4-8cs_unjJBH5Dc8w_j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5-1Ce3Q9P39pjRdOcjx3Ip9kWufi03_HqQicHGFRjJ2XxR2gtys2NRBLgteUIs_YqEgiOFFV0q5KxskoC7RpMPWxtPu3VNsp9qaSwLP14EUUJFoTNNgnmazq5vnDzZNPWbiYkkCYsCb_dJVPMHf4p8ktD?key=t4-8cs_unjJBH5Dc8w_joQ"/>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4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8"/>
        <w:szCs w:val="28"/>
      </w:rPr>
      <w:t>Základní škola Bohumila Hrabala, Praha 8, Zenklova 52</w:t>
    </w:r>
  </w:p>
  <w:p w:rsidR="002E0DF9" w:rsidRDefault="002E0DF9" w:rsidP="002E0DF9">
    <w:pPr>
      <w:pStyle w:val="Normlnweb"/>
      <w:spacing w:before="0" w:beforeAutospacing="0" w:after="0" w:afterAutospacing="0"/>
      <w:jc w:val="center"/>
    </w:pPr>
    <w:r>
      <w:rPr>
        <w:rFonts w:ascii="Arial" w:hAnsi="Arial" w:cs="Arial"/>
        <w:color w:val="000000"/>
        <w:sz w:val="20"/>
        <w:szCs w:val="20"/>
      </w:rPr>
      <w:t>Zenklova 52 / 26, Praha 8 – Libeň, 180 00, tel./fax: 266 310 472</w:t>
    </w:r>
  </w:p>
  <w:p w:rsidR="002E0DF9" w:rsidRDefault="002E0DF9" w:rsidP="002E0DF9">
    <w:pPr>
      <w:pStyle w:val="Normlnweb"/>
      <w:spacing w:before="0" w:beforeAutospacing="0" w:after="0" w:afterAutospacing="0"/>
      <w:jc w:val="center"/>
    </w:pPr>
    <w:r>
      <w:rPr>
        <w:rFonts w:ascii="Arial" w:hAnsi="Arial" w:cs="Arial"/>
        <w:color w:val="000000"/>
        <w:sz w:val="20"/>
        <w:szCs w:val="20"/>
      </w:rPr>
      <w:t xml:space="preserve">Na </w:t>
    </w:r>
    <w:proofErr w:type="spellStart"/>
    <w:r>
      <w:rPr>
        <w:rFonts w:ascii="Arial" w:hAnsi="Arial" w:cs="Arial"/>
        <w:color w:val="000000"/>
        <w:sz w:val="20"/>
        <w:szCs w:val="20"/>
      </w:rPr>
      <w:t>Korábě</w:t>
    </w:r>
    <w:proofErr w:type="spellEnd"/>
    <w:r>
      <w:rPr>
        <w:rFonts w:ascii="Arial" w:hAnsi="Arial" w:cs="Arial"/>
        <w:color w:val="000000"/>
        <w:sz w:val="20"/>
        <w:szCs w:val="20"/>
      </w:rPr>
      <w:t xml:space="preserve"> 2/350, Praha 8 – Libeň, 180 00, tel./fax: 283 840 435</w:t>
    </w:r>
  </w:p>
  <w:p w:rsidR="002E0DF9" w:rsidRDefault="002E0DF9" w:rsidP="002E0DF9">
    <w:pPr>
      <w:pStyle w:val="Normlnweb"/>
      <w:spacing w:before="0" w:beforeAutospacing="0" w:after="0" w:afterAutospacing="0"/>
      <w:jc w:val="center"/>
    </w:pPr>
    <w:r>
      <w:rPr>
        <w:rFonts w:ascii="Arial" w:hAnsi="Arial" w:cs="Arial"/>
        <w:color w:val="000000"/>
        <w:sz w:val="20"/>
        <w:szCs w:val="20"/>
      </w:rPr>
      <w:t>E-mail: red@zs-bhrabala.cz</w:t>
    </w:r>
  </w:p>
  <w:p w:rsidR="002E0DF9" w:rsidRDefault="002E0DF9" w:rsidP="002E0DF9">
    <w:pPr>
      <w:pStyle w:val="Normlnweb"/>
      <w:spacing w:before="0" w:beforeAutospacing="0" w:after="0" w:afterAutospacing="0"/>
      <w:jc w:val="center"/>
    </w:pPr>
    <w:r>
      <w:rPr>
        <w:rFonts w:ascii="Arial" w:hAnsi="Arial" w:cs="Arial"/>
        <w:color w:val="000000"/>
        <w:sz w:val="20"/>
        <w:szCs w:val="20"/>
      </w:rPr>
      <w:t>http://www.zs-bhrabala.cz</w:t>
    </w:r>
  </w:p>
  <w:p w:rsidR="002E0DF9" w:rsidRDefault="002E0DF9" w:rsidP="002E0DF9">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F9"/>
    <w:rsid w:val="000C3228"/>
    <w:rsid w:val="002E0DF9"/>
    <w:rsid w:val="00300A2C"/>
    <w:rsid w:val="00435CD2"/>
    <w:rsid w:val="004B0EC8"/>
    <w:rsid w:val="00874A35"/>
    <w:rsid w:val="008A0C84"/>
    <w:rsid w:val="009A04D0"/>
    <w:rsid w:val="00A43C46"/>
    <w:rsid w:val="00A97D52"/>
    <w:rsid w:val="00F03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504B"/>
  <w15:docId w15:val="{6A2C89BC-BED6-4EA0-B35D-20F58FB2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B0EC8"/>
    <w:pPr>
      <w:keepNext/>
      <w:spacing w:after="0" w:line="240" w:lineRule="auto"/>
      <w:outlineLvl w:val="0"/>
    </w:pPr>
    <w:rPr>
      <w:rFonts w:ascii="Arial" w:eastAsia="Times New Roman" w:hAnsi="Arial" w:cs="Times New Roman"/>
      <w:sz w:val="28"/>
      <w:szCs w:val="24"/>
      <w:lang w:eastAsia="cs-CZ"/>
    </w:rPr>
  </w:style>
  <w:style w:type="paragraph" w:styleId="Nadpis2">
    <w:name w:val="heading 2"/>
    <w:basedOn w:val="Normln"/>
    <w:next w:val="Normln"/>
    <w:link w:val="Nadpis2Char"/>
    <w:qFormat/>
    <w:rsid w:val="004B0EC8"/>
    <w:pPr>
      <w:keepNext/>
      <w:spacing w:after="0" w:line="240" w:lineRule="auto"/>
      <w:outlineLvl w:val="1"/>
    </w:pPr>
    <w:rPr>
      <w:rFonts w:ascii="Times New Roman" w:eastAsia="Times New Roman" w:hAnsi="Times New Roman" w:cs="Times New Roman"/>
      <w:sz w:val="28"/>
      <w:szCs w:val="24"/>
      <w:lang w:eastAsia="cs-CZ"/>
    </w:rPr>
  </w:style>
  <w:style w:type="paragraph" w:styleId="Nadpis3">
    <w:name w:val="heading 3"/>
    <w:basedOn w:val="Normln"/>
    <w:next w:val="Normln"/>
    <w:link w:val="Nadpis3Char"/>
    <w:qFormat/>
    <w:rsid w:val="004B0EC8"/>
    <w:pPr>
      <w:keepNext/>
      <w:spacing w:after="0" w:line="240" w:lineRule="auto"/>
      <w:outlineLvl w:val="2"/>
    </w:pPr>
    <w:rPr>
      <w:rFonts w:ascii="Times New Roman" w:eastAsia="Times New Roman" w:hAnsi="Times New Roman" w:cs="Times New Roman"/>
      <w:sz w:val="28"/>
      <w:szCs w:val="24"/>
      <w:u w:val="single"/>
      <w:lang w:eastAsia="cs-CZ"/>
    </w:rPr>
  </w:style>
  <w:style w:type="paragraph" w:styleId="Nadpis4">
    <w:name w:val="heading 4"/>
    <w:basedOn w:val="Normln"/>
    <w:next w:val="Normln"/>
    <w:link w:val="Nadpis4Char"/>
    <w:qFormat/>
    <w:rsid w:val="004B0EC8"/>
    <w:pPr>
      <w:keepNext/>
      <w:spacing w:after="0" w:line="240" w:lineRule="auto"/>
      <w:jc w:val="both"/>
      <w:outlineLvl w:val="3"/>
    </w:pPr>
    <w:rPr>
      <w:rFonts w:ascii="Times New Roman" w:eastAsia="Times New Roman" w:hAnsi="Times New Roman"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E0D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0DF9"/>
    <w:rPr>
      <w:rFonts w:ascii="Tahoma" w:hAnsi="Tahoma" w:cs="Tahoma"/>
      <w:sz w:val="16"/>
      <w:szCs w:val="16"/>
    </w:rPr>
  </w:style>
  <w:style w:type="paragraph" w:styleId="Zhlav">
    <w:name w:val="header"/>
    <w:basedOn w:val="Normln"/>
    <w:link w:val="ZhlavChar"/>
    <w:uiPriority w:val="99"/>
    <w:unhideWhenUsed/>
    <w:rsid w:val="002E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0DF9"/>
  </w:style>
  <w:style w:type="paragraph" w:styleId="Zpat">
    <w:name w:val="footer"/>
    <w:basedOn w:val="Normln"/>
    <w:link w:val="ZpatChar"/>
    <w:uiPriority w:val="99"/>
    <w:unhideWhenUsed/>
    <w:rsid w:val="002E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2E0DF9"/>
  </w:style>
  <w:style w:type="paragraph" w:styleId="Normlnweb">
    <w:name w:val="Normal (Web)"/>
    <w:basedOn w:val="Normln"/>
    <w:uiPriority w:val="99"/>
    <w:semiHidden/>
    <w:unhideWhenUsed/>
    <w:rsid w:val="002E0D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4B0EC8"/>
    <w:rPr>
      <w:rFonts w:ascii="Arial" w:eastAsia="Times New Roman" w:hAnsi="Arial" w:cs="Times New Roman"/>
      <w:sz w:val="28"/>
      <w:szCs w:val="24"/>
      <w:lang w:eastAsia="cs-CZ"/>
    </w:rPr>
  </w:style>
  <w:style w:type="character" w:customStyle="1" w:styleId="Nadpis2Char">
    <w:name w:val="Nadpis 2 Char"/>
    <w:basedOn w:val="Standardnpsmoodstavce"/>
    <w:link w:val="Nadpis2"/>
    <w:rsid w:val="004B0EC8"/>
    <w:rPr>
      <w:rFonts w:ascii="Times New Roman" w:eastAsia="Times New Roman" w:hAnsi="Times New Roman" w:cs="Times New Roman"/>
      <w:sz w:val="28"/>
      <w:szCs w:val="24"/>
      <w:lang w:eastAsia="cs-CZ"/>
    </w:rPr>
  </w:style>
  <w:style w:type="character" w:customStyle="1" w:styleId="Nadpis3Char">
    <w:name w:val="Nadpis 3 Char"/>
    <w:basedOn w:val="Standardnpsmoodstavce"/>
    <w:link w:val="Nadpis3"/>
    <w:rsid w:val="004B0EC8"/>
    <w:rPr>
      <w:rFonts w:ascii="Times New Roman" w:eastAsia="Times New Roman" w:hAnsi="Times New Roman" w:cs="Times New Roman"/>
      <w:sz w:val="28"/>
      <w:szCs w:val="24"/>
      <w:u w:val="single"/>
      <w:lang w:eastAsia="cs-CZ"/>
    </w:rPr>
  </w:style>
  <w:style w:type="character" w:customStyle="1" w:styleId="Nadpis4Char">
    <w:name w:val="Nadpis 4 Char"/>
    <w:basedOn w:val="Standardnpsmoodstavce"/>
    <w:link w:val="Nadpis4"/>
    <w:rsid w:val="004B0EC8"/>
    <w:rPr>
      <w:rFonts w:ascii="Times New Roman" w:eastAsia="Times New Roman" w:hAnsi="Times New Roman" w:cs="Times New Roman"/>
      <w:sz w:val="28"/>
      <w:szCs w:val="24"/>
      <w:lang w:eastAsia="cs-CZ"/>
    </w:rPr>
  </w:style>
  <w:style w:type="paragraph" w:styleId="Odstavecseseznamem">
    <w:name w:val="List Paragraph"/>
    <w:basedOn w:val="Normln"/>
    <w:uiPriority w:val="34"/>
    <w:qFormat/>
    <w:rsid w:val="004B0EC8"/>
    <w:pPr>
      <w:ind w:left="720"/>
      <w:contextualSpacing/>
    </w:pPr>
  </w:style>
  <w:style w:type="paragraph" w:styleId="Podnadpis">
    <w:name w:val="Subtitle"/>
    <w:basedOn w:val="Normln"/>
    <w:link w:val="PodnadpisChar"/>
    <w:qFormat/>
    <w:rsid w:val="004B0EC8"/>
    <w:pPr>
      <w:spacing w:after="0" w:line="240" w:lineRule="auto"/>
      <w:jc w:val="center"/>
    </w:pPr>
    <w:rPr>
      <w:rFonts w:ascii="Times New Roman" w:eastAsia="Times New Roman" w:hAnsi="Times New Roman" w:cs="Times New Roman"/>
      <w:b/>
      <w:bCs/>
      <w:sz w:val="32"/>
      <w:szCs w:val="24"/>
      <w:lang w:eastAsia="cs-CZ"/>
    </w:rPr>
  </w:style>
  <w:style w:type="character" w:customStyle="1" w:styleId="PodnadpisChar">
    <w:name w:val="Podnadpis Char"/>
    <w:basedOn w:val="Standardnpsmoodstavce"/>
    <w:link w:val="Podnadpis"/>
    <w:rsid w:val="004B0EC8"/>
    <w:rPr>
      <w:rFonts w:ascii="Times New Roman" w:eastAsia="Times New Roman" w:hAnsi="Times New Roman" w:cs="Times New Roman"/>
      <w:b/>
      <w:bCs/>
      <w:sz w:val="32"/>
      <w:szCs w:val="24"/>
      <w:lang w:eastAsia="cs-CZ"/>
    </w:rPr>
  </w:style>
  <w:style w:type="table" w:styleId="Mkatabulky">
    <w:name w:val="Table Grid"/>
    <w:basedOn w:val="Normlntabulka"/>
    <w:rsid w:val="00874A35"/>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408">
      <w:bodyDiv w:val="1"/>
      <w:marLeft w:val="0"/>
      <w:marRight w:val="0"/>
      <w:marTop w:val="0"/>
      <w:marBottom w:val="0"/>
      <w:divBdr>
        <w:top w:val="none" w:sz="0" w:space="0" w:color="auto"/>
        <w:left w:val="none" w:sz="0" w:space="0" w:color="auto"/>
        <w:bottom w:val="none" w:sz="0" w:space="0" w:color="auto"/>
        <w:right w:val="none" w:sz="0" w:space="0" w:color="auto"/>
      </w:divBdr>
    </w:div>
    <w:div w:id="8563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4463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Slouka</dc:creator>
  <cp:lastModifiedBy>Markéta</cp:lastModifiedBy>
  <cp:revision>2</cp:revision>
  <cp:lastPrinted>2026-01-21T08:34:00Z</cp:lastPrinted>
  <dcterms:created xsi:type="dcterms:W3CDTF">2026-01-21T08:34:00Z</dcterms:created>
  <dcterms:modified xsi:type="dcterms:W3CDTF">2026-01-21T08:34:00Z</dcterms:modified>
</cp:coreProperties>
</file>