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</w:t>
      </w:r>
      <w:proofErr w:type="spellStart"/>
      <w:r>
        <w:rPr>
          <w:b/>
          <w:sz w:val="22"/>
          <w:szCs w:val="22"/>
        </w:rPr>
        <w:t>ú.</w:t>
      </w:r>
      <w:proofErr w:type="spellEnd"/>
      <w:r>
        <w:rPr>
          <w:b/>
          <w:sz w:val="22"/>
          <w:szCs w:val="22"/>
        </w:rPr>
        <w:t xml:space="preserve"> 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 xml:space="preserve">Rejstřík ústavů vedený Městským soudem v Praze,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U 920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:rsidR="00985B7A" w:rsidRDefault="004239A7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</w:r>
      <w:proofErr w:type="spellStart"/>
      <w:r w:rsidR="00B41263">
        <w:rPr>
          <w:sz w:val="22"/>
          <w:szCs w:val="22"/>
        </w:rPr>
        <w:t>xxx</w:t>
      </w:r>
      <w:proofErr w:type="spellEnd"/>
      <w:r>
        <w:rPr>
          <w:b/>
          <w:sz w:val="22"/>
          <w:szCs w:val="22"/>
        </w:rPr>
        <w:t xml:space="preserve">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 xml:space="preserve">Post </w:t>
      </w:r>
      <w:proofErr w:type="spellStart"/>
      <w:r>
        <w:rPr>
          <w:b/>
          <w:sz w:val="22"/>
          <w:szCs w:val="22"/>
        </w:rPr>
        <w:t>Bellum</w:t>
      </w:r>
      <w:proofErr w:type="spellEnd"/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85B7A" w:rsidRPr="00075C71" w:rsidRDefault="00985B7A">
      <w:pPr>
        <w:jc w:val="both"/>
        <w:rPr>
          <w:b/>
          <w:sz w:val="22"/>
          <w:szCs w:val="22"/>
        </w:rPr>
      </w:pPr>
    </w:p>
    <w:p w:rsidR="006A2D1C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>Název města/m. části</w:t>
      </w:r>
      <w:r w:rsidR="00075C71" w:rsidRPr="00075C71">
        <w:rPr>
          <w:sz w:val="22"/>
          <w:szCs w:val="22"/>
        </w:rPr>
        <w:t xml:space="preserve">: </w:t>
      </w:r>
      <w:r w:rsidR="00382294">
        <w:rPr>
          <w:b/>
          <w:sz w:val="22"/>
          <w:szCs w:val="22"/>
        </w:rPr>
        <w:t>Město Mělník</w:t>
      </w:r>
    </w:p>
    <w:p w:rsidR="00CA62A6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 xml:space="preserve">Sídlo: </w:t>
      </w:r>
      <w:r w:rsidRPr="00075C71">
        <w:rPr>
          <w:sz w:val="22"/>
          <w:szCs w:val="22"/>
        </w:rPr>
        <w:tab/>
      </w:r>
      <w:r w:rsidRPr="00075C71">
        <w:rPr>
          <w:sz w:val="22"/>
          <w:szCs w:val="22"/>
        </w:rPr>
        <w:tab/>
      </w:r>
      <w:r w:rsidR="00075C71" w:rsidRPr="00075C71">
        <w:rPr>
          <w:sz w:val="22"/>
          <w:szCs w:val="22"/>
        </w:rPr>
        <w:t xml:space="preserve">          </w:t>
      </w:r>
      <w:r w:rsidR="00382294">
        <w:rPr>
          <w:sz w:val="22"/>
          <w:szCs w:val="22"/>
        </w:rPr>
        <w:t>náměstí Míru 1, 276 01 Mělník</w:t>
      </w:r>
    </w:p>
    <w:p w:rsidR="00985B7A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>IČ:</w:t>
      </w:r>
      <w:r w:rsidRPr="00075C71">
        <w:rPr>
          <w:sz w:val="22"/>
          <w:szCs w:val="22"/>
        </w:rPr>
        <w:tab/>
      </w:r>
      <w:r w:rsidRPr="00075C71">
        <w:rPr>
          <w:sz w:val="22"/>
          <w:szCs w:val="22"/>
        </w:rPr>
        <w:tab/>
      </w:r>
      <w:r w:rsidR="00075C71" w:rsidRPr="00075C71">
        <w:rPr>
          <w:sz w:val="22"/>
          <w:szCs w:val="22"/>
        </w:rPr>
        <w:t xml:space="preserve">          </w:t>
      </w:r>
      <w:r w:rsidR="00370D88">
        <w:rPr>
          <w:sz w:val="22"/>
          <w:szCs w:val="22"/>
        </w:rPr>
        <w:t>00</w:t>
      </w:r>
      <w:r w:rsidR="00C214BB">
        <w:rPr>
          <w:sz w:val="22"/>
          <w:szCs w:val="22"/>
        </w:rPr>
        <w:t>2</w:t>
      </w:r>
      <w:r w:rsidR="00E24AB7">
        <w:rPr>
          <w:sz w:val="22"/>
          <w:szCs w:val="22"/>
        </w:rPr>
        <w:t>3</w:t>
      </w:r>
      <w:r w:rsidR="00382294">
        <w:rPr>
          <w:sz w:val="22"/>
          <w:szCs w:val="22"/>
        </w:rPr>
        <w:t>7051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075C71">
        <w:rPr>
          <w:sz w:val="22"/>
          <w:szCs w:val="22"/>
        </w:rPr>
        <w:t xml:space="preserve">          </w:t>
      </w:r>
      <w:r w:rsidR="00382294">
        <w:rPr>
          <w:sz w:val="22"/>
          <w:szCs w:val="22"/>
        </w:rPr>
        <w:t>Ing. Tomášem Martincem</w:t>
      </w:r>
      <w:r w:rsidR="00370D88">
        <w:rPr>
          <w:sz w:val="22"/>
          <w:szCs w:val="22"/>
        </w:rPr>
        <w:t xml:space="preserve">, starostou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(Post </w:t>
      </w:r>
      <w:proofErr w:type="spellStart"/>
      <w:r>
        <w:rPr>
          <w:sz w:val="22"/>
          <w:szCs w:val="22"/>
        </w:rPr>
        <w:t>Bellum</w:t>
      </w:r>
      <w:proofErr w:type="spellEnd"/>
      <w:r>
        <w:rPr>
          <w:sz w:val="22"/>
          <w:szCs w:val="22"/>
        </w:rPr>
        <w:t xml:space="preserve">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veřejně prospěšnou právnickou osobou, jejímž posláním je zejména dokumentace vzpomínek pamětníků historických fenoménů a rozšiřování povědomí veřejnosti o příbězích, svědectvích a hodnotách předešlých generací. Účelem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a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projevili společný zájem navázat aktivní spolupráci na níže specifikovaném projektu a smluvně upravit svá vzájemná práva a povinnosti;</w:t>
      </w: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:rsidR="00985B7A" w:rsidRPr="00FB2F41" w:rsidRDefault="004239A7">
      <w:pPr>
        <w:pStyle w:val="Nadpis1"/>
        <w:widowControl/>
        <w:numPr>
          <w:ilvl w:val="0"/>
          <w:numId w:val="1"/>
        </w:numPr>
        <w:rPr>
          <w:szCs w:val="26"/>
        </w:rPr>
      </w:pPr>
      <w:proofErr w:type="spellStart"/>
      <w:r w:rsidRPr="00FB2F41">
        <w:rPr>
          <w:szCs w:val="26"/>
        </w:rPr>
        <w:lastRenderedPageBreak/>
        <w:t>Předmět</w:t>
      </w:r>
      <w:proofErr w:type="spellEnd"/>
      <w:r w:rsidRPr="00FB2F41">
        <w:rPr>
          <w:szCs w:val="26"/>
        </w:rPr>
        <w:t xml:space="preserve"> </w:t>
      </w:r>
      <w:proofErr w:type="spellStart"/>
      <w:r w:rsidRPr="00FB2F41">
        <w:rPr>
          <w:szCs w:val="26"/>
        </w:rPr>
        <w:t>smlouvy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b/>
          <w:szCs w:val="22"/>
        </w:rPr>
      </w:pPr>
      <w:proofErr w:type="spellStart"/>
      <w:r>
        <w:rPr>
          <w:rFonts w:eastAsia="Times New Roman" w:cs="Times New Roman"/>
          <w:szCs w:val="22"/>
        </w:rPr>
        <w:t>Předmětem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vzájemných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povinností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spolupráci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2"/>
        </w:rPr>
        <w:t>na</w:t>
      </w:r>
      <w:proofErr w:type="spellEnd"/>
      <w:proofErr w:type="gram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Příběhy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našich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sousedů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rPr>
          <w:rFonts w:eastAsia="Times New Roman" w:cs="Times New Roman"/>
          <w:szCs w:val="22"/>
        </w:rPr>
        <w:t>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jen</w:t>
      </w:r>
      <w:proofErr w:type="spellEnd"/>
      <w:r>
        <w:rPr>
          <w:rFonts w:eastAsia="Times New Roman" w:cs="Times New Roman"/>
          <w:szCs w:val="22"/>
        </w:rPr>
        <w:t xml:space="preserve"> „</w:t>
      </w:r>
      <w:proofErr w:type="spellStart"/>
      <w:r>
        <w:rPr>
          <w:rFonts w:eastAsia="Times New Roman" w:cs="Times New Roman"/>
          <w:b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>“), k </w:t>
      </w:r>
      <w:proofErr w:type="spellStart"/>
      <w:r>
        <w:rPr>
          <w:rFonts w:eastAsia="Times New Roman" w:cs="Times New Roman"/>
          <w:szCs w:val="22"/>
        </w:rPr>
        <w:t>jehož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společné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realizaci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zavazují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řízen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koordinován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a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sestávat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zejména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následujících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částí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oslovení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místní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škol</w:t>
      </w:r>
      <w:r w:rsidR="001C02F1">
        <w:rPr>
          <w:rFonts w:eastAsia="Times New Roman" w:cs="Times New Roman"/>
          <w:szCs w:val="22"/>
        </w:rPr>
        <w:t>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sestavení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u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527EF2">
        <w:rPr>
          <w:rFonts w:eastAsia="Times New Roman" w:cs="Times New Roman"/>
          <w:szCs w:val="22"/>
        </w:rPr>
        <w:t xml:space="preserve">(3-5 </w:t>
      </w:r>
      <w:proofErr w:type="spellStart"/>
      <w:r w:rsidR="00527EF2">
        <w:rPr>
          <w:rFonts w:eastAsia="Times New Roman" w:cs="Times New Roman"/>
          <w:szCs w:val="22"/>
        </w:rPr>
        <w:t>žáků</w:t>
      </w:r>
      <w:proofErr w:type="spellEnd"/>
      <w:r w:rsidR="00527EF2">
        <w:rPr>
          <w:rFonts w:eastAsia="Times New Roman" w:cs="Times New Roman"/>
          <w:szCs w:val="22"/>
        </w:rPr>
        <w:t xml:space="preserve">) </w:t>
      </w:r>
      <w:r>
        <w:rPr>
          <w:rFonts w:eastAsia="Times New Roman" w:cs="Times New Roman"/>
          <w:szCs w:val="22"/>
        </w:rPr>
        <w:t xml:space="preserve">pod </w:t>
      </w:r>
      <w:proofErr w:type="spellStart"/>
      <w:r>
        <w:rPr>
          <w:rFonts w:eastAsia="Times New Roman" w:cs="Times New Roman"/>
          <w:szCs w:val="22"/>
        </w:rPr>
        <w:t>vedením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</w:t>
      </w:r>
      <w:r w:rsidR="001C02F1">
        <w:rPr>
          <w:rFonts w:eastAsia="Times New Roman" w:cs="Times New Roman"/>
          <w:szCs w:val="22"/>
        </w:rPr>
        <w:t>a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školení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</w:t>
      </w:r>
      <w:r w:rsidR="001C02F1">
        <w:rPr>
          <w:rFonts w:eastAsia="Times New Roman" w:cs="Times New Roman"/>
          <w:szCs w:val="22"/>
        </w:rPr>
        <w:t>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vytipování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vhodných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setkání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dokumentaristickým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em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natočení</w:t>
      </w:r>
      <w:proofErr w:type="spellEnd"/>
      <w:r w:rsidR="001D78B2">
        <w:rPr>
          <w:rFonts w:eastAsia="Times New Roman" w:cs="Times New Roman"/>
          <w:szCs w:val="22"/>
        </w:rPr>
        <w:t xml:space="preserve"> </w:t>
      </w:r>
      <w:r w:rsidR="00AB4F91">
        <w:rPr>
          <w:rFonts w:eastAsia="Times New Roman" w:cs="Times New Roman"/>
          <w:szCs w:val="22"/>
        </w:rPr>
        <w:t>3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</w:t>
      </w:r>
      <w:r w:rsidR="00AB4F91">
        <w:rPr>
          <w:rFonts w:eastAsia="Times New Roman" w:cs="Times New Roman"/>
          <w:szCs w:val="22"/>
        </w:rPr>
        <w:t>ů</w:t>
      </w:r>
      <w:proofErr w:type="spellEnd"/>
      <w:r w:rsidR="00AB4F91">
        <w:rPr>
          <w:rFonts w:eastAsia="Times New Roman" w:cs="Times New Roman"/>
          <w:szCs w:val="22"/>
        </w:rPr>
        <w:t xml:space="preserve"> 3</w:t>
      </w:r>
      <w:r w:rsidR="00382294"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</w:t>
      </w:r>
      <w:r w:rsidR="00AB4F91"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dokumentaristickým</w:t>
      </w:r>
      <w:r w:rsidR="00AB4F91"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AB4F91">
        <w:rPr>
          <w:rFonts w:eastAsia="Times New Roman" w:cs="Times New Roman"/>
          <w:szCs w:val="22"/>
        </w:rPr>
        <w:t>y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t>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zapojené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účastníky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t>ú</w:t>
      </w:r>
      <w:r>
        <w:rPr>
          <w:rFonts w:eastAsia="Times New Roman" w:cs="Times New Roman"/>
          <w:szCs w:val="22"/>
        </w:rPr>
        <w:t>častníci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fakultativně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vybírají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těchto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>: audio workshop, video workshop</w:t>
      </w:r>
      <w:r>
        <w:t xml:space="preserve">, </w:t>
      </w:r>
      <w:proofErr w:type="spellStart"/>
      <w:r>
        <w:t>komiksový</w:t>
      </w:r>
      <w:proofErr w:type="spellEnd"/>
      <w:r>
        <w:t xml:space="preserve"> workshop, workshop </w:t>
      </w:r>
      <w:proofErr w:type="spellStart"/>
      <w:r>
        <w:t>animace</w:t>
      </w:r>
      <w:proofErr w:type="spellEnd"/>
      <w:r>
        <w:rPr>
          <w:rFonts w:eastAsia="Times New Roman" w:cs="Times New Roman"/>
          <w:szCs w:val="22"/>
        </w:rPr>
        <w:t>);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Cs w:val="22"/>
        </w:rPr>
        <w:t xml:space="preserve"> 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uložení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> </w:t>
      </w:r>
      <w:hyperlink r:id="rId9">
        <w:r>
          <w:rPr>
            <w:rFonts w:eastAsia="Times New Roman" w:cs="Times New Roman"/>
            <w:szCs w:val="22"/>
            <w:u w:val="single"/>
          </w:rPr>
          <w:t>www.pribehynasichsousedu.cz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slavnostní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výstupů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naživo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v online </w:t>
      </w:r>
      <w:proofErr w:type="spellStart"/>
      <w:r>
        <w:rPr>
          <w:rFonts w:eastAsia="Times New Roman" w:cs="Times New Roman"/>
          <w:szCs w:val="22"/>
        </w:rPr>
        <w:t>prostoru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proofErr w:type="gramStart"/>
      <w:r>
        <w:rPr>
          <w:rFonts w:eastAsia="Times New Roman" w:cs="Times New Roman"/>
          <w:szCs w:val="22"/>
        </w:rPr>
        <w:t>zpracování</w:t>
      </w:r>
      <w:proofErr w:type="spellEnd"/>
      <w:proofErr w:type="gram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editace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vybraných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vyprávění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natočených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em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portál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Paměť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národa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publikace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hyperlink r:id="rId10">
        <w:r>
          <w:rPr>
            <w:color w:val="0000FF"/>
            <w:u w:val="single"/>
          </w:rPr>
          <w:t>www.pametnaroda.cz</w:t>
        </w:r>
      </w:hyperlink>
      <w:r>
        <w:rPr>
          <w:rFonts w:eastAsia="Times New Roman" w:cs="Times New Roman"/>
          <w:szCs w:val="22"/>
        </w:rPr>
        <w:t>;</w:t>
      </w:r>
    </w:p>
    <w:p w:rsidR="00351A21" w:rsidRPr="00351A21" w:rsidRDefault="00351A21" w:rsidP="00351A21">
      <w:pPr>
        <w:pStyle w:val="Nadpis3"/>
        <w:numPr>
          <w:ilvl w:val="0"/>
          <w:numId w:val="0"/>
        </w:numPr>
        <w:ind w:left="720"/>
        <w:rPr>
          <w:rFonts w:eastAsia="Times New Roman" w:cs="Times New Roman"/>
          <w:szCs w:val="22"/>
          <w:highlight w:val="yellow"/>
        </w:rPr>
      </w:pPr>
      <w:r w:rsidRPr="00351A21">
        <w:rPr>
          <w:rFonts w:eastAsia="Times New Roman" w:cs="Times New Roman"/>
          <w:szCs w:val="22"/>
        </w:rPr>
        <w:t>(h</w:t>
      </w:r>
      <w:r>
        <w:rPr>
          <w:rFonts w:eastAsia="Times New Roman" w:cs="Times New Roman"/>
          <w:szCs w:val="22"/>
        </w:rPr>
        <w:t xml:space="preserve">)        </w:t>
      </w:r>
      <w:proofErr w:type="spellStart"/>
      <w:r w:rsidR="004239A7">
        <w:rPr>
          <w:rFonts w:eastAsia="Times New Roman" w:cs="Times New Roman"/>
          <w:szCs w:val="22"/>
        </w:rPr>
        <w:t>aktivní</w:t>
      </w:r>
      <w:proofErr w:type="spellEnd"/>
      <w:r w:rsidR="004239A7">
        <w:rPr>
          <w:rFonts w:eastAsia="Times New Roman" w:cs="Times New Roman"/>
          <w:szCs w:val="22"/>
        </w:rPr>
        <w:t xml:space="preserve"> </w:t>
      </w:r>
      <w:proofErr w:type="spellStart"/>
      <w:r w:rsidR="004239A7">
        <w:rPr>
          <w:rFonts w:eastAsia="Times New Roman" w:cs="Times New Roman"/>
          <w:szCs w:val="22"/>
        </w:rPr>
        <w:t>propagace</w:t>
      </w:r>
      <w:proofErr w:type="spellEnd"/>
      <w:r w:rsidR="004239A7">
        <w:rPr>
          <w:rFonts w:eastAsia="Times New Roman" w:cs="Times New Roman"/>
          <w:szCs w:val="22"/>
        </w:rPr>
        <w:t xml:space="preserve"> </w:t>
      </w:r>
      <w:proofErr w:type="spellStart"/>
      <w:r w:rsidR="004239A7">
        <w:rPr>
          <w:rFonts w:eastAsia="Times New Roman" w:cs="Times New Roman"/>
          <w:szCs w:val="22"/>
        </w:rPr>
        <w:t>projektu</w:t>
      </w:r>
      <w:proofErr w:type="spellEnd"/>
      <w:r w:rsidR="004239A7"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včetně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přípravných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prací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realizován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 w:rsidR="00E24AB7">
        <w:rPr>
          <w:rFonts w:eastAsia="Times New Roman" w:cs="Times New Roman"/>
          <w:szCs w:val="22"/>
        </w:rPr>
        <w:t>ledna</w:t>
      </w:r>
      <w:proofErr w:type="spellEnd"/>
      <w:r w:rsidR="00351A21" w:rsidRPr="001D78B2">
        <w:rPr>
          <w:rFonts w:eastAsia="Times New Roman" w:cs="Times New Roman"/>
          <w:szCs w:val="22"/>
        </w:rPr>
        <w:t xml:space="preserve"> </w:t>
      </w:r>
      <w:r w:rsidR="001D78B2" w:rsidRPr="001D78B2">
        <w:rPr>
          <w:rFonts w:eastAsia="Times New Roman" w:cs="Times New Roman"/>
          <w:szCs w:val="22"/>
        </w:rPr>
        <w:t>202</w:t>
      </w:r>
      <w:r w:rsidR="00AB4F91">
        <w:rPr>
          <w:rFonts w:eastAsia="Times New Roman" w:cs="Times New Roman"/>
          <w:szCs w:val="22"/>
        </w:rPr>
        <w:t>6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</w:t>
      </w:r>
      <w:proofErr w:type="spellEnd"/>
      <w:r>
        <w:rPr>
          <w:rFonts w:eastAsia="Times New Roman" w:cs="Times New Roman"/>
          <w:szCs w:val="22"/>
        </w:rPr>
        <w:t xml:space="preserve"> to </w:t>
      </w:r>
      <w:proofErr w:type="spellStart"/>
      <w:r>
        <w:rPr>
          <w:rFonts w:eastAsia="Times New Roman" w:cs="Times New Roman"/>
          <w:szCs w:val="22"/>
        </w:rPr>
        <w:t>nejdéle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jednoho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roku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nedohodnou</w:t>
      </w:r>
      <w:proofErr w:type="spellEnd"/>
      <w:r>
        <w:rPr>
          <w:rFonts w:eastAsia="Times New Roman" w:cs="Times New Roman"/>
          <w:szCs w:val="22"/>
        </w:rPr>
        <w:t xml:space="preserve">-li se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jinak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2"/>
          <w:szCs w:val="22"/>
        </w:rPr>
      </w:pPr>
      <w:proofErr w:type="spellStart"/>
      <w:r>
        <w:rPr>
          <w:rFonts w:eastAsia="Times New Roman" w:cs="Times New Roman"/>
          <w:sz w:val="24"/>
          <w:szCs w:val="24"/>
        </w:rPr>
        <w:t>Povinnosti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4"/>
          <w:szCs w:val="24"/>
        </w:rPr>
        <w:t>Post Bellum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Post Bellum se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zajistí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sestavení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u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527EF2">
        <w:rPr>
          <w:rFonts w:eastAsia="Times New Roman" w:cs="Times New Roman"/>
          <w:szCs w:val="22"/>
        </w:rPr>
        <w:t xml:space="preserve">(3-5 </w:t>
      </w:r>
      <w:proofErr w:type="spellStart"/>
      <w:r w:rsidR="00527EF2">
        <w:rPr>
          <w:rFonts w:eastAsia="Times New Roman" w:cs="Times New Roman"/>
          <w:szCs w:val="22"/>
        </w:rPr>
        <w:t>žáků</w:t>
      </w:r>
      <w:proofErr w:type="spellEnd"/>
      <w:r w:rsidR="00527EF2">
        <w:rPr>
          <w:rFonts w:eastAsia="Times New Roman" w:cs="Times New Roman"/>
          <w:szCs w:val="22"/>
        </w:rPr>
        <w:t xml:space="preserve">) </w:t>
      </w:r>
      <w:r>
        <w:rPr>
          <w:rFonts w:eastAsia="Times New Roman" w:cs="Times New Roman"/>
          <w:szCs w:val="22"/>
        </w:rPr>
        <w:t xml:space="preserve">pod </w:t>
      </w:r>
      <w:proofErr w:type="spellStart"/>
      <w:r>
        <w:rPr>
          <w:rFonts w:eastAsia="Times New Roman" w:cs="Times New Roman"/>
          <w:szCs w:val="22"/>
        </w:rPr>
        <w:t>vedením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</w:t>
      </w:r>
      <w:r w:rsidR="001C02F1">
        <w:rPr>
          <w:rFonts w:eastAsia="Times New Roman" w:cs="Times New Roman"/>
          <w:szCs w:val="22"/>
        </w:rPr>
        <w:t>a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školení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</w:t>
      </w:r>
      <w:r w:rsidR="001C02F1">
        <w:rPr>
          <w:rFonts w:eastAsia="Times New Roman" w:cs="Times New Roman"/>
          <w:szCs w:val="22"/>
        </w:rPr>
        <w:t>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vytipování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vhodných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setkání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dokumentaristickým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em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1D78B2" w:rsidRDefault="001D78B2" w:rsidP="001D78B2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natočení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AB4F91">
        <w:rPr>
          <w:rFonts w:eastAsia="Times New Roman" w:cs="Times New Roman"/>
          <w:szCs w:val="22"/>
        </w:rPr>
        <w:t>3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</w:t>
      </w:r>
      <w:r w:rsidR="00AB4F91">
        <w:rPr>
          <w:rFonts w:eastAsia="Times New Roman" w:cs="Times New Roman"/>
          <w:szCs w:val="22"/>
        </w:rPr>
        <w:t>ů</w:t>
      </w:r>
      <w:proofErr w:type="spellEnd"/>
      <w:r w:rsidR="00AB4F91">
        <w:rPr>
          <w:rFonts w:eastAsia="Times New Roman" w:cs="Times New Roman"/>
          <w:szCs w:val="22"/>
        </w:rPr>
        <w:t xml:space="preserve"> 3</w:t>
      </w:r>
      <w:r w:rsidR="00382294"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</w:t>
      </w:r>
      <w:r w:rsidR="00AB4F91"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dokumentaristickým</w:t>
      </w:r>
      <w:r w:rsidR="00AB4F91"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AB4F91">
        <w:rPr>
          <w:rFonts w:eastAsia="Times New Roman" w:cs="Times New Roman"/>
          <w:szCs w:val="22"/>
        </w:rPr>
        <w:t>y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zapojené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účastníky</w:t>
      </w:r>
      <w:proofErr w:type="spellEnd"/>
      <w:r>
        <w:rPr>
          <w:rFonts w:eastAsia="Times New Roman" w:cs="Times New Roman"/>
          <w:szCs w:val="22"/>
        </w:rPr>
        <w:t>;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Cs w:val="22"/>
        </w:rPr>
        <w:t xml:space="preserve"> 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uložení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</w:t>
      </w:r>
      <w:r w:rsidR="001C02F1">
        <w:rPr>
          <w:rFonts w:eastAsia="Times New Roman" w:cs="Times New Roman"/>
          <w:szCs w:val="22"/>
        </w:rPr>
        <w:t>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> </w:t>
      </w:r>
      <w:hyperlink r:id="rId11">
        <w:r>
          <w:rPr>
            <w:rFonts w:eastAsia="Times New Roman" w:cs="Times New Roman"/>
            <w:szCs w:val="22"/>
            <w:u w:val="single"/>
          </w:rPr>
          <w:t>www.pribehynasichsousedu.cz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slavnostní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výstupů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naživo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v online </w:t>
      </w:r>
      <w:proofErr w:type="spellStart"/>
      <w:r>
        <w:rPr>
          <w:rFonts w:eastAsia="Times New Roman" w:cs="Times New Roman"/>
          <w:szCs w:val="22"/>
        </w:rPr>
        <w:t>prostoru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proofErr w:type="gramStart"/>
      <w:r>
        <w:rPr>
          <w:rFonts w:eastAsia="Times New Roman" w:cs="Times New Roman"/>
          <w:szCs w:val="22"/>
        </w:rPr>
        <w:t>zpracování</w:t>
      </w:r>
      <w:proofErr w:type="spellEnd"/>
      <w:proofErr w:type="gram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editace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vybraných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vyprávění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natočených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</w:t>
      </w:r>
      <w:r w:rsidR="001C02F1">
        <w:rPr>
          <w:rFonts w:eastAsia="Times New Roman" w:cs="Times New Roman"/>
          <w:szCs w:val="22"/>
        </w:rPr>
        <w:t>em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portál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Paměť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národa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publikace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hyperlink r:id="rId12">
        <w:r>
          <w:rPr>
            <w:color w:val="0000FF"/>
            <w:u w:val="single"/>
          </w:rPr>
          <w:t>www.pametnaroda.cz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potřebné</w:t>
      </w:r>
      <w:proofErr w:type="spellEnd"/>
      <w:r>
        <w:t xml:space="preserve"> </w:t>
      </w:r>
      <w:proofErr w:type="spellStart"/>
      <w:r>
        <w:t>souhlasy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zúčastněných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(</w:t>
      </w:r>
      <w:proofErr w:type="spellStart"/>
      <w:r>
        <w:t>pamětníci</w:t>
      </w:r>
      <w:proofErr w:type="spellEnd"/>
      <w:r>
        <w:t xml:space="preserve">,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zapojených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 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vyžadovaném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propagaci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území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r>
        <w:t xml:space="preserve">aby se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shromažďování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dělo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se </w:t>
      </w:r>
      <w:proofErr w:type="spellStart"/>
      <w:r>
        <w:t>zákonem</w:t>
      </w:r>
      <w:proofErr w:type="spellEnd"/>
      <w:r>
        <w:t xml:space="preserve"> o 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rady</w:t>
      </w:r>
      <w:proofErr w:type="spellEnd"/>
      <w:r>
        <w:t xml:space="preserve"> EU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(GDPR);</w:t>
      </w:r>
      <w:r>
        <w:rPr>
          <w:rFonts w:eastAsia="Times New Roman" w:cs="Times New Roman"/>
          <w:szCs w:val="22"/>
        </w:rPr>
        <w:t xml:space="preserve"> a </w:t>
      </w:r>
    </w:p>
    <w:p w:rsidR="00985B7A" w:rsidRDefault="004239A7">
      <w:pPr>
        <w:pStyle w:val="Nadpis3"/>
        <w:numPr>
          <w:ilvl w:val="2"/>
          <w:numId w:val="1"/>
        </w:numPr>
      </w:pPr>
      <w:r>
        <w:lastRenderedPageBreak/>
        <w:t xml:space="preserve">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viditelné</w:t>
      </w:r>
      <w:proofErr w:type="spellEnd"/>
      <w:r>
        <w:t xml:space="preserve"> </w:t>
      </w:r>
      <w:proofErr w:type="spellStart"/>
      <w:r>
        <w:t>široké</w:t>
      </w:r>
      <w:proofErr w:type="spellEnd"/>
      <w:r>
        <w:t xml:space="preserve"> </w:t>
      </w:r>
      <w:proofErr w:type="spellStart"/>
      <w:r>
        <w:t>veřejností</w:t>
      </w:r>
      <w:proofErr w:type="spellEnd"/>
      <w:r>
        <w:t xml:space="preserve">, a to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>:</w:t>
      </w:r>
    </w:p>
    <w:p w:rsidR="00985B7A" w:rsidRDefault="004239A7">
      <w:pPr>
        <w:pStyle w:val="Nadpis3"/>
        <w:numPr>
          <w:ilvl w:val="0"/>
          <w:numId w:val="2"/>
        </w:numPr>
      </w:pPr>
      <w:proofErr w:type="spellStart"/>
      <w:r>
        <w:t>uvede</w:t>
      </w:r>
      <w:proofErr w:type="spellEnd"/>
      <w:r>
        <w:t xml:space="preserve"> logo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hyperlink r:id="rId13">
        <w:r>
          <w:rPr>
            <w:color w:val="0000FF"/>
            <w:u w:val="single"/>
          </w:rPr>
          <w:t>www.pribehynasichsousedu.cz</w:t>
        </w:r>
      </w:hyperlink>
      <w:r>
        <w:t>;</w:t>
      </w:r>
    </w:p>
    <w:p w:rsidR="00985B7A" w:rsidRDefault="004239A7">
      <w:pPr>
        <w:pStyle w:val="Nadpis3"/>
        <w:numPr>
          <w:ilvl w:val="0"/>
          <w:numId w:val="2"/>
        </w:num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tiskové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zahajovací</w:t>
      </w:r>
      <w:proofErr w:type="spellEnd"/>
      <w:r>
        <w:t xml:space="preserve"> </w:t>
      </w:r>
      <w:proofErr w:type="spellStart"/>
      <w:r>
        <w:t>řeč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>;</w:t>
      </w:r>
    </w:p>
    <w:p w:rsidR="00985B7A" w:rsidRDefault="004239A7">
      <w:pPr>
        <w:pStyle w:val="Nadpis3"/>
        <w:numPr>
          <w:ilvl w:val="0"/>
          <w:numId w:val="2"/>
        </w:numPr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prezentačních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slavnostní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prezentace</w:t>
      </w:r>
      <w:proofErr w:type="spellEnd"/>
      <w:r w:rsidR="00351A21">
        <w:t>)</w:t>
      </w:r>
      <w:r>
        <w:t xml:space="preserve">, </w:t>
      </w:r>
      <w:proofErr w:type="spellStart"/>
      <w:r>
        <w:t>přizve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; 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vyhotovení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szCs w:val="22"/>
        </w:rPr>
      </w:pPr>
      <w:bookmarkStart w:id="0" w:name="_heading=h.awkoheisjenx" w:colFirst="0" w:colLast="0"/>
      <w:bookmarkEnd w:id="0"/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z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nepodaří</w:t>
      </w:r>
      <w:proofErr w:type="spellEnd"/>
      <w:r>
        <w:t xml:space="preserve"> </w:t>
      </w:r>
      <w:proofErr w:type="spellStart"/>
      <w:r>
        <w:t>sestavit</w:t>
      </w:r>
      <w:proofErr w:type="spellEnd"/>
      <w:r>
        <w:t xml:space="preserve"> </w:t>
      </w:r>
      <w:proofErr w:type="spellStart"/>
      <w:r>
        <w:t>dostatečný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žákovských</w:t>
      </w:r>
      <w:proofErr w:type="spellEnd"/>
      <w:r>
        <w:t xml:space="preserve"> </w:t>
      </w:r>
      <w:proofErr w:type="spellStart"/>
      <w:r>
        <w:t>týmů</w:t>
      </w:r>
      <w:proofErr w:type="spellEnd"/>
      <w:r>
        <w:t xml:space="preserve"> a </w:t>
      </w:r>
      <w:proofErr w:type="spellStart"/>
      <w:r>
        <w:t>natočit</w:t>
      </w:r>
      <w:proofErr w:type="spellEnd"/>
      <w:r>
        <w:t xml:space="preserve"> </w:t>
      </w:r>
      <w:proofErr w:type="spellStart"/>
      <w:r>
        <w:t>pamětníky</w:t>
      </w:r>
      <w:proofErr w:type="spellEnd"/>
      <w:r>
        <w:t xml:space="preserve">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2.1 c) </w:t>
      </w:r>
      <w:proofErr w:type="spellStart"/>
      <w:r>
        <w:t>výše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Post Bellum.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odsouhlasená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v </w:t>
      </w:r>
      <w:proofErr w:type="spellStart"/>
      <w:proofErr w:type="gram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popsána</w:t>
      </w:r>
      <w:proofErr w:type="spellEnd"/>
      <w:r>
        <w:t xml:space="preserve"> v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. </w:t>
      </w:r>
    </w:p>
    <w:p w:rsidR="00985B7A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Povinnosti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partnera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se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zajistí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oslovení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místních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škol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nabídkou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možné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t>poskytne</w:t>
      </w:r>
      <w:proofErr w:type="spellEnd"/>
      <w:r>
        <w:t xml:space="preserve"> Post Bellum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 w:rsidR="004560EE">
        <w:t>znaku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</w:t>
      </w:r>
      <w:r w:rsidR="001D78B2">
        <w:t xml:space="preserve"> 31.</w:t>
      </w:r>
      <w:r w:rsidR="00E24AB7">
        <w:t>1</w:t>
      </w:r>
      <w:r w:rsidR="001D78B2">
        <w:t>.202</w:t>
      </w:r>
      <w:r w:rsidR="00AB4F91">
        <w:t>6</w:t>
      </w:r>
    </w:p>
    <w:p w:rsidR="00985B7A" w:rsidRDefault="004239A7" w:rsidP="00AB4F91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poskytne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finanční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článku</w:t>
      </w:r>
      <w:proofErr w:type="spellEnd"/>
      <w:r>
        <w:rPr>
          <w:rFonts w:eastAsia="Times New Roman" w:cs="Times New Roman"/>
          <w:szCs w:val="22"/>
        </w:rPr>
        <w:t xml:space="preserve"> </w:t>
      </w:r>
      <w:r>
        <w:rPr>
          <w:rFonts w:eastAsia="Times New Roman" w:cs="Times New Roman"/>
          <w:b/>
          <w:szCs w:val="22"/>
        </w:rPr>
        <w:t>5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Společné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985B7A" w:rsidRDefault="004239A7">
      <w:pPr>
        <w:pStyle w:val="Nadpis2"/>
        <w:numPr>
          <w:ilvl w:val="1"/>
          <w:numId w:val="1"/>
        </w:numPr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: 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informovat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aktivně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v 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úspěšné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zdržet</w:t>
      </w:r>
      <w:proofErr w:type="spellEnd"/>
      <w:r>
        <w:t xml:space="preserve"> se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znemožnit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ztížit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zdržet</w:t>
      </w:r>
      <w:proofErr w:type="spellEnd"/>
      <w:r>
        <w:t xml:space="preserve"> se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 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poškozovat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jednat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eticky</w:t>
      </w:r>
      <w:proofErr w:type="spellEnd"/>
      <w:r>
        <w:t xml:space="preserve">, </w:t>
      </w:r>
      <w:proofErr w:type="spellStart"/>
      <w:r>
        <w:t>korektně</w:t>
      </w:r>
      <w:proofErr w:type="spellEnd"/>
      <w:r>
        <w:t xml:space="preserve">, </w:t>
      </w:r>
      <w:proofErr w:type="spellStart"/>
      <w:r>
        <w:t>transparentně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Žádná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jednat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jménem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neposkytla</w:t>
      </w:r>
      <w:proofErr w:type="spellEnd"/>
      <w:r>
        <w:rPr>
          <w:rFonts w:eastAsia="Times New Roman" w:cs="Times New Roman"/>
          <w:szCs w:val="22"/>
        </w:rPr>
        <w:t>-li mu k </w:t>
      </w:r>
      <w:proofErr w:type="spellStart"/>
      <w:r>
        <w:rPr>
          <w:rFonts w:eastAsia="Times New Roman" w:cs="Times New Roman"/>
          <w:szCs w:val="22"/>
        </w:rPr>
        <w:t>tomu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svůj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písemný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souhlas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keepNext w:val="0"/>
        <w:widowControl/>
        <w:numPr>
          <w:ilvl w:val="0"/>
          <w:numId w:val="1"/>
        </w:numPr>
      </w:pP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převést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bezhotovostním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bankovním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převodem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bankovní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uvedený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záhlaví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částku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AB4F91">
        <w:rPr>
          <w:rFonts w:eastAsia="Times New Roman" w:cs="Times New Roman"/>
          <w:szCs w:val="22"/>
        </w:rPr>
        <w:t>8</w:t>
      </w:r>
      <w:r w:rsidR="001D78B2" w:rsidRPr="001D78B2">
        <w:rPr>
          <w:rFonts w:eastAsia="Times New Roman" w:cs="Times New Roman"/>
          <w:szCs w:val="22"/>
        </w:rPr>
        <w:t>9</w:t>
      </w:r>
      <w:r w:rsidR="00E24AB7">
        <w:rPr>
          <w:rFonts w:eastAsia="Times New Roman" w:cs="Times New Roman"/>
          <w:szCs w:val="22"/>
        </w:rPr>
        <w:t xml:space="preserve"> </w:t>
      </w:r>
      <w:r w:rsidR="00AB4F91">
        <w:rPr>
          <w:rFonts w:eastAsia="Times New Roman" w:cs="Times New Roman"/>
          <w:szCs w:val="22"/>
        </w:rPr>
        <w:t>7</w:t>
      </w:r>
      <w:r w:rsidR="00E24AB7">
        <w:rPr>
          <w:rFonts w:eastAsia="Times New Roman" w:cs="Times New Roman"/>
          <w:szCs w:val="22"/>
        </w:rPr>
        <w:t>0</w:t>
      </w:r>
      <w:r w:rsidR="001D78B2" w:rsidRPr="001D78B2">
        <w:rPr>
          <w:rFonts w:eastAsia="Times New Roman" w:cs="Times New Roman"/>
          <w:szCs w:val="22"/>
        </w:rPr>
        <w:t xml:space="preserve">0 </w:t>
      </w:r>
      <w:proofErr w:type="spellStart"/>
      <w:r w:rsidR="001D78B2" w:rsidRPr="001D78B2">
        <w:rPr>
          <w:rFonts w:eastAsia="Times New Roman" w:cs="Times New Roman"/>
          <w:szCs w:val="22"/>
        </w:rPr>
        <w:t>Kč</w:t>
      </w:r>
      <w:proofErr w:type="spellEnd"/>
      <w:r>
        <w:t xml:space="preserve">, </w:t>
      </w: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částka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uhrazena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Post Bellum, a to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faktury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je Post Bellum </w:t>
      </w:r>
      <w:proofErr w:type="spellStart"/>
      <w:r>
        <w:rPr>
          <w:rFonts w:eastAsia="Times New Roman" w:cs="Times New Roman"/>
          <w:szCs w:val="22"/>
        </w:rPr>
        <w:t>oprávněno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vystavit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lastRenderedPageBreak/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dohodly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společně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výše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uvedená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částka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konečná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zahrnuje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veškerou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jakoukoli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činnost</w:t>
      </w:r>
      <w:proofErr w:type="spellEnd"/>
      <w:r>
        <w:rPr>
          <w:rFonts w:eastAsia="Times New Roman" w:cs="Times New Roman"/>
          <w:szCs w:val="22"/>
        </w:rPr>
        <w:t xml:space="preserve"> Post Bellum v </w:t>
      </w:r>
      <w:proofErr w:type="spellStart"/>
      <w:r>
        <w:rPr>
          <w:rFonts w:eastAsia="Times New Roman" w:cs="Times New Roman"/>
          <w:szCs w:val="22"/>
        </w:rPr>
        <w:t>souladu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za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aby Post Bellum </w:t>
      </w:r>
      <w:proofErr w:type="spellStart"/>
      <w:r>
        <w:rPr>
          <w:rFonts w:eastAsia="Times New Roman" w:cs="Times New Roman"/>
          <w:szCs w:val="22"/>
        </w:rPr>
        <w:t>získal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další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prostředky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jiných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zdrojů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zejména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se do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mohou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zapojit</w:t>
      </w:r>
      <w:proofErr w:type="spellEnd"/>
      <w:r>
        <w:rPr>
          <w:rFonts w:eastAsia="Times New Roman" w:cs="Times New Roman"/>
          <w:szCs w:val="22"/>
        </w:rPr>
        <w:t xml:space="preserve"> i </w:t>
      </w:r>
      <w:proofErr w:type="spellStart"/>
      <w:r>
        <w:rPr>
          <w:rFonts w:eastAsia="Times New Roman" w:cs="Times New Roman"/>
          <w:szCs w:val="22"/>
        </w:rPr>
        <w:t>další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města</w:t>
      </w:r>
      <w:proofErr w:type="spellEnd"/>
      <w:r>
        <w:rPr>
          <w:rFonts w:eastAsia="Times New Roman" w:cs="Times New Roman"/>
          <w:szCs w:val="22"/>
        </w:rPr>
        <w:t>/</w:t>
      </w:r>
      <w:proofErr w:type="spellStart"/>
      <w:r>
        <w:rPr>
          <w:rFonts w:eastAsia="Times New Roman" w:cs="Times New Roman"/>
          <w:szCs w:val="22"/>
        </w:rPr>
        <w:t>školy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regionu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pokud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uhradí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náklady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svých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aby </w:t>
      </w:r>
      <w:proofErr w:type="spellStart"/>
      <w:r>
        <w:rPr>
          <w:rFonts w:eastAsia="Times New Roman" w:cs="Times New Roman"/>
          <w:szCs w:val="22"/>
        </w:rPr>
        <w:t>závěrečná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regionu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proběhla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společně</w:t>
      </w:r>
      <w:proofErr w:type="spellEnd"/>
      <w:r>
        <w:rPr>
          <w:rFonts w:eastAsia="Times New Roman" w:cs="Times New Roman"/>
          <w:szCs w:val="22"/>
        </w:rPr>
        <w:t xml:space="preserve"> a aby </w:t>
      </w:r>
      <w:proofErr w:type="spellStart"/>
      <w:r>
        <w:rPr>
          <w:rFonts w:eastAsia="Times New Roman" w:cs="Times New Roman"/>
          <w:szCs w:val="22"/>
        </w:rPr>
        <w:t>partneři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kteří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finančně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podílet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byli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jmenováni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propagaci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výstupech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licence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dohodly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vlastnické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hmotným</w:t>
      </w:r>
      <w:proofErr w:type="spellEnd"/>
      <w:r>
        <w:rPr>
          <w:rFonts w:eastAsia="Times New Roman" w:cs="Times New Roman"/>
          <w:szCs w:val="22"/>
        </w:rPr>
        <w:t xml:space="preserve"> i </w:t>
      </w:r>
      <w:proofErr w:type="spellStart"/>
      <w:r>
        <w:rPr>
          <w:rFonts w:eastAsia="Times New Roman" w:cs="Times New Roman"/>
          <w:szCs w:val="22"/>
        </w:rPr>
        <w:t>nehmotným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rPr>
          <w:rFonts w:eastAsia="Times New Roman" w:cs="Times New Roman"/>
          <w:szCs w:val="22"/>
        </w:rPr>
        <w:t>včetně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nahrávek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dokumentů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fotografií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výhradně</w:t>
      </w:r>
      <w:proofErr w:type="spellEnd"/>
      <w:r>
        <w:rPr>
          <w:rFonts w:eastAsia="Times New Roman" w:cs="Times New Roman"/>
          <w:szCs w:val="22"/>
        </w:rPr>
        <w:t xml:space="preserve"> Post Bellum. Post Bellum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umožnit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tyto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užít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území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státu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kterém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má</w:t>
      </w:r>
      <w:proofErr w:type="spellEnd"/>
      <w:r>
        <w:rPr>
          <w:rFonts w:eastAsia="Times New Roman" w:cs="Times New Roman"/>
          <w:szCs w:val="22"/>
        </w:rPr>
        <w:t xml:space="preserve"> partner </w:t>
      </w:r>
      <w:proofErr w:type="spellStart"/>
      <w:r>
        <w:rPr>
          <w:rFonts w:eastAsia="Times New Roman" w:cs="Times New Roman"/>
          <w:szCs w:val="22"/>
        </w:rPr>
        <w:t>sídlo</w:t>
      </w:r>
      <w:proofErr w:type="spellEnd"/>
      <w:r>
        <w:rPr>
          <w:rFonts w:eastAsia="Times New Roman" w:cs="Times New Roman"/>
          <w:szCs w:val="22"/>
        </w:rPr>
        <w:t xml:space="preserve">, a to v </w:t>
      </w:r>
      <w:proofErr w:type="spellStart"/>
      <w:r>
        <w:rPr>
          <w:rFonts w:eastAsia="Times New Roman" w:cs="Times New Roman"/>
          <w:szCs w:val="22"/>
        </w:rPr>
        <w:t>celku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libovolných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částí</w:t>
      </w:r>
      <w:proofErr w:type="spellEnd"/>
      <w:r>
        <w:rPr>
          <w:rFonts w:eastAsia="Times New Roman" w:cs="Times New Roman"/>
          <w:szCs w:val="22"/>
        </w:rPr>
        <w:t xml:space="preserve">, v </w:t>
      </w:r>
      <w:proofErr w:type="spellStart"/>
      <w:r>
        <w:rPr>
          <w:rFonts w:eastAsia="Times New Roman" w:cs="Times New Roman"/>
          <w:szCs w:val="22"/>
        </w:rPr>
        <w:t>původní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zpracované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jinak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změněné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podobě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jakýmkoli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způsobem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nesnižujícím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hodnotu</w:t>
      </w:r>
      <w:proofErr w:type="spellEnd"/>
      <w:r>
        <w:rPr>
          <w:rFonts w:eastAsia="Times New Roman" w:cs="Times New Roman"/>
          <w:szCs w:val="22"/>
        </w:rPr>
        <w:t xml:space="preserve"> a pro </w:t>
      </w:r>
      <w:proofErr w:type="spellStart"/>
      <w:r>
        <w:rPr>
          <w:rFonts w:eastAsia="Times New Roman" w:cs="Times New Roman"/>
          <w:szCs w:val="22"/>
        </w:rPr>
        <w:t>jakýkoli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nekomerční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účel</w:t>
      </w:r>
      <w:proofErr w:type="spellEnd"/>
      <w:r>
        <w:rPr>
          <w:rFonts w:eastAsia="Times New Roman" w:cs="Times New Roman"/>
          <w:szCs w:val="22"/>
        </w:rPr>
        <w:t xml:space="preserve">, v </w:t>
      </w:r>
      <w:proofErr w:type="spellStart"/>
      <w:r>
        <w:rPr>
          <w:rFonts w:eastAsia="Times New Roman" w:cs="Times New Roman"/>
          <w:szCs w:val="22"/>
        </w:rPr>
        <w:t>souladu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právními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předpisy</w:t>
      </w:r>
      <w:proofErr w:type="spellEnd"/>
      <w:r>
        <w:rPr>
          <w:rFonts w:eastAsia="Times New Roman" w:cs="Times New Roman"/>
          <w:szCs w:val="22"/>
        </w:rPr>
        <w:t xml:space="preserve"> a v 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projektem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celou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těchto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nepostoupit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licenci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podlicenci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těmto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třetí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osobě</w:t>
      </w:r>
      <w:proofErr w:type="spellEnd"/>
      <w:r>
        <w:rPr>
          <w:rFonts w:eastAsia="Times New Roman" w:cs="Times New Roman"/>
          <w:szCs w:val="22"/>
        </w:rPr>
        <w:t xml:space="preserve"> bez </w:t>
      </w:r>
      <w:proofErr w:type="spellStart"/>
      <w:r>
        <w:rPr>
          <w:rFonts w:eastAsia="Times New Roman" w:cs="Times New Roman"/>
          <w:szCs w:val="22"/>
        </w:rPr>
        <w:t>předchozího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souhlasu</w:t>
      </w:r>
      <w:proofErr w:type="spellEnd"/>
      <w:r>
        <w:rPr>
          <w:rFonts w:eastAsia="Times New Roman" w:cs="Times New Roman"/>
          <w:szCs w:val="22"/>
        </w:rPr>
        <w:t xml:space="preserve"> Post Bellum.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Post Bellum </w:t>
      </w:r>
      <w:proofErr w:type="spellStart"/>
      <w:r>
        <w:rPr>
          <w:rFonts w:eastAsia="Times New Roman" w:cs="Times New Roman"/>
          <w:szCs w:val="22"/>
        </w:rPr>
        <w:t>může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poskytnout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licenci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podlicenci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postoupit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práva</w:t>
      </w:r>
      <w:proofErr w:type="spellEnd"/>
      <w:r>
        <w:rPr>
          <w:rFonts w:eastAsia="Times New Roman" w:cs="Times New Roman"/>
          <w:szCs w:val="22"/>
        </w:rPr>
        <w:t xml:space="preserve"> k </w:t>
      </w:r>
      <w:proofErr w:type="spellStart"/>
      <w:r>
        <w:rPr>
          <w:rFonts w:eastAsia="Times New Roman" w:cs="Times New Roman"/>
          <w:szCs w:val="22"/>
        </w:rPr>
        <w:t>těmto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třetí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osobě</w:t>
      </w:r>
      <w:proofErr w:type="spellEnd"/>
      <w:r>
        <w:rPr>
          <w:rFonts w:eastAsia="Times New Roman" w:cs="Times New Roman"/>
          <w:szCs w:val="22"/>
        </w:rPr>
        <w:t xml:space="preserve"> bez </w:t>
      </w:r>
      <w:proofErr w:type="spellStart"/>
      <w:r>
        <w:rPr>
          <w:rFonts w:eastAsia="Times New Roman" w:cs="Times New Roman"/>
          <w:szCs w:val="22"/>
        </w:rPr>
        <w:t>souhlasu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partnera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, aby Post Bellum </w:t>
      </w:r>
      <w:proofErr w:type="spellStart"/>
      <w:r>
        <w:rPr>
          <w:rFonts w:eastAsia="Times New Roman" w:cs="Times New Roman"/>
          <w:szCs w:val="22"/>
        </w:rPr>
        <w:t>uvádělo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veřejnost</w:t>
      </w:r>
      <w:proofErr w:type="spellEnd"/>
      <w:r>
        <w:rPr>
          <w:rFonts w:eastAsia="Times New Roman" w:cs="Times New Roman"/>
          <w:szCs w:val="22"/>
        </w:rPr>
        <w:t xml:space="preserve"> pod </w:t>
      </w:r>
      <w:proofErr w:type="spellStart"/>
      <w:r>
        <w:rPr>
          <w:rFonts w:eastAsia="Times New Roman" w:cs="Times New Roman"/>
          <w:szCs w:val="22"/>
        </w:rPr>
        <w:t>svým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jménem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od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Každá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lastRenderedPageBreak/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:rsidR="00E24AB7" w:rsidRPr="00E24AB7" w:rsidRDefault="00E24AB7" w:rsidP="00E24AB7">
      <w:pPr>
        <w:rPr>
          <w:lang w:val="en-US" w:eastAsia="en-US"/>
        </w:rPr>
      </w:pPr>
    </w:p>
    <w:p w:rsidR="00E24AB7" w:rsidRPr="00E24AB7" w:rsidRDefault="00E24AB7" w:rsidP="00E24AB7">
      <w:pPr>
        <w:rPr>
          <w:lang w:val="en-US" w:eastAsia="en-US"/>
        </w:rPr>
      </w:pPr>
    </w:p>
    <w:p w:rsidR="00985B7A" w:rsidRDefault="004239A7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:rsidR="00985B7A" w:rsidRDefault="00985B7A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85B7A">
        <w:tc>
          <w:tcPr>
            <w:tcW w:w="4605" w:type="dxa"/>
            <w:shd w:val="clear" w:color="auto" w:fill="auto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</w:t>
            </w:r>
            <w:proofErr w:type="spellStart"/>
            <w:r>
              <w:rPr>
                <w:b/>
                <w:sz w:val="22"/>
                <w:szCs w:val="22"/>
              </w:rPr>
              <w:t>ú.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985B7A" w:rsidRDefault="00B41263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985B7A" w:rsidRDefault="00B41263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1" w:name="_GoBack"/>
            <w:bookmarkEnd w:id="1"/>
            <w:r w:rsidR="004239A7">
              <w:rPr>
                <w:sz w:val="22"/>
                <w:szCs w:val="22"/>
              </w:rPr>
              <w:t xml:space="preserve">, na základě plné moci </w:t>
            </w:r>
          </w:p>
        </w:tc>
        <w:tc>
          <w:tcPr>
            <w:tcW w:w="5568" w:type="dxa"/>
            <w:shd w:val="clear" w:color="auto" w:fill="auto"/>
          </w:tcPr>
          <w:p w:rsidR="009E10EE" w:rsidRDefault="00382294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Město Mělník</w:t>
            </w:r>
            <w:r w:rsidR="00E85989">
              <w:rPr>
                <w:sz w:val="22"/>
                <w:szCs w:val="22"/>
              </w:rPr>
              <w:t>,</w:t>
            </w:r>
          </w:p>
          <w:p w:rsidR="00382294" w:rsidRDefault="00382294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Tomáš Martinec</w:t>
            </w:r>
          </w:p>
          <w:p w:rsidR="00985B7A" w:rsidRDefault="001D78B2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</w:t>
            </w:r>
            <w:r w:rsidR="0070665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</w:p>
        </w:tc>
      </w:tr>
    </w:tbl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:rsidR="00985B7A" w:rsidRDefault="00985B7A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985B7A">
      <w:footerReference w:type="default" r:id="rId14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89" w:rsidRDefault="00AF5C89">
      <w:r>
        <w:separator/>
      </w:r>
    </w:p>
  </w:endnote>
  <w:endnote w:type="continuationSeparator" w:id="0">
    <w:p w:rsidR="00AF5C89" w:rsidRDefault="00A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7A" w:rsidRDefault="00423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318135" cy="184150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85B7A" w:rsidRDefault="004239A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Obdélník 2" o:spid="_x0000_s1026" style="position:absolute;margin-left:442pt;margin-top:0;width:25.0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" stroked="f">
              <v:fill opacity="0"/>
              <v:textbox inset="0,0,0,0">
                <w:txbxContent>
                  <w:p w:rsidR="00985B7A" w:rsidRDefault="004239A7">
                    <w:pPr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985B7A">
      <w:tc>
        <w:tcPr>
          <w:tcW w:w="3829" w:type="dxa"/>
          <w:shd w:val="clear" w:color="auto" w:fill="auto"/>
          <w:vAlign w:val="bottom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:rsidR="00985B7A" w:rsidRDefault="00985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89" w:rsidRDefault="00AF5C89">
      <w:r>
        <w:separator/>
      </w:r>
    </w:p>
  </w:footnote>
  <w:footnote w:type="continuationSeparator" w:id="0">
    <w:p w:rsidR="00AF5C89" w:rsidRDefault="00AF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4CD7"/>
    <w:multiLevelType w:val="multilevel"/>
    <w:tmpl w:val="222A0F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2418CB"/>
    <w:multiLevelType w:val="multilevel"/>
    <w:tmpl w:val="B0AC6786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2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A"/>
    <w:rsid w:val="00031D00"/>
    <w:rsid w:val="0003729F"/>
    <w:rsid w:val="00053076"/>
    <w:rsid w:val="00075C71"/>
    <w:rsid w:val="000A16DA"/>
    <w:rsid w:val="000D4163"/>
    <w:rsid w:val="000E612F"/>
    <w:rsid w:val="001023A0"/>
    <w:rsid w:val="00106D69"/>
    <w:rsid w:val="00163246"/>
    <w:rsid w:val="001C02F1"/>
    <w:rsid w:val="001D78B2"/>
    <w:rsid w:val="001E57E2"/>
    <w:rsid w:val="00213D61"/>
    <w:rsid w:val="002506C3"/>
    <w:rsid w:val="002567D6"/>
    <w:rsid w:val="002B7255"/>
    <w:rsid w:val="002D40CF"/>
    <w:rsid w:val="00330485"/>
    <w:rsid w:val="00351A21"/>
    <w:rsid w:val="00370D88"/>
    <w:rsid w:val="00382294"/>
    <w:rsid w:val="003B13F9"/>
    <w:rsid w:val="003C1664"/>
    <w:rsid w:val="003D7CF6"/>
    <w:rsid w:val="004239A7"/>
    <w:rsid w:val="004560EE"/>
    <w:rsid w:val="00527EF2"/>
    <w:rsid w:val="00591C31"/>
    <w:rsid w:val="005A2A92"/>
    <w:rsid w:val="005B6D15"/>
    <w:rsid w:val="00683D35"/>
    <w:rsid w:val="006A2D1C"/>
    <w:rsid w:val="006D3E7B"/>
    <w:rsid w:val="0070665D"/>
    <w:rsid w:val="007159C8"/>
    <w:rsid w:val="007464CB"/>
    <w:rsid w:val="00752994"/>
    <w:rsid w:val="0078558B"/>
    <w:rsid w:val="007C26CA"/>
    <w:rsid w:val="007D6CB6"/>
    <w:rsid w:val="008219B6"/>
    <w:rsid w:val="008676E8"/>
    <w:rsid w:val="00886336"/>
    <w:rsid w:val="00971AC9"/>
    <w:rsid w:val="00985B7A"/>
    <w:rsid w:val="009D0D54"/>
    <w:rsid w:val="009E10EE"/>
    <w:rsid w:val="00A556FC"/>
    <w:rsid w:val="00AB4F91"/>
    <w:rsid w:val="00AE6A83"/>
    <w:rsid w:val="00AF0ED5"/>
    <w:rsid w:val="00AF2CD8"/>
    <w:rsid w:val="00AF5C89"/>
    <w:rsid w:val="00B01C34"/>
    <w:rsid w:val="00B41263"/>
    <w:rsid w:val="00B42B74"/>
    <w:rsid w:val="00C214BB"/>
    <w:rsid w:val="00CA5DEF"/>
    <w:rsid w:val="00CA62A6"/>
    <w:rsid w:val="00CF566F"/>
    <w:rsid w:val="00CF7B15"/>
    <w:rsid w:val="00D05F47"/>
    <w:rsid w:val="00D24405"/>
    <w:rsid w:val="00D372BB"/>
    <w:rsid w:val="00D42A92"/>
    <w:rsid w:val="00D65255"/>
    <w:rsid w:val="00DC59B9"/>
    <w:rsid w:val="00E01D94"/>
    <w:rsid w:val="00E1632E"/>
    <w:rsid w:val="00E23EAF"/>
    <w:rsid w:val="00E24AB7"/>
    <w:rsid w:val="00E837C0"/>
    <w:rsid w:val="00E84B58"/>
    <w:rsid w:val="00E85989"/>
    <w:rsid w:val="00EA1FAC"/>
    <w:rsid w:val="00EA65DA"/>
    <w:rsid w:val="00ED76D7"/>
    <w:rsid w:val="00EE6A3A"/>
    <w:rsid w:val="00F07791"/>
    <w:rsid w:val="00F14D66"/>
    <w:rsid w:val="00F464FD"/>
    <w:rsid w:val="00F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4890"/>
  <w15:docId w15:val="{1F7943C6-E183-4260-B8B5-E1E51AD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5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5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5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5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5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5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5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5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5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metnaroda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8F1E76-DBBA-42ED-A257-7E074D13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Limprechtová Lucie</cp:lastModifiedBy>
  <cp:revision>3</cp:revision>
  <dcterms:created xsi:type="dcterms:W3CDTF">2026-01-27T13:52:00Z</dcterms:created>
  <dcterms:modified xsi:type="dcterms:W3CDTF">2026-01-27T13:53:00Z</dcterms:modified>
</cp:coreProperties>
</file>