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0" w:line="259" w:lineRule="auto"/>
        <w:rPr/>
      </w:pPr>
      <w:r w:rsidDel="00000000" w:rsidR="00000000" w:rsidRPr="00000000">
        <w:rPr/>
        <w:drawing>
          <wp:anchor allowOverlap="1" behindDoc="0" distB="0" distT="0" distL="114300" distR="114300" hidden="0" layoutInCell="1" locked="0" relativeHeight="0" simplePos="0">
            <wp:simplePos x="0" y="0"/>
            <wp:positionH relativeFrom="margin">
              <wp:posOffset>5902650</wp:posOffset>
            </wp:positionH>
            <wp:positionV relativeFrom="margin">
              <wp:posOffset>-561974</wp:posOffset>
            </wp:positionV>
            <wp:extent cx="738188" cy="205360"/>
            <wp:effectExtent b="0" l="0" r="0" t="0"/>
            <wp:wrapNone/>
            <wp:docPr id="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8188" cy="205360"/>
                    </a:xfrm>
                    <a:prstGeom prst="rect"/>
                    <a:ln/>
                  </pic:spPr>
                </pic:pic>
              </a:graphicData>
            </a:graphic>
          </wp:anchor>
        </w:drawing>
      </w:r>
      <w:r w:rsidDel="00000000" w:rsidR="00000000" w:rsidRPr="00000000">
        <w:rPr>
          <w:rtl w:val="0"/>
        </w:rPr>
        <w:t xml:space="preserve">PECOSTA poskytuje KLIENTOVI službu Automatizovaného naskladňování za podmínek sjednaných v Objednávce, jejíž nedílnou součástí jsou tyto DOP.  </w:t>
      </w:r>
    </w:p>
    <w:p w:rsidR="00000000" w:rsidDel="00000000" w:rsidP="00000000" w:rsidRDefault="00000000" w:rsidRPr="00000000" w14:paraId="00000002">
      <w:pPr>
        <w:spacing w:after="160" w:before="0" w:line="259" w:lineRule="auto"/>
        <w:rPr/>
      </w:pPr>
      <w:r w:rsidDel="00000000" w:rsidR="00000000" w:rsidRPr="00000000">
        <w:rPr>
          <w:rtl w:val="0"/>
        </w:rPr>
        <w:t xml:space="preserve">DOP platí od 1. 1. 2022.</w:t>
      </w:r>
    </w:p>
    <w:p w:rsidR="00000000" w:rsidDel="00000000" w:rsidP="00000000" w:rsidRDefault="00000000" w:rsidRPr="00000000" w14:paraId="00000003">
      <w:pPr>
        <w:spacing w:after="160" w:before="0" w:line="259" w:lineRule="auto"/>
        <w:rPr>
          <w:b w:val="1"/>
          <w:color w:val="1265a7"/>
        </w:rPr>
      </w:pPr>
      <w:r w:rsidDel="00000000" w:rsidR="00000000" w:rsidRPr="00000000">
        <w:rPr>
          <w:b w:val="1"/>
          <w:color w:val="1265a7"/>
          <w:rtl w:val="0"/>
        </w:rPr>
        <w:t xml:space="preserve">TRVÁNÍ SMLUVNÍHO VZTAHU</w:t>
      </w:r>
    </w:p>
    <w:p w:rsidR="00000000" w:rsidDel="00000000" w:rsidP="00000000" w:rsidRDefault="00000000" w:rsidRPr="00000000" w14:paraId="00000004">
      <w:pPr>
        <w:rPr/>
      </w:pPr>
      <w:r w:rsidDel="00000000" w:rsidR="00000000" w:rsidRPr="00000000">
        <w:rPr>
          <w:rtl w:val="0"/>
        </w:rPr>
        <w:t xml:space="preserve">Smluvní vztah mezi PECOSTA a KLIENTEM vstupuje v platnost podpisem Objednávky. Spuštění poskytování služby, resp. účinnost smluvního vztahu, je podmíněno vyplněním </w:t>
      </w:r>
      <w:r w:rsidDel="00000000" w:rsidR="00000000" w:rsidRPr="00000000">
        <w:rPr>
          <w:b w:val="1"/>
          <w:rtl w:val="0"/>
        </w:rPr>
        <w:t xml:space="preserve">seznamu provozoven</w:t>
      </w:r>
      <w:r w:rsidDel="00000000" w:rsidR="00000000" w:rsidRPr="00000000">
        <w:rPr>
          <w:rtl w:val="0"/>
        </w:rPr>
        <w:t xml:space="preserve">, </w:t>
      </w:r>
      <w:r w:rsidDel="00000000" w:rsidR="00000000" w:rsidRPr="00000000">
        <w:rPr>
          <w:b w:val="1"/>
          <w:rtl w:val="0"/>
        </w:rPr>
        <w:t xml:space="preserve">seznamu dodavatelů</w:t>
      </w:r>
      <w:r w:rsidDel="00000000" w:rsidR="00000000" w:rsidRPr="00000000">
        <w:rPr>
          <w:rtl w:val="0"/>
        </w:rPr>
        <w:t xml:space="preserve"> KLIENTA (dále jen „konfigurace“). </w:t>
      </w:r>
    </w:p>
    <w:p w:rsidR="00000000" w:rsidDel="00000000" w:rsidP="00000000" w:rsidRDefault="00000000" w:rsidRPr="00000000" w14:paraId="00000005">
      <w:pPr>
        <w:spacing w:after="160" w:before="0" w:line="259" w:lineRule="auto"/>
        <w:rPr/>
      </w:pPr>
      <w:r w:rsidDel="00000000" w:rsidR="00000000" w:rsidRPr="00000000">
        <w:rPr>
          <w:rtl w:val="0"/>
        </w:rPr>
        <w:t xml:space="preserve">Smluvní vztah lze ukončit výpovědí bez udání důvodu s jednoměsíční výpovědní lhůtou, která začíná plynout prvním dnem měsíce následujícího po dni podání výpovědi. </w:t>
      </w:r>
    </w:p>
    <w:p w:rsidR="00000000" w:rsidDel="00000000" w:rsidP="00000000" w:rsidRDefault="00000000" w:rsidRPr="00000000" w14:paraId="00000006">
      <w:pPr>
        <w:spacing w:after="160" w:before="0" w:line="259" w:lineRule="auto"/>
        <w:rPr/>
      </w:pPr>
      <w:bookmarkStart w:colFirst="0" w:colLast="0" w:name="_heading=h.gjdgxs" w:id="0"/>
      <w:bookmarkEnd w:id="0"/>
      <w:r w:rsidDel="00000000" w:rsidR="00000000" w:rsidRPr="00000000">
        <w:rPr>
          <w:rtl w:val="0"/>
        </w:rPr>
        <w:t xml:space="preserve">Ukončením smluvního vztahu zároveň končí pověření k zastupování (plná moc) KLIENTA ze strany PECOSTA </w:t>
        <w:br w:type="textWrapping"/>
        <w:t xml:space="preserve">a souhlas s nahlížením do databáze skladového systému KLIENTA. PECOSTA má povinnost o ukončení smluvního vztahu neprodleně informovat dodavatele KLIENTA.</w:t>
      </w:r>
    </w:p>
    <w:p w:rsidR="00000000" w:rsidDel="00000000" w:rsidP="00000000" w:rsidRDefault="00000000" w:rsidRPr="00000000" w14:paraId="00000007">
      <w:pPr>
        <w:spacing w:after="160" w:before="0" w:line="259" w:lineRule="auto"/>
        <w:rPr>
          <w:b w:val="1"/>
          <w:color w:val="1265a7"/>
        </w:rPr>
      </w:pPr>
      <w:r w:rsidDel="00000000" w:rsidR="00000000" w:rsidRPr="00000000">
        <w:rPr>
          <w:b w:val="1"/>
          <w:color w:val="1265a7"/>
          <w:rtl w:val="0"/>
        </w:rPr>
        <w:t xml:space="preserve">POŽADAVKY NA SOUČINNOST</w:t>
      </w:r>
    </w:p>
    <w:p w:rsidR="00000000" w:rsidDel="00000000" w:rsidP="00000000" w:rsidRDefault="00000000" w:rsidRPr="00000000" w14:paraId="00000008">
      <w:pPr>
        <w:spacing w:after="160" w:before="0" w:line="259" w:lineRule="auto"/>
        <w:rPr/>
      </w:pPr>
      <w:r w:rsidDel="00000000" w:rsidR="00000000" w:rsidRPr="00000000">
        <w:rPr>
          <w:rtl w:val="0"/>
        </w:rPr>
        <w:t xml:space="preserve">KLIENT poskytne PECOSTA součinnost v rozsahu nezbytném pro dosažení splnění předmětu Objednávky.</w:t>
      </w:r>
    </w:p>
    <w:p w:rsidR="00000000" w:rsidDel="00000000" w:rsidP="00000000" w:rsidRDefault="00000000" w:rsidRPr="00000000" w14:paraId="00000009">
      <w:pPr>
        <w:spacing w:after="160" w:before="0" w:line="259" w:lineRule="auto"/>
        <w:rPr/>
      </w:pPr>
      <w:r w:rsidDel="00000000" w:rsidR="00000000" w:rsidRPr="00000000">
        <w:rPr>
          <w:rtl w:val="0"/>
        </w:rPr>
        <w:t xml:space="preserve">V případě, že některý z dodavatelů KLIENTA v požadované konfiguraci je schopen zasílat e-dokumenty pouze prostřednictvím mezinárodní platformy EDI, je podmínkou úspěšného přenosu e-dokumentů, aby KLIENT získal od neziskové společnosti GS1 Czech Republic tzv. GLN kódy (Globální lokalizační čísla), potřebné pro komunikaci prostřednictvím platformy EDI.</w:t>
      </w:r>
    </w:p>
    <w:p w:rsidR="00000000" w:rsidDel="00000000" w:rsidP="00000000" w:rsidRDefault="00000000" w:rsidRPr="00000000" w14:paraId="0000000A">
      <w:pPr>
        <w:spacing w:after="160" w:before="0" w:line="259" w:lineRule="auto"/>
        <w:rPr>
          <w:b w:val="1"/>
          <w:color w:val="1265a7"/>
        </w:rPr>
      </w:pPr>
      <w:r w:rsidDel="00000000" w:rsidR="00000000" w:rsidRPr="00000000">
        <w:rPr>
          <w:b w:val="1"/>
          <w:color w:val="1265a7"/>
          <w:rtl w:val="0"/>
        </w:rPr>
        <w:t xml:space="preserve">ODMĚNA A PLATEBNÍ PODMÍNKY</w:t>
      </w:r>
    </w:p>
    <w:p w:rsidR="00000000" w:rsidDel="00000000" w:rsidP="00000000" w:rsidRDefault="00000000" w:rsidRPr="00000000" w14:paraId="0000000B">
      <w:pPr>
        <w:spacing w:after="160" w:before="0" w:line="259" w:lineRule="auto"/>
        <w:rPr/>
      </w:pPr>
      <w:r w:rsidDel="00000000" w:rsidR="00000000" w:rsidRPr="00000000">
        <w:rPr>
          <w:rtl w:val="0"/>
        </w:rPr>
        <w:t xml:space="preserve">Odměna PECOSTA je stanovena Ceníkem služby Automatizovaného naskladňování, který také tvoří nedílnou součást smluvního vztahu mezi KLIENTEM a PECOSTA.</w:t>
      </w:r>
    </w:p>
    <w:p w:rsidR="00000000" w:rsidDel="00000000" w:rsidP="00000000" w:rsidRDefault="00000000" w:rsidRPr="00000000" w14:paraId="0000000C">
      <w:pPr>
        <w:spacing w:after="160" w:before="0" w:line="259" w:lineRule="auto"/>
        <w:rPr/>
      </w:pPr>
      <w:r w:rsidDel="00000000" w:rsidR="00000000" w:rsidRPr="00000000">
        <w:rPr>
          <w:rtl w:val="0"/>
        </w:rPr>
        <w:t xml:space="preserve">Odměna je KLIENTOVI účtována souhrnně za každý kalendářní měsíc. Pro účely fakturace bude k odměně připočtena daň z přidané hodnoty dle platných právních předpisů. PECOSTA vystaví KLIENTOVI pro účely úhrady odměny fakturu („daňový doklad“) se lhůtou splatnosti 14 dnů. Faktura bude dále obsahovat také náležitosti dle zákona č. 235/2004 Sb., o dani z přidané hodnoty, ve znění pozdějších předpisů, a údaje dle §435 zákona č. 89/2012 Sb., občanský zákoník. PECOSTA bude zasílat faktury KLIENTOVI v elektronické formě do e-mailové schránky zástupce pro věci provozní, uvedené v Objednávce. Úhrada odměny bude provedena bezhotovostní formou, převodem na bankovní účet vedený u ČSOB, a.s. 296247642/0300.</w:t>
      </w:r>
    </w:p>
    <w:p w:rsidR="00000000" w:rsidDel="00000000" w:rsidP="00000000" w:rsidRDefault="00000000" w:rsidRPr="00000000" w14:paraId="0000000D">
      <w:pPr>
        <w:spacing w:after="160" w:before="0" w:line="256" w:lineRule="auto"/>
        <w:rPr/>
      </w:pPr>
      <w:r w:rsidDel="00000000" w:rsidR="00000000" w:rsidRPr="00000000">
        <w:rPr>
          <w:rtl w:val="0"/>
        </w:rPr>
        <w:t xml:space="preserve">PECOSTA má právo fixní složku odměny navyšovat o průměrnou roční míru inflace, vyjádřenou přírůstkem indexu spotřebitelských cen za předchozí rok. Zvýšení odměny je účinné vždy k 1.1. následujícího roku. Základem pro zvyšování odměny je odměna již zvýšená dle této inflační doložky v předchozích letech trvání smluvního vztahu.</w:t>
      </w:r>
    </w:p>
    <w:p w:rsidR="00000000" w:rsidDel="00000000" w:rsidP="00000000" w:rsidRDefault="00000000" w:rsidRPr="00000000" w14:paraId="0000000E">
      <w:pPr>
        <w:spacing w:after="160" w:before="0" w:line="256" w:lineRule="auto"/>
        <w:jc w:val="left"/>
        <w:rPr/>
      </w:pPr>
      <w:r w:rsidDel="00000000" w:rsidR="00000000" w:rsidRPr="00000000">
        <w:rPr>
          <w:rtl w:val="0"/>
        </w:rPr>
        <w:t xml:space="preserve">Průměrná roční míra inflace je vyhlašována Českým statistickým úřadem: </w:t>
      </w:r>
      <w:hyperlink r:id="rId8">
        <w:r w:rsidDel="00000000" w:rsidR="00000000" w:rsidRPr="00000000">
          <w:rPr>
            <w:rtl w:val="0"/>
          </w:rPr>
          <w:t xml:space="preserve">https://www.czso.cz/csu/czso/inflace_spotrebitelske_ceny</w:t>
        </w:r>
      </w:hyperlink>
      <w:r w:rsidDel="00000000" w:rsidR="00000000" w:rsidRPr="00000000">
        <w:rPr>
          <w:rtl w:val="0"/>
        </w:rPr>
      </w:r>
    </w:p>
    <w:p w:rsidR="00000000" w:rsidDel="00000000" w:rsidP="00000000" w:rsidRDefault="00000000" w:rsidRPr="00000000" w14:paraId="0000000F">
      <w:pPr>
        <w:spacing w:after="160" w:before="0" w:line="259" w:lineRule="auto"/>
        <w:rPr>
          <w:b w:val="1"/>
          <w:color w:val="1265a7"/>
        </w:rPr>
      </w:pPr>
      <w:r w:rsidDel="00000000" w:rsidR="00000000" w:rsidRPr="00000000">
        <w:rPr>
          <w:b w:val="1"/>
          <w:color w:val="1265a7"/>
          <w:rtl w:val="0"/>
        </w:rPr>
        <w:t xml:space="preserve">OSTATNÍ USTANOVENÍ</w:t>
      </w:r>
    </w:p>
    <w:p w:rsidR="00000000" w:rsidDel="00000000" w:rsidP="00000000" w:rsidRDefault="00000000" w:rsidRPr="00000000" w14:paraId="00000010">
      <w:pPr>
        <w:spacing w:after="160" w:before="0" w:line="259" w:lineRule="auto"/>
        <w:rPr/>
      </w:pPr>
      <w:r w:rsidDel="00000000" w:rsidR="00000000" w:rsidRPr="00000000">
        <w:rPr>
          <w:rtl w:val="0"/>
        </w:rPr>
        <w:t xml:space="preserve">Veškeré informace uvedené v Objednávce, jejích přílohách, popř. použité v rámci závazkového právního vztahu smluvních stran, jsou obchodním tajemstvím a jako takové podléhají, a to i pokud jsou získány od třetích osob, povinnosti mlčenlivosti nebo jinému postupu směřujícímu k ochraně před zneužitím a zveřejněním.</w:t>
      </w:r>
    </w:p>
    <w:p w:rsidR="00000000" w:rsidDel="00000000" w:rsidP="00000000" w:rsidRDefault="00000000" w:rsidRPr="00000000" w14:paraId="00000011">
      <w:pPr>
        <w:spacing w:after="160" w:before="0" w:line="259" w:lineRule="auto"/>
        <w:rPr/>
      </w:pPr>
      <w:r w:rsidDel="00000000" w:rsidR="00000000" w:rsidRPr="00000000">
        <w:rPr>
          <w:rtl w:val="0"/>
        </w:rPr>
        <w:t xml:space="preserve">KLIENT uděluje PECOSTA souhlas s užíváním loga a jména KLIENTA za účelem marketingové prezentace služeb PECOSTA dalším subjektům či klientům. </w:t>
      </w:r>
    </w:p>
    <w:p w:rsidR="00000000" w:rsidDel="00000000" w:rsidP="00000000" w:rsidRDefault="00000000" w:rsidRPr="00000000" w14:paraId="00000012">
      <w:pPr>
        <w:spacing w:after="160" w:before="0" w:line="259" w:lineRule="auto"/>
        <w:rPr/>
      </w:pPr>
      <w:r w:rsidDel="00000000" w:rsidR="00000000" w:rsidRPr="00000000">
        <w:rPr>
          <w:rtl w:val="0"/>
        </w:rPr>
        <w:t xml:space="preserve">Smluvní vztahy vyplývající z Objednávky či jejích příloh se řídí právním řádem České republiky, zejména příslušnými ustanoveními zák. č. 89/2012 Sb., občanský zákoník, ve znění pozdějších předpisů.</w:t>
      </w:r>
    </w:p>
    <w:sectPr>
      <w:headerReference r:id="rId9" w:type="default"/>
      <w:footerReference r:id="rId10" w:type="default"/>
      <w:pgSz w:h="16838" w:w="11906" w:orient="portrait"/>
      <w:pgMar w:bottom="720" w:top="2440" w:left="720" w:right="720" w:header="568" w:footer="4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-57149</wp:posOffset>
          </wp:positionH>
          <wp:positionV relativeFrom="paragraph">
            <wp:posOffset>95251</wp:posOffset>
          </wp:positionV>
          <wp:extent cx="1452563" cy="343511"/>
          <wp:effectExtent b="0" l="0" r="0" t="0"/>
          <wp:wrapSquare wrapText="bothSides" distB="114300" distT="114300" distL="114300" distR="114300"/>
          <wp:docPr id="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52563" cy="343511"/>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right"/>
      <w:rPr>
        <w:rFonts w:ascii="Arial" w:cs="Arial" w:eastAsia="Arial" w:hAnsi="Arial"/>
        <w:b w:val="1"/>
        <w:i w:val="0"/>
        <w:smallCaps w:val="0"/>
        <w:strike w:val="0"/>
        <w:color w:val="404040"/>
        <w:sz w:val="18"/>
        <w:szCs w:val="18"/>
        <w:u w:val="none"/>
        <w:shd w:fill="auto" w:val="clear"/>
        <w:vertAlign w:val="baseline"/>
      </w:rPr>
    </w:pPr>
    <w:r w:rsidDel="00000000" w:rsidR="00000000" w:rsidRPr="00000000">
      <w:rPr>
        <w:rFonts w:ascii="Arial" w:cs="Arial" w:eastAsia="Arial" w:hAnsi="Arial"/>
        <w:b w:val="1"/>
        <w:i w:val="0"/>
        <w:smallCaps w:val="0"/>
        <w:strike w:val="0"/>
        <w:color w:val="404040"/>
        <w:sz w:val="18"/>
        <w:szCs w:val="18"/>
        <w:u w:val="none"/>
        <w:shd w:fill="auto" w:val="clear"/>
        <w:vertAlign w:val="baseline"/>
        <w:rtl w:val="0"/>
      </w:rPr>
      <w:t xml:space="preserve">Příloha č. 2 OBJEDNÁVKY: Automatizované naskladňování – DALŠÍ OBCHODNÍ PODMÍNKY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right"/>
      <w:rPr>
        <w:rFonts w:ascii="Arial" w:cs="Arial" w:eastAsia="Arial" w:hAnsi="Arial"/>
        <w:b w:val="1"/>
        <w:i w:val="0"/>
        <w:smallCaps w:val="0"/>
        <w:strike w:val="0"/>
        <w:color w:val="404040"/>
        <w:sz w:val="18"/>
        <w:szCs w:val="18"/>
        <w:u w:val="none"/>
        <w:shd w:fill="auto" w:val="clear"/>
        <w:vertAlign w:val="baseline"/>
      </w:rPr>
    </w:pPr>
    <w:r w:rsidDel="00000000" w:rsidR="00000000" w:rsidRPr="00000000">
      <w:rPr>
        <w:rFonts w:ascii="Arial" w:cs="Arial" w:eastAsia="Arial" w:hAnsi="Arial"/>
        <w:b w:val="0"/>
        <w:i w:val="0"/>
        <w:smallCaps w:val="0"/>
        <w:strike w:val="0"/>
        <w:color w:val="404040"/>
        <w:sz w:val="18"/>
        <w:szCs w:val="18"/>
        <w:u w:val="none"/>
        <w:shd w:fill="auto" w:val="clear"/>
        <w:vertAlign w:val="baseline"/>
        <w:rtl w:val="0"/>
      </w:rPr>
      <w:t xml:space="preserve">(dále jen „DOP“)</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both"/>
      <w:rPr>
        <w:rFonts w:ascii="Arial" w:cs="Arial" w:eastAsia="Arial" w:hAnsi="Arial"/>
        <w:b w:val="1"/>
        <w:i w:val="0"/>
        <w:smallCaps w:val="0"/>
        <w:strike w:val="0"/>
        <w:color w:val="40404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both"/>
      <w:rPr>
        <w:rFonts w:ascii="Arial" w:cs="Arial" w:eastAsia="Arial" w:hAnsi="Arial"/>
        <w:b w:val="0"/>
        <w:i w:val="0"/>
        <w:smallCaps w:val="0"/>
        <w:strike w:val="0"/>
        <w:sz w:val="16"/>
        <w:szCs w:val="16"/>
        <w:u w:val="none"/>
        <w:shd w:fill="auto" w:val="clear"/>
        <w:vertAlign w:val="baseline"/>
      </w:rPr>
    </w:pPr>
    <w:r w:rsidDel="00000000" w:rsidR="00000000" w:rsidRPr="00000000">
      <w:rPr>
        <w:rFonts w:ascii="Arial" w:cs="Arial" w:eastAsia="Arial" w:hAnsi="Arial"/>
        <w:b w:val="1"/>
        <w:i w:val="0"/>
        <w:smallCaps w:val="0"/>
        <w:strike w:val="0"/>
        <w:color w:val="404040"/>
        <w:sz w:val="18"/>
        <w:szCs w:val="18"/>
        <w:u w:val="none"/>
        <w:shd w:fill="auto" w:val="clear"/>
        <w:vertAlign w:val="baseline"/>
        <w:rtl w:val="0"/>
      </w:rPr>
      <w:t xml:space="preserve">PECOSTA, a.s., </w:t>
    </w:r>
    <w:r w:rsidDel="00000000" w:rsidR="00000000" w:rsidRPr="00000000">
      <w:rPr>
        <w:rFonts w:ascii="Arial" w:cs="Arial" w:eastAsia="Arial" w:hAnsi="Arial"/>
        <w:b w:val="0"/>
        <w:i w:val="0"/>
        <w:smallCaps w:val="0"/>
        <w:strike w:val="0"/>
        <w:color w:val="404040"/>
        <w:sz w:val="16"/>
        <w:szCs w:val="16"/>
        <w:u w:val="none"/>
        <w:shd w:fill="auto" w:val="clear"/>
        <w:vertAlign w:val="baseline"/>
        <w:rtl w:val="0"/>
      </w:rPr>
      <w:t xml:space="preserve">IČ: 09708464, Sídlo: </w:t>
    </w:r>
    <w:r w:rsidDel="00000000" w:rsidR="00000000" w:rsidRPr="00000000">
      <w:rPr>
        <w:color w:val="404040"/>
        <w:sz w:val="16"/>
        <w:szCs w:val="16"/>
        <w:rtl w:val="0"/>
      </w:rPr>
      <w:t xml:space="preserve">Kořenského 1262/40, 703 00 Ostrava,</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404040"/>
        <w:sz w:val="18"/>
        <w:szCs w:val="18"/>
        <w:u w:val="none"/>
        <w:shd w:fill="auto" w:val="clear"/>
        <w:vertAlign w:val="baseline"/>
        <w:rtl w:val="0"/>
      </w:rPr>
      <w:t xml:space="preserve">(dále jen „PECOSTA“)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cs-CZ"/>
      </w:rPr>
    </w:rPrDefault>
    <w:pPrDefault>
      <w:pPr>
        <w:spacing w:after="40" w:before="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8A4480"/>
    <w:pPr>
      <w:spacing w:after="40" w:before="40" w:line="240" w:lineRule="auto"/>
      <w:jc w:val="both"/>
    </w:pPr>
    <w:rPr>
      <w:rFonts w:ascii="Arial" w:hAnsi="Arial"/>
      <w:sz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hlav">
    <w:name w:val="header"/>
    <w:basedOn w:val="Normln"/>
    <w:link w:val="ZhlavChar"/>
    <w:uiPriority w:val="99"/>
    <w:unhideWhenUsed w:val="1"/>
    <w:rsid w:val="008A4480"/>
    <w:pPr>
      <w:tabs>
        <w:tab w:val="center" w:pos="4536"/>
        <w:tab w:val="right" w:pos="9072"/>
      </w:tabs>
      <w:spacing w:after="0"/>
    </w:pPr>
  </w:style>
  <w:style w:type="character" w:styleId="ZhlavChar" w:customStyle="1">
    <w:name w:val="Záhlaví Char"/>
    <w:basedOn w:val="Standardnpsmoodstavce"/>
    <w:link w:val="Zhlav"/>
    <w:uiPriority w:val="99"/>
    <w:rsid w:val="008A4480"/>
    <w:rPr>
      <w:rFonts w:ascii="Arial" w:hAnsi="Arial"/>
    </w:rPr>
  </w:style>
  <w:style w:type="paragraph" w:styleId="Zpat">
    <w:name w:val="footer"/>
    <w:basedOn w:val="Normln"/>
    <w:link w:val="ZpatChar"/>
    <w:uiPriority w:val="99"/>
    <w:unhideWhenUsed w:val="1"/>
    <w:rsid w:val="008A4480"/>
    <w:pPr>
      <w:tabs>
        <w:tab w:val="center" w:pos="4536"/>
        <w:tab w:val="right" w:pos="9072"/>
      </w:tabs>
      <w:spacing w:after="0"/>
    </w:pPr>
  </w:style>
  <w:style w:type="character" w:styleId="ZpatChar" w:customStyle="1">
    <w:name w:val="Zápatí Char"/>
    <w:basedOn w:val="Standardnpsmoodstavce"/>
    <w:link w:val="Zpat"/>
    <w:uiPriority w:val="99"/>
    <w:rsid w:val="008A4480"/>
    <w:rPr>
      <w:rFonts w:ascii="Arial" w:hAnsi="Arial"/>
    </w:rPr>
  </w:style>
  <w:style w:type="table" w:styleId="Mkatabulky">
    <w:name w:val="Table Grid"/>
    <w:basedOn w:val="Normlntabulka"/>
    <w:uiPriority w:val="59"/>
    <w:rsid w:val="008A4480"/>
    <w:pPr>
      <w:spacing w:after="0" w:line="240" w:lineRule="auto"/>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textovodkaz">
    <w:name w:val="Hyperlink"/>
    <w:basedOn w:val="Standardnpsmoodstavce"/>
    <w:uiPriority w:val="99"/>
    <w:unhideWhenUsed w:val="1"/>
    <w:rsid w:val="004D52CD"/>
    <w:rPr>
      <w:color w:val="0563c1" w:themeColor="hyperlink"/>
      <w:u w:val="single"/>
    </w:rPr>
  </w:style>
  <w:style w:type="character" w:styleId="Nevyeenzmnka1" w:customStyle="1">
    <w:name w:val="Nevyřešená zmínka1"/>
    <w:basedOn w:val="Standardnpsmoodstavce"/>
    <w:uiPriority w:val="99"/>
    <w:semiHidden w:val="1"/>
    <w:unhideWhenUsed w:val="1"/>
    <w:rsid w:val="004D52CD"/>
    <w:rPr>
      <w:color w:val="605e5c"/>
      <w:shd w:color="auto" w:fill="e1dfdd" w:val="clear"/>
    </w:rPr>
  </w:style>
  <w:style w:type="paragraph" w:styleId="Odstavecseseznamem">
    <w:name w:val="List Paragraph"/>
    <w:basedOn w:val="Normln"/>
    <w:uiPriority w:val="34"/>
    <w:qFormat w:val="1"/>
    <w:rsid w:val="00FE0D95"/>
    <w:pPr>
      <w:ind w:left="720"/>
      <w:contextualSpacing w:val="1"/>
    </w:pPr>
  </w:style>
  <w:style w:type="paragraph" w:styleId="Revize">
    <w:name w:val="Revision"/>
    <w:hidden w:val="1"/>
    <w:uiPriority w:val="99"/>
    <w:semiHidden w:val="1"/>
    <w:rsid w:val="00D17831"/>
    <w:pPr>
      <w:spacing w:after="0" w:line="240" w:lineRule="auto"/>
    </w:pPr>
    <w:rPr>
      <w:rFonts w:ascii="Arial" w:hAnsi="Arial"/>
      <w:sz w:val="20"/>
    </w:rPr>
  </w:style>
  <w:style w:type="character" w:styleId="Odkaznakoment">
    <w:name w:val="annotation reference"/>
    <w:basedOn w:val="Standardnpsmoodstavce"/>
    <w:uiPriority w:val="99"/>
    <w:semiHidden w:val="1"/>
    <w:unhideWhenUsed w:val="1"/>
    <w:rsid w:val="00D17831"/>
    <w:rPr>
      <w:sz w:val="16"/>
      <w:szCs w:val="16"/>
    </w:rPr>
  </w:style>
  <w:style w:type="paragraph" w:styleId="Textkomente">
    <w:name w:val="annotation text"/>
    <w:basedOn w:val="Normln"/>
    <w:link w:val="TextkomenteChar"/>
    <w:uiPriority w:val="99"/>
    <w:semiHidden w:val="1"/>
    <w:unhideWhenUsed w:val="1"/>
    <w:rsid w:val="00D17831"/>
    <w:rPr>
      <w:szCs w:val="20"/>
    </w:rPr>
  </w:style>
  <w:style w:type="character" w:styleId="TextkomenteChar" w:customStyle="1">
    <w:name w:val="Text komentáře Char"/>
    <w:basedOn w:val="Standardnpsmoodstavce"/>
    <w:link w:val="Textkomente"/>
    <w:uiPriority w:val="99"/>
    <w:semiHidden w:val="1"/>
    <w:rsid w:val="00D17831"/>
    <w:rPr>
      <w:rFonts w:ascii="Arial" w:hAnsi="Arial"/>
      <w:sz w:val="20"/>
      <w:szCs w:val="20"/>
    </w:rPr>
  </w:style>
  <w:style w:type="paragraph" w:styleId="Pedmtkomente">
    <w:name w:val="annotation subject"/>
    <w:basedOn w:val="Textkomente"/>
    <w:next w:val="Textkomente"/>
    <w:link w:val="PedmtkomenteChar"/>
    <w:uiPriority w:val="99"/>
    <w:semiHidden w:val="1"/>
    <w:unhideWhenUsed w:val="1"/>
    <w:rsid w:val="00D17831"/>
    <w:rPr>
      <w:b w:val="1"/>
      <w:bCs w:val="1"/>
    </w:rPr>
  </w:style>
  <w:style w:type="character" w:styleId="PedmtkomenteChar" w:customStyle="1">
    <w:name w:val="Předmět komentáře Char"/>
    <w:basedOn w:val="TextkomenteChar"/>
    <w:link w:val="Pedmtkomente"/>
    <w:uiPriority w:val="99"/>
    <w:semiHidden w:val="1"/>
    <w:rsid w:val="00D17831"/>
    <w:rPr>
      <w:rFonts w:ascii="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zso.cz/csu/czso/inflace_spotrebitelske_ce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q2xda2orwZwjRthWBSIRWLc8aA==">CgMxLjAyCGguZ2pkZ3hzOAByITEtSjRCdkE4cDVyT0gyb2ZlTEVwQzh4SEV4elVmOFJjSw==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2023-03-07T11:52:00Z</dcterms:created>
  <dc:creator>Petr Kostelny</dc:creator>
</cp:coreProperties>
</file>