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4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dodavatele č. 1392/2021</w:t>
      </w:r>
      <w:bookmarkEnd w:id="3"/>
      <w:bookmarkEnd w:id="4"/>
      <w:bookmarkEnd w:id="5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(smlouva odběratele č. 0007-2022)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úplatném odběru povrchové vody a službě dodávky vody prostřednictvím průmyslových</w:t>
        <w:br/>
        <w:t>vodovodů a umělých přivaděčů, uzavřená podle § 1746, odst. 2 zákona č. 89/2012 Sb.,</w:t>
        <w:br/>
        <w:t>občanského zákoníku, v platném znění, s odběratelem č. 1016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160" w:line="240" w:lineRule="auto"/>
        <w:ind w:left="0" w:right="0" w:firstLine="0"/>
        <w:jc w:val="left"/>
      </w:pPr>
      <w:bookmarkStart w:id="9" w:name="bookmark9"/>
      <w:bookmarkEnd w:id="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 13052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23" w:val="left"/>
        </w:tabs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  <w:tab/>
        <w:t>ORLEN Unipetrol RPA, s.r.o., Litvínov – Záluží 1, PSČ 436 70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zapsána v obchodním rejstříku u Krajského soudu v Ústí nad Labem v oddílu C, vložce č.24430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Tomášem Wolfem, ředitelem nákupu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23" w:val="left"/>
        </w:tabs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27597075</w:t>
        <w:tab/>
        <w:t>DIČ k DPH: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upm88qu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0" w:right="0" w:firstLine="0"/>
        <w:jc w:val="left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dodatku je změna a doplnění následujících článků smlouvy dodavatele č. 1392/2021 (smlouvy odběratele č. 0007-2022):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Článek VIII, bod 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VIII. Ostatní ujednání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850" w:val="left"/>
        </w:tabs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4) Předpokládané množství odebrané vody v roce 2026 ve výši</w:t>
        <w:tab/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0"/>
        <w:gridCol w:w="1867"/>
        <w:gridCol w:w="1253"/>
        <w:gridCol w:w="1819"/>
        <w:gridCol w:w="1157"/>
        <w:gridCol w:w="1925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IV, bod 2 a 3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Cena a platební podmínky</w:t>
      </w:r>
      <w:bookmarkEnd w:id="11"/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7" w:val="left"/>
          <w:tab w:pos="3479" w:val="left"/>
        </w:tabs>
        <w:bidi w:val="0"/>
        <w:spacing w:before="0" w:line="240" w:lineRule="auto"/>
        <w:ind w:left="0" w:right="0" w:firstLine="30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bez DPH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služby čerpání a dopravy vody v období od 1.1.2026 do 31.12.2026 je stanovena takto: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7" w:val="left"/>
          <w:tab w:pos="3479" w:val="left"/>
        </w:tabs>
        <w:bidi w:val="0"/>
        <w:spacing w:before="0" w:after="0" w:line="240" w:lineRule="auto"/>
        <w:ind w:left="0" w:right="0" w:firstLine="3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12,28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7" w:val="left"/>
          <w:tab w:pos="3479" w:val="left"/>
        </w:tabs>
        <w:bidi w:val="0"/>
        <w:spacing w:before="0" w:line="240" w:lineRule="auto"/>
        <w:ind w:left="0" w:right="0" w:firstLine="30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 vody z PKP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2,94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7" w:val="left"/>
        </w:tabs>
        <w:bidi w:val="0"/>
        <w:spacing w:before="0" w:after="440" w:line="240" w:lineRule="auto"/>
        <w:ind w:left="0" w:right="0" w:firstLine="3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fixní platba za zajištěnost dodávky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576 701,-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Kč/měsíc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cenám bude připočtena DPH dle zákona č. 235/2004 Sb.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240" w:line="240" w:lineRule="auto"/>
        <w:ind w:left="0" w:right="0" w:firstLine="0"/>
        <w:jc w:val="left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6" w:val="left"/>
        </w:tabs>
        <w:bidi w:val="0"/>
        <w:spacing w:before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4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4 smlouvy. Tento dodatek je vy</w:t>
        <w:softHyphen/>
        <w:t>hotoven ve dvou vyhotoveních, z nichž každý má platnost originálu. Každá ze smluvních stran obdrží jedno vyhotovení dodatku.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6" w:val="left"/>
        </w:tabs>
        <w:bidi w:val="0"/>
        <w:spacing w:before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6" w:val="left"/>
        </w:tabs>
        <w:bidi w:val="0"/>
        <w:spacing w:before="0" w:after="640" w:line="240" w:lineRule="auto"/>
        <w:ind w:left="580" w:right="0" w:hanging="58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smlouvy nabývá platnosti dnem jeho podpisu poslední ze smluvních stran a účinnosti zveřejněním v Registru smluv, pokud této účinnosti dle příslušných ustanovení smlouvy nenabude později. Plnění předmětu tohoto dodatku smlouvy před účinností tohoto do</w:t>
        <w:softHyphen/>
        <w:t>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12700</wp:posOffset>
                </wp:positionV>
                <wp:extent cx="1761490" cy="94170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941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Litvínově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7.40000000000003pt;margin-top:1.pt;width:138.70000000000002pt;height:74.15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Litvínově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69" w:val="left"/>
        </w:tabs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</w:t>
      </w:r>
    </w:p>
    <w:sectPr>
      <w:footnotePr>
        <w:pos w:val="pageBottom"/>
        <w:numFmt w:val="decimal"/>
        <w:numRestart w:val="continuous"/>
      </w:footnotePr>
      <w:pgSz w:w="11909" w:h="16838"/>
      <w:pgMar w:top="1358" w:left="1342" w:right="1335" w:bottom="1753" w:header="930" w:footer="132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ind w:left="16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č</dc:title>
  <dc:subject/>
  <dc:creator>Jelinkova</dc:creator>
  <cp:keywords/>
</cp:coreProperties>
</file>