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08"/>
        <w:gridCol w:w="233"/>
        <w:gridCol w:w="256"/>
        <w:gridCol w:w="254"/>
        <w:gridCol w:w="253"/>
        <w:gridCol w:w="252"/>
        <w:gridCol w:w="652"/>
        <w:gridCol w:w="254"/>
        <w:gridCol w:w="120"/>
        <w:gridCol w:w="456"/>
        <w:gridCol w:w="627"/>
        <w:gridCol w:w="419"/>
        <w:gridCol w:w="392"/>
        <w:gridCol w:w="332"/>
        <w:gridCol w:w="370"/>
        <w:gridCol w:w="291"/>
        <w:gridCol w:w="77"/>
        <w:gridCol w:w="160"/>
        <w:gridCol w:w="425"/>
        <w:gridCol w:w="220"/>
        <w:gridCol w:w="309"/>
        <w:gridCol w:w="581"/>
        <w:gridCol w:w="303"/>
        <w:gridCol w:w="193"/>
        <w:gridCol w:w="85"/>
        <w:gridCol w:w="160"/>
        <w:gridCol w:w="38"/>
        <w:gridCol w:w="122"/>
        <w:gridCol w:w="412"/>
        <w:gridCol w:w="186"/>
        <w:gridCol w:w="315"/>
        <w:gridCol w:w="227"/>
        <w:gridCol w:w="160"/>
        <w:gridCol w:w="160"/>
        <w:gridCol w:w="160"/>
        <w:gridCol w:w="160"/>
      </w:tblGrid>
      <w:tr w:rsidR="00D41BE4" w:rsidRPr="004D5B93" w14:paraId="721A7703" w14:textId="77777777" w:rsidTr="00D41BE4">
        <w:trPr>
          <w:gridAfter w:val="3"/>
          <w:wAfter w:w="480" w:type="dxa"/>
          <w:trHeight w:val="689"/>
        </w:trPr>
        <w:tc>
          <w:tcPr>
            <w:tcW w:w="950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DB09F9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Změnový list č. 12/2023</w:t>
            </w:r>
          </w:p>
        </w:tc>
      </w:tr>
      <w:tr w:rsidR="00D41BE4" w:rsidRPr="004D5B93" w14:paraId="6DF073D1" w14:textId="77777777" w:rsidTr="00901540">
        <w:trPr>
          <w:gridAfter w:val="3"/>
          <w:wAfter w:w="480" w:type="dxa"/>
          <w:trHeight w:val="792"/>
        </w:trPr>
        <w:tc>
          <w:tcPr>
            <w:tcW w:w="3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549AF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61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C9A65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Název a evidenční číslo Stavby: Přístaviště Strážnice – zvýšení přístavní kapacity – Zhotovitel stavby</w:t>
            </w:r>
          </w:p>
        </w:tc>
        <w:tc>
          <w:tcPr>
            <w:tcW w:w="177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FFECEA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220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330B084" w14:textId="2C00F914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Pořadové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číslo ZBV:</w:t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D41BE4" w:rsidRPr="004D5B93" w14:paraId="59EE17D7" w14:textId="77777777" w:rsidTr="00901540">
        <w:trPr>
          <w:gridAfter w:val="3"/>
          <w:wAfter w:w="480" w:type="dxa"/>
          <w:trHeight w:val="443"/>
        </w:trPr>
        <w:tc>
          <w:tcPr>
            <w:tcW w:w="3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981E2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9702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SoD</w:t>
            </w:r>
            <w:proofErr w:type="spellEnd"/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17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4E01B3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220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480529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D41BE4" w:rsidRPr="004D5B93" w14:paraId="351FC425" w14:textId="77777777" w:rsidTr="00901540">
        <w:trPr>
          <w:gridAfter w:val="3"/>
          <w:wAfter w:w="480" w:type="dxa"/>
          <w:trHeight w:val="443"/>
        </w:trPr>
        <w:tc>
          <w:tcPr>
            <w:tcW w:w="3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1585E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E868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Číslo projektu 562 553 0010</w:t>
            </w:r>
          </w:p>
        </w:tc>
        <w:tc>
          <w:tcPr>
            <w:tcW w:w="1772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B7E79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SO 07</w:t>
            </w:r>
          </w:p>
        </w:tc>
        <w:tc>
          <w:tcPr>
            <w:tcW w:w="220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76FBFD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D41BE4" w:rsidRPr="004D5B93" w14:paraId="35517724" w14:textId="77777777" w:rsidTr="00901540">
        <w:trPr>
          <w:gridAfter w:val="3"/>
          <w:wAfter w:w="480" w:type="dxa"/>
          <w:trHeight w:val="64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B490E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73F5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BAA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Název stavebního objektu/provozního souboru (SO/PS): SO 07 - Úprava ploch</w:t>
            </w:r>
          </w:p>
        </w:tc>
        <w:tc>
          <w:tcPr>
            <w:tcW w:w="1772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9634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201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133128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12</w:t>
            </w:r>
          </w:p>
        </w:tc>
      </w:tr>
      <w:tr w:rsidR="00D41BE4" w:rsidRPr="004D5B93" w14:paraId="2B087EBF" w14:textId="77777777" w:rsidTr="00901540">
        <w:trPr>
          <w:gridAfter w:val="3"/>
          <w:wAfter w:w="480" w:type="dxa"/>
          <w:trHeight w:val="829"/>
        </w:trPr>
        <w:tc>
          <w:tcPr>
            <w:tcW w:w="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546EF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6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3267E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Název ZBV: Variace č. 12 - NÁHRADNÍ VÝSADBA</w:t>
            </w:r>
          </w:p>
        </w:tc>
        <w:tc>
          <w:tcPr>
            <w:tcW w:w="1772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C9D9A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201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AF742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D41BE4" w:rsidRPr="004D5B93" w14:paraId="28FE472E" w14:textId="77777777" w:rsidTr="00D41BE4">
        <w:trPr>
          <w:gridAfter w:val="3"/>
          <w:wAfter w:w="480" w:type="dxa"/>
          <w:trHeight w:val="390"/>
        </w:trPr>
        <w:tc>
          <w:tcPr>
            <w:tcW w:w="3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F3392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1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4903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Strany smlouvy o dílo na realizaci výše uvedené Stavby uzavřené dne 7.12.2022 (dále jen Smlouva): 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7D825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D41BE4" w:rsidRPr="004D5B93" w14:paraId="6DFA03EC" w14:textId="77777777" w:rsidTr="00D41BE4">
        <w:trPr>
          <w:trHeight w:val="375"/>
        </w:trPr>
        <w:tc>
          <w:tcPr>
            <w:tcW w:w="3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FD880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54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593A7B" w14:textId="1FB74F99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republika - Ředitelství</w:t>
            </w:r>
            <w:proofErr w:type="gramEnd"/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vodních cest ČR se sídlem nábřeží L. Svobody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1222/12, 110 15 Praha 1, IČO: 679 81 801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255FC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D41BE4" w:rsidRPr="004D5B93" w14:paraId="02E91329" w14:textId="77777777" w:rsidTr="00D41BE4">
        <w:trPr>
          <w:trHeight w:val="390"/>
        </w:trPr>
        <w:tc>
          <w:tcPr>
            <w:tcW w:w="36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757683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34" w:type="dxa"/>
            <w:gridSpan w:val="3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504A25" w14:textId="46030049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Zhotovitel: IDS Olomouc a.s., Albertova 229/21, 77900 Olomouc, IČO: 25869523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7393D0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9E6988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E77016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2CDDACA9" w14:textId="77777777" w:rsidTr="00D41BE4">
        <w:trPr>
          <w:trHeight w:val="390"/>
        </w:trPr>
        <w:tc>
          <w:tcPr>
            <w:tcW w:w="3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90C3C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4" w:type="dxa"/>
            <w:gridSpan w:val="3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B4098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DF700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DD924B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E62637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1AA7F542" w14:textId="77777777" w:rsidTr="00D41BE4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35AD8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4E189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005" w:type="dxa"/>
            <w:gridSpan w:val="15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241288F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u w:val="single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u w:val="single"/>
                <w:lang w:eastAsia="cs-CZ"/>
                <w14:ligatures w14:val="none"/>
              </w:rPr>
              <w:t>Související dokumenty Změnového listu</w:t>
            </w: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  <w:hideMark/>
          </w:tcPr>
          <w:p w14:paraId="761C337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noWrap/>
            <w:vAlign w:val="center"/>
            <w:hideMark/>
          </w:tcPr>
          <w:p w14:paraId="32EFDCC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36F5E27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nil"/>
              <w:right w:val="nil"/>
            </w:tcBorders>
            <w:noWrap/>
            <w:vAlign w:val="bottom"/>
            <w:hideMark/>
          </w:tcPr>
          <w:p w14:paraId="11FDA1B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4A326D1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  <w:hideMark/>
          </w:tcPr>
          <w:p w14:paraId="0B908D6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438DBE8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D207A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7D1CC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5C639E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0A8994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340CD0B6" w14:textId="77777777" w:rsidTr="00D41BE4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78B70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12370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0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6A75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Rozpis ocenění změn položek</w:t>
            </w:r>
          </w:p>
        </w:tc>
        <w:tc>
          <w:tcPr>
            <w:tcW w:w="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DEA899" w14:textId="77777777" w:rsidR="00D41BE4" w:rsidRPr="004D5B93" w:rsidRDefault="00D41BE4" w:rsidP="004D5B9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AFF3" w14:textId="77777777" w:rsidR="00D41BE4" w:rsidRPr="004D5B93" w:rsidRDefault="00D41BE4" w:rsidP="004D5B9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C8EA3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CE762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96BFA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942763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5BD864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3B5224CF" w14:textId="77777777" w:rsidTr="00D41BE4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AF98B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8303C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0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45B2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Návrh na Variaci č. 12 - NÁHRADNÍ VÝSADBA</w:t>
            </w:r>
          </w:p>
        </w:tc>
        <w:tc>
          <w:tcPr>
            <w:tcW w:w="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198F49B" w14:textId="77777777" w:rsidR="00D41BE4" w:rsidRPr="004D5B93" w:rsidRDefault="00D41BE4" w:rsidP="004D5B9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9C33" w14:textId="77777777" w:rsidR="00D41BE4" w:rsidRPr="004D5B93" w:rsidRDefault="00D41BE4" w:rsidP="004D5B9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7312BB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66E77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CBA8B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214232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995BBF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43F60493" w14:textId="77777777" w:rsidTr="00D41BE4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5AF54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80D46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0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622A7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0330E1" w14:textId="77777777" w:rsidR="00D41BE4" w:rsidRPr="004D5B93" w:rsidRDefault="00D41BE4" w:rsidP="004D5B9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FCEE" w14:textId="77777777" w:rsidR="00D41BE4" w:rsidRPr="004D5B93" w:rsidRDefault="00D41BE4" w:rsidP="004D5B9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7D2247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Projektant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CD68D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3C76E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CAAFBC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68AA68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2A23D0FC" w14:textId="77777777" w:rsidTr="00D41BE4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1A5D6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7E4F1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D56A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E17BE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B8B9D" w14:textId="77777777" w:rsidR="00D41BE4" w:rsidRPr="004D5B93" w:rsidRDefault="00D41BE4" w:rsidP="004D5B9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7C413" w14:textId="77777777" w:rsidR="00D41BE4" w:rsidRPr="004D5B93" w:rsidRDefault="00D41BE4" w:rsidP="004D5B9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AF9F60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Supervize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603E5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1435FE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0C2D66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DA894D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259DFA65" w14:textId="77777777" w:rsidTr="00D41BE4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C7E63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82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7BC8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Iniciátor změny: Objednatel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6833C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971DB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25B560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4FF7FD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0D987D87" w14:textId="77777777" w:rsidTr="00D41BE4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9BAD3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82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4FE2A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B60C4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9031A0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70A448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FF3BB8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47CDE00B" w14:textId="77777777" w:rsidTr="00D41BE4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1460E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82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ED5AAD2" w14:textId="0D63818D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V souvislosti se splněním podmínek Odboru životního prostředí inicioval Objednatel změnu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v podobě rozšíření náhradní výsadby v areálu přístaviště a areálu Skanzenu. Dodatečně bude vysazeno 17 kusů stromů dle návrhu architekta stavby. S ohledem na klimatické podmínky bude tato výsadba provedena v podzimním období. Změna v podobě náhradní výsadby obsahuje péči po dobu do předání Díla.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0729A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D5028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5CF6E6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1CB527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1B7EBF1C" w14:textId="77777777" w:rsidTr="00D41BE4">
        <w:trPr>
          <w:trHeight w:val="177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18E52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82" w:type="dxa"/>
            <w:gridSpan w:val="3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1C0B9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F68F4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E4742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C4A088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F366B5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78955FB3" w14:textId="77777777" w:rsidTr="00D41BE4">
        <w:trPr>
          <w:trHeight w:val="471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76465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BDF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529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A08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53C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049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BBA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6C6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0B117" w14:textId="77777777" w:rsidR="00D41BE4" w:rsidRPr="00D41BE4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41BE4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Údaje v Kč bez DPH:</w:t>
            </w:r>
          </w:p>
        </w:tc>
        <w:tc>
          <w:tcPr>
            <w:tcW w:w="206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69AF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4E1B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4AC8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ACE7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EAF6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AC60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CA1D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3962A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8AD80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68DFD8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042EE7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0900EDAF" w14:textId="77777777" w:rsidTr="00D41BE4">
        <w:trPr>
          <w:trHeight w:val="126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85581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C3E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277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D7D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7A2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862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91C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D0A88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0FD7" w14:textId="5BCE9AF1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Cena navrhovaných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 xml:space="preserve"> Změn záporných 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B247" w14:textId="15F6AFC3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Změn kladných</w:t>
            </w:r>
          </w:p>
        </w:tc>
        <w:tc>
          <w:tcPr>
            <w:tcW w:w="2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B57" w14:textId="63EA8194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a Změn kladných celkem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7BD8B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366F2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C52F05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4DA931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1562B6B7" w14:textId="77777777" w:rsidTr="00D41BE4">
        <w:trPr>
          <w:trHeight w:val="554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AAFAF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858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AE4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23D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F7B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6CE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18A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5B6D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B086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 Kč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CAA9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290 586,75 Kč</w:t>
            </w:r>
          </w:p>
        </w:tc>
        <w:tc>
          <w:tcPr>
            <w:tcW w:w="2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A842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290 586,75 Kč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36D75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F0566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C2FD54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2151A0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456F7F74" w14:textId="77777777" w:rsidTr="00D41BE4">
        <w:trPr>
          <w:trHeight w:val="9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083E7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1D0C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2F87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30AC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25A6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F10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8D02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5E82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9376" w14:textId="0A76DF5C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/ uvedení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 xml:space="preserve"> do provozu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E789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2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7287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DE4CF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3C0BE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4A18B2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4639EF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5CCE8D03" w14:textId="77777777" w:rsidTr="00D41BE4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796A2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E9E19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8010A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0BDCB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1F30A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9B084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9A7FA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2062B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78DF8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2402F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930ED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ADBFD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A4DA7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5D044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791E5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8D924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324B4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7E7D5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A71F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127C4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A36731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5E9A47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66DAE655" w14:textId="77777777" w:rsidTr="00901540">
        <w:trPr>
          <w:trHeight w:val="300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04947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108" w:type="dxa"/>
            <w:gridSpan w:val="7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9C08B0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Charakter změny </w:t>
            </w:r>
            <w:r w:rsidRPr="004D5B93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6AA321E6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A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0F586CF8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B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4E591599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C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A9E6E91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D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3B047E4D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E30B5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565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FF2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5F5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877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75F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2BC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F06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25A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BAF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E93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C3B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AB79F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72AAB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00BC18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E0B9DA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362181DD" w14:textId="77777777" w:rsidTr="00901540">
        <w:trPr>
          <w:trHeight w:val="31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C3264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8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A0D5C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6E91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9A275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E3658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BBE09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A3B8D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F66AC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BB60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3F56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B353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6021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ABDF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67A8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6958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3671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77BC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5777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5AE3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49F3B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1764A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87C7AA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A7B71A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46FD9C7E" w14:textId="77777777" w:rsidTr="00D41BE4">
        <w:trPr>
          <w:trHeight w:val="289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7FD87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1587A" w14:textId="6F9DF52F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Vzhledem k tomu, že dodatečné stavební práce jsou nezbytné (podrobněji viz Popis změny výše) a:</w:t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  <w:t xml:space="preserve">a) potřeba změny vznikla v důsledku okolností, které zadavatel jednající s náležitou péčí nemohl </w:t>
            </w:r>
            <w:proofErr w:type="gramStart"/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předvídat -</w:t>
            </w: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Ne</w:t>
            </w:r>
            <w:proofErr w:type="gramEnd"/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, jedná se o dodatečné práce. </w:t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  <w:t xml:space="preserve">b) nemění celkovou povahu </w:t>
            </w:r>
            <w:proofErr w:type="gramStart"/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zakázky - </w:t>
            </w: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Ne</w:t>
            </w:r>
            <w:proofErr w:type="gramEnd"/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, celková povaha zakázky se nemění.</w:t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  </w:t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  <w:t xml:space="preserve">c) hodnota dodatečných stavebních prací, služeb nebo dodávek (tj. víceprací) nepřekročí </w:t>
            </w:r>
            <w:r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50 % původní hodnoty </w:t>
            </w:r>
            <w:proofErr w:type="gramStart"/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závazku - </w:t>
            </w: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Ne</w:t>
            </w:r>
            <w:proofErr w:type="gramEnd"/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, hodnota nepřekročí 50 % původní hodnoty závazku.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DCC201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AF77E5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3B7096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3C375B32" w14:textId="77777777" w:rsidTr="00D41BE4">
        <w:trPr>
          <w:trHeight w:val="289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6966A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42" w:type="dxa"/>
            <w:gridSpan w:val="3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3656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A56F9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AB5D70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D07211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484827A6" w14:textId="77777777" w:rsidTr="00D41BE4">
        <w:trPr>
          <w:trHeight w:val="49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B270E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42" w:type="dxa"/>
            <w:gridSpan w:val="3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1D1F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00C33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94E616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EFAF13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1DA4C1F4" w14:textId="77777777" w:rsidTr="00D41BE4">
        <w:trPr>
          <w:trHeight w:val="230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25E33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42" w:type="dxa"/>
            <w:gridSpan w:val="3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9D17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3606C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4AE780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440655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630C0864" w14:textId="77777777" w:rsidTr="00D41BE4">
        <w:trPr>
          <w:trHeight w:val="7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B16B7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43BB9" w14:textId="1B0465DE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  <w:t>ZMĚNA SMLOUVY NENÍ PODSTATNOU ZMĚNOU, TJ. SPADÁ POD JEDEN Z BODŮ A-E</w:t>
            </w: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zádávání</w:t>
            </w:r>
            <w:proofErr w:type="spellEnd"/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724085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C60CD2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8ABC31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6BCC93B9" w14:textId="77777777" w:rsidTr="00D41BE4">
        <w:trPr>
          <w:trHeight w:val="1251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AAC9E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1194FD" w14:textId="77777777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B8D8C7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052BA4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0C0F1B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57AB490B" w14:textId="77777777" w:rsidTr="00D41BE4">
        <w:trPr>
          <w:trHeight w:val="1391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4C1E5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33B183" w14:textId="77777777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kern w:val="0"/>
                <w:u w:val="single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i/>
                <w:iCs/>
                <w:kern w:val="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 předmětem změny je</w:t>
            </w:r>
            <w:r w:rsidRPr="004D5B93"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32DCF4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F7489D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4D9C54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1A40745F" w14:textId="77777777" w:rsidTr="00D41BE4">
        <w:trPr>
          <w:trHeight w:val="1116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8E17F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3B190E" w14:textId="369EF947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B.  Nejde o podstatnou změnu závazku, neboť finanční limit změny (a souhrn všech předpokládaných změn smlouvy) nepřevýší 15 % původní hodnoty veřejné zakázky </w:t>
            </w: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>na stavební práce (10 % u ostatních zakázek)</w:t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.</w:t>
            </w: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D3D074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94C01E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3F3060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0553F570" w14:textId="77777777" w:rsidTr="00D41BE4">
        <w:trPr>
          <w:trHeight w:val="832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BD257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526473" w14:textId="0BCDF183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C. Nejde o podstatnou změnu závazku, neboť dodatečné stavební práce /služby </w:t>
            </w: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>od dodavatele původní veřejné zakázky jsou nezbytné a změna v osobě dodavatele</w:t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7E4680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07846C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140703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3FA21C5B" w14:textId="77777777" w:rsidTr="00D41BE4">
        <w:trPr>
          <w:trHeight w:val="35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FB69F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1DA709" w14:textId="77777777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49DF0D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A2D54F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821D1B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3AEAA506" w14:textId="77777777" w:rsidTr="00D41BE4">
        <w:trPr>
          <w:trHeight w:val="414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269FF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D4409D" w14:textId="77777777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EBFBE7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CFAEFF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1D49F8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7E897A95" w14:textId="77777777" w:rsidTr="00D41BE4">
        <w:trPr>
          <w:trHeight w:val="392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C9A09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235AD0" w14:textId="77777777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75FA4B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B3FFC4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0BE98F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1C55FFD6" w14:textId="77777777" w:rsidTr="00D41BE4">
        <w:trPr>
          <w:trHeight w:val="54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30A3C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082107" w14:textId="77777777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>D. Nejde o podstatnou změnu závazku, neboť</w:t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6E7B64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248862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34E6CA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0609A822" w14:textId="77777777" w:rsidTr="00D41BE4">
        <w:trPr>
          <w:trHeight w:val="748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446EB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5912C4" w14:textId="77777777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předvídat - Ne</w:t>
            </w:r>
            <w:proofErr w:type="gramEnd"/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, jedná se o dodatečné práce.</w:t>
            </w:r>
            <w:r w:rsidRPr="004D5B93"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  <w:t xml:space="preserve"> </w:t>
            </w: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A31B55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006465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BC51D8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3646EAE9" w14:textId="77777777" w:rsidTr="00D41BE4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83D54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98DB3B" w14:textId="77777777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zakázky - Ne</w:t>
            </w:r>
            <w:proofErr w:type="gramEnd"/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, celková povaha zakázky se nemění.   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21F3E4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3A3F29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39E86C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30B6EA21" w14:textId="77777777" w:rsidTr="00D41BE4">
        <w:trPr>
          <w:trHeight w:val="784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AED03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703E9" w14:textId="76B6E476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c) hodnota dodatečných stavebních prací, služeb nebo dodávek (tj. víceprací) nepřekročí </w:t>
            </w:r>
            <w:r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50 % původní hodnoty </w:t>
            </w:r>
            <w:proofErr w:type="gramStart"/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závazku - Ne</w:t>
            </w:r>
            <w:proofErr w:type="gramEnd"/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, hodnota nepřekročí 50 % původní hodnoty závazku.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ADDB60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69CB66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50D9BE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12ADE5D2" w14:textId="77777777" w:rsidTr="00D41BE4">
        <w:trPr>
          <w:trHeight w:val="928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54111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215EDA" w14:textId="77777777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A40987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B256A0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560E70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5BA9E023" w14:textId="77777777" w:rsidTr="00D41BE4">
        <w:trPr>
          <w:trHeight w:val="68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56773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284F38" w14:textId="77777777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a) nové položky soupisu stavebních prací představují srovnatelný druh materiálu nebo prací ve vztahu k nahrazovaným položkám - </w:t>
            </w: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9741A2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61CC32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8779FB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0FDBECA6" w14:textId="77777777" w:rsidTr="00D41BE4">
        <w:trPr>
          <w:trHeight w:val="68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08748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6A783E" w14:textId="616773B5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b) cena materiálu nebo prací podle nových položek soupisu stavebních prací je ve vztahu </w:t>
            </w:r>
            <w:r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k nahrazovaným položkám stejná nebo nižší -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993B44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2779B6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1926EB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67A291B5" w14:textId="77777777" w:rsidTr="00D41BE4">
        <w:trPr>
          <w:trHeight w:val="79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12605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06C0BF" w14:textId="58CED5DF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c) materiál nebo práce podle nových položek soupisu stavebních prací jsou ve vztahu </w:t>
            </w:r>
            <w:r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k nahrazovaným položkám kvalitativně stejné nebo vyšší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51D42B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E965E6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9B02DB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7FB61DD8" w14:textId="77777777" w:rsidTr="00D41BE4">
        <w:trPr>
          <w:trHeight w:val="157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BCBDF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D0BE8A" w14:textId="77777777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C2AA01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A4CFBE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668D3C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56CF12BB" w14:textId="77777777" w:rsidTr="00D41BE4">
        <w:trPr>
          <w:trHeight w:val="6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A3E16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0A0E1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18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CB8FF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5F3AD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604B5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36A27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039DF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D0452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F8DD8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56788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5AA4A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6AFA0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5A45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7EB5B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30DD69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4EF3A8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459D7FBF" w14:textId="77777777" w:rsidTr="00D41BE4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0E7AD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8C051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18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AD166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416AB2" w14:textId="2E0D3EC9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A7237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08DFFA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855FC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B8F731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FE3B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0010A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E8B34A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D6FB2D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46432157" w14:textId="77777777" w:rsidTr="00D41BE4">
        <w:trPr>
          <w:trHeight w:val="2271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3AAB8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D2945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445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926A1C" w14:textId="2852ED6D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Úpravy byly provedeny na základě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splnění podmínek OŽP Veselí nad Moravou.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AD nemá námitek.                                                                                                           Z hlediska projektu dochází k umístění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části náhradní výsadby do ploch skanzenu,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v souladu s předchozí koordinací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s architekty, kteří řeší toto navazující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území a plochy.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FD821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74CF53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427F9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26896C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2B07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E913A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4A3FDF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25359E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5DF0E923" w14:textId="77777777" w:rsidTr="00D41BE4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62D43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74BC2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8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63843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D39CC6" w14:textId="52AC622C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3248B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1BBCA9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21A41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A0FA93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B9825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9C917A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29CF3F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A47976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054145C1" w14:textId="77777777" w:rsidTr="00D41BE4">
        <w:trPr>
          <w:trHeight w:val="9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2CD2A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9B5DC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18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69DC8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3E388E" w14:textId="3AD14128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0C6FA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256D15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D696A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5F085F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0EDB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3C711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1CADFC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EF8F65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07D36BF9" w14:textId="77777777" w:rsidTr="00D41BE4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1DB41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937C7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Správce stavby</w:t>
            </w:r>
          </w:p>
        </w:tc>
        <w:tc>
          <w:tcPr>
            <w:tcW w:w="18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1A1F4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2F6014" w14:textId="1F523065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85C55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EF9D67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763E4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3F022F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36BE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D8EC0B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885650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082CC1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6DC021E3" w14:textId="77777777" w:rsidTr="00D41BE4">
        <w:trPr>
          <w:trHeight w:val="1078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E1D94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40" w:type="dxa"/>
            <w:gridSpan w:val="3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58ED2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Vyjádření: 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8FD1A2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9F81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60363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70CD95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2FA8DA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4FDDFF68" w14:textId="77777777" w:rsidTr="00D41BE4">
        <w:trPr>
          <w:trHeight w:val="300"/>
        </w:trPr>
        <w:tc>
          <w:tcPr>
            <w:tcW w:w="9502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0E69D" w14:textId="286D85FF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a oceněny v dokumentaci této Změny. Smluvní strany shodně prohlašují,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4FC1DA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709886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3C3766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76C90B9B" w14:textId="77777777" w:rsidTr="00D41BE4">
        <w:trPr>
          <w:trHeight w:val="2590"/>
        </w:trPr>
        <w:tc>
          <w:tcPr>
            <w:tcW w:w="9502" w:type="dxa"/>
            <w:gridSpan w:val="3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C25F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68CE12" w14:textId="77777777" w:rsidR="00D41BE4" w:rsidRPr="004D5B93" w:rsidRDefault="00D41BE4" w:rsidP="004D5B9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EB6468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1BBA50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0AFCCD34" w14:textId="77777777" w:rsidTr="00D41BE4">
        <w:trPr>
          <w:trHeight w:val="1114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CF3A4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E70B" w14:textId="1D02587B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číslo smlouvy:</w:t>
            </w: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</w:t>
            </w: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SoD</w:t>
            </w:r>
            <w:proofErr w:type="spellEnd"/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/</w:t>
            </w:r>
            <w:r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6E81" w14:textId="381A88FA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předpokládaný </w:t>
            </w:r>
            <w:r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výdaj v Kč včetně DPH: </w:t>
            </w:r>
          </w:p>
        </w:tc>
        <w:tc>
          <w:tcPr>
            <w:tcW w:w="2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3F13" w14:textId="5C3A258C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Předpokládaný </w:t>
            </w:r>
            <w:r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termín úhrady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1AB18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19DBB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15.10.2023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0EDA7D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0D38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C201EC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749F41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B24EAF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47620469" w14:textId="77777777" w:rsidTr="00D41BE4">
        <w:trPr>
          <w:trHeight w:val="97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58F77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82B1" w14:textId="7E09372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9591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351 609,97 Kč</w:t>
            </w:r>
          </w:p>
        </w:tc>
        <w:tc>
          <w:tcPr>
            <w:tcW w:w="2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D0A4" w14:textId="022839B2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Dle skutečně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provedených prací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DDEBE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B0BA78" w14:textId="7B83BAC5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EE773E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16F2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F2C95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7221C9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2AEAEF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0C48B8C2" w14:textId="77777777" w:rsidTr="005E1CD1">
        <w:trPr>
          <w:trHeight w:val="82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5002F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8DA66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187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348E0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38DA77" w14:textId="7F3DF11B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21C4B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85B21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0E335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D44462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02AC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8629E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D0338D3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FA7B45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0B17A288" w14:textId="77777777" w:rsidTr="005E1CD1">
        <w:trPr>
          <w:trHeight w:val="846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E49CF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670CF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18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6A54E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46DEBB" w14:textId="52F0414B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DB7F1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A7FA1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32F31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A3A66C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44F8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9DAF2A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F9B2AE9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ECA025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0BD4D863" w14:textId="77777777" w:rsidTr="00D41BE4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4C2F62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69F93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příkazce operace:</w:t>
            </w:r>
          </w:p>
        </w:tc>
        <w:tc>
          <w:tcPr>
            <w:tcW w:w="18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8B15B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CCD9AF" w14:textId="77D632E4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C7DE0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9C6E2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3ACB4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96097D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6C30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A4830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642EF0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0D85FF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39AD8D22" w14:textId="77777777" w:rsidTr="00D41BE4">
        <w:trPr>
          <w:trHeight w:val="1398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F7E118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7421E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vedoucí oddělení vnitřní správy, správce rozpočtu:</w:t>
            </w:r>
          </w:p>
        </w:tc>
        <w:tc>
          <w:tcPr>
            <w:tcW w:w="18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460A2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00C647" w14:textId="33EC82C8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C33D2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0EC7B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1034D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C8A81F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6A30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409F1E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C911B8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5D90AB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46A81FE6" w14:textId="77777777" w:rsidTr="00D41BE4">
        <w:trPr>
          <w:trHeight w:val="1084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0C359B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7161F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18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C7EE5C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103104" w14:textId="136214D1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Ing. Lubomír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Fojtů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35280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4CF8D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F26230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AD935F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B655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86CE0C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3F70D8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7CEBD7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7B55B7A2" w14:textId="77777777" w:rsidTr="00D41BE4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DC86D5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2D6FC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18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25C2F8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B554E0" w14:textId="71F7CD5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85D25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E4347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BCBA3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41217C" w14:textId="77777777" w:rsidR="00D41BE4" w:rsidRPr="004D5B93" w:rsidRDefault="00D41BE4" w:rsidP="004D5B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E406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EA802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042F08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311F96E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1BE4" w:rsidRPr="004D5B93" w14:paraId="53A5DDC2" w14:textId="77777777" w:rsidTr="00D41BE4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72AA6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3FF0DB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BD6A4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A35FB1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9AD5B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0624E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C26DB7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F7B702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4D5B93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34A40A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5E514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5B93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6B21B1D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9C70246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2AF0FFF" w14:textId="77777777" w:rsidR="00D41BE4" w:rsidRPr="004D5B93" w:rsidRDefault="00D41BE4" w:rsidP="004D5B9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27715BC" w14:textId="77777777" w:rsidR="004D5B93" w:rsidRDefault="004D5B93"/>
    <w:sectPr w:rsidR="004D5B93" w:rsidSect="004D5B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93"/>
    <w:rsid w:val="004D5B93"/>
    <w:rsid w:val="005C6527"/>
    <w:rsid w:val="005E1CD1"/>
    <w:rsid w:val="00625159"/>
    <w:rsid w:val="00901540"/>
    <w:rsid w:val="00A870B8"/>
    <w:rsid w:val="00AC7480"/>
    <w:rsid w:val="00B84244"/>
    <w:rsid w:val="00D4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C1AA"/>
  <w15:chartTrackingRefBased/>
  <w15:docId w15:val="{540A40BE-4C5E-461D-B274-E4C50031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5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B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B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B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B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B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B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5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5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5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5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5B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5B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5B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B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5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1100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6</cp:revision>
  <dcterms:created xsi:type="dcterms:W3CDTF">2026-01-20T08:30:00Z</dcterms:created>
  <dcterms:modified xsi:type="dcterms:W3CDTF">2026-01-21T10:05:00Z</dcterms:modified>
</cp:coreProperties>
</file>