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28C4EE" w14:textId="2BAD1B72" w:rsidR="007B673C" w:rsidRDefault="008B1672">
      <w:pPr>
        <w:pStyle w:val="Nzev"/>
        <w:contextualSpacing w:val="0"/>
      </w:pPr>
      <w:bookmarkStart w:id="0" w:name="h.w941ldmblf5k" w:colFirst="0" w:colLast="0"/>
      <w:bookmarkEnd w:id="0"/>
      <w:r>
        <w:t xml:space="preserve">Smlouva o </w:t>
      </w:r>
      <w:r w:rsidR="00564140">
        <w:t>podpoře</w:t>
      </w:r>
    </w:p>
    <w:p w14:paraId="5F17AA96" w14:textId="77777777" w:rsidR="007B673C" w:rsidRDefault="008B1672" w:rsidP="0018535C">
      <w:pPr>
        <w:pStyle w:val="HeadingE"/>
      </w:pPr>
      <w:bookmarkStart w:id="1" w:name="h.2iq0ord6l4oc" w:colFirst="0" w:colLast="0"/>
      <w:bookmarkEnd w:id="1"/>
      <w:r>
        <w:t>Smluvní strany</w:t>
      </w:r>
    </w:p>
    <w:p w14:paraId="29F82B50" w14:textId="77777777" w:rsidR="007B673C" w:rsidRDefault="008B1672">
      <w:pPr>
        <w:contextualSpacing w:val="0"/>
        <w:jc w:val="both"/>
      </w:pPr>
      <w:r>
        <w:rPr>
          <w:rFonts w:ascii="Calibri" w:eastAsia="Calibri" w:hAnsi="Calibri" w:cs="Calibri"/>
        </w:rPr>
        <w:t>Objednatel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C4ADF" w:rsidRPr="00BC4ADF">
        <w:rPr>
          <w:rFonts w:ascii="Calibri" w:eastAsia="Calibri" w:hAnsi="Calibri" w:cs="Calibri"/>
        </w:rPr>
        <w:t>ČD - Informační Systémy, a.s.</w:t>
      </w:r>
    </w:p>
    <w:p w14:paraId="30A26857" w14:textId="77777777" w:rsidR="007B673C" w:rsidRDefault="008B1672">
      <w:pPr>
        <w:contextualSpacing w:val="0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C4ADF" w:rsidRPr="00BC4ADF">
        <w:rPr>
          <w:rFonts w:ascii="Calibri" w:eastAsia="Calibri" w:hAnsi="Calibri" w:cs="Calibri"/>
        </w:rPr>
        <w:t>Pernerova 2819/2a</w:t>
      </w:r>
      <w:r w:rsidR="00BC4ADF">
        <w:rPr>
          <w:rFonts w:ascii="Calibri" w:eastAsia="Calibri" w:hAnsi="Calibri" w:cs="Calibri"/>
        </w:rPr>
        <w:t>, 13000 Praha 3</w:t>
      </w:r>
    </w:p>
    <w:p w14:paraId="6189A7FF" w14:textId="77777777" w:rsidR="00BC4ADF" w:rsidRPr="00BC4ADF" w:rsidRDefault="008B1672" w:rsidP="00BC4ADF">
      <w:pPr>
        <w:contextualSpacing w:val="0"/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BC4ADF">
        <w:rPr>
          <w:rFonts w:ascii="Calibri" w:eastAsia="Calibri" w:hAnsi="Calibri" w:cs="Calibri"/>
        </w:rPr>
        <w:t>IČ</w:t>
      </w:r>
      <w:r w:rsidR="00BC4ADF" w:rsidRPr="00BC4ADF">
        <w:rPr>
          <w:rFonts w:ascii="Calibri" w:eastAsia="Calibri" w:hAnsi="Calibri" w:cs="Calibri"/>
        </w:rPr>
        <w:t xml:space="preserve">O </w:t>
      </w:r>
      <w:r w:rsidR="00BC4ADF" w:rsidRPr="00BC4ADF">
        <w:rPr>
          <w:rFonts w:ascii="Calibri" w:eastAsia="Calibri" w:hAnsi="Calibri" w:cs="Calibri"/>
          <w:bCs/>
          <w:lang w:val="en-GB"/>
        </w:rPr>
        <w:t>24829871</w:t>
      </w:r>
    </w:p>
    <w:p w14:paraId="78FECC08" w14:textId="77777777" w:rsidR="007B673C" w:rsidRDefault="008B1672">
      <w:pPr>
        <w:contextualSpacing w:val="0"/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zapsaná u Městského soudu v Praze, oddíl B, vložka </w:t>
      </w:r>
      <w:r w:rsidR="00BC4ADF" w:rsidRPr="00BC4ADF">
        <w:rPr>
          <w:rFonts w:ascii="Calibri" w:eastAsia="Calibri" w:hAnsi="Calibri" w:cs="Calibri"/>
          <w:lang w:val="en-GB"/>
        </w:rPr>
        <w:t>17064</w:t>
      </w:r>
    </w:p>
    <w:p w14:paraId="61E64C69" w14:textId="77777777" w:rsidR="00F03387" w:rsidRDefault="00F03387">
      <w:pPr>
        <w:contextualSpacing w:val="0"/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ab/>
      </w:r>
      <w:proofErr w:type="gramStart"/>
      <w:r>
        <w:rPr>
          <w:rFonts w:ascii="Calibri" w:eastAsia="Calibri" w:hAnsi="Calibri" w:cs="Calibri"/>
          <w:lang w:val="en-GB"/>
        </w:rPr>
        <w:t>zastoupená</w:t>
      </w:r>
      <w:proofErr w:type="gramEnd"/>
      <w:r>
        <w:rPr>
          <w:rFonts w:ascii="Calibri" w:eastAsia="Calibri" w:hAnsi="Calibri" w:cs="Calibri"/>
          <w:lang w:val="en-GB"/>
        </w:rPr>
        <w:t xml:space="preserve">:  Ing. Miloslavem Kopeckým, předsedou představenstva a </w:t>
      </w:r>
    </w:p>
    <w:p w14:paraId="5B0E3B93" w14:textId="77777777" w:rsidR="00F03387" w:rsidRPr="00BC4ADF" w:rsidRDefault="00F03387" w:rsidP="00E07A1D">
      <w:pPr>
        <w:ind w:left="1440" w:firstLine="720"/>
        <w:contextualSpacing w:val="0"/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 </w:t>
      </w:r>
      <w:proofErr w:type="gramStart"/>
      <w:r>
        <w:rPr>
          <w:rFonts w:ascii="Calibri" w:eastAsia="Calibri" w:hAnsi="Calibri" w:cs="Calibri"/>
          <w:lang w:val="en-GB"/>
        </w:rPr>
        <w:t>Ing.</w:t>
      </w:r>
      <w:proofErr w:type="gramEnd"/>
      <w:r>
        <w:rPr>
          <w:rFonts w:ascii="Calibri" w:eastAsia="Calibri" w:hAnsi="Calibri" w:cs="Calibri"/>
          <w:lang w:val="en-GB"/>
        </w:rPr>
        <w:t xml:space="preserve"> Tomášem Vackem, členem představenstva</w:t>
      </w:r>
    </w:p>
    <w:p w14:paraId="4C1051AA" w14:textId="77777777" w:rsidR="007B673C" w:rsidRDefault="007B673C">
      <w:pPr>
        <w:contextualSpacing w:val="0"/>
      </w:pPr>
    </w:p>
    <w:p w14:paraId="2919C9BD" w14:textId="77777777" w:rsidR="00DC4226" w:rsidRPr="00771151" w:rsidRDefault="00DC4226" w:rsidP="00E07A1D">
      <w:pPr>
        <w:autoSpaceDE w:val="0"/>
        <w:autoSpaceDN w:val="0"/>
        <w:adjustRightInd w:val="0"/>
        <w:spacing w:line="240" w:lineRule="auto"/>
        <w:ind w:left="1440" w:firstLine="720"/>
        <w:rPr>
          <w:rFonts w:cstheme="minorHAnsi"/>
          <w:szCs w:val="20"/>
        </w:rPr>
      </w:pPr>
      <w:r w:rsidRPr="00771151">
        <w:rPr>
          <w:rFonts w:cstheme="minorHAnsi"/>
          <w:szCs w:val="20"/>
        </w:rPr>
        <w:t>(dále jen „</w:t>
      </w:r>
      <w:r w:rsidRPr="00771151">
        <w:rPr>
          <w:rFonts w:cstheme="minorHAnsi"/>
          <w:b/>
          <w:szCs w:val="20"/>
        </w:rPr>
        <w:t>Objednatel“</w:t>
      </w:r>
      <w:r w:rsidRPr="00771151">
        <w:rPr>
          <w:rFonts w:cstheme="minorHAnsi"/>
          <w:szCs w:val="20"/>
        </w:rPr>
        <w:t>)</w:t>
      </w:r>
    </w:p>
    <w:p w14:paraId="5D5D2F7A" w14:textId="77777777" w:rsidR="007B673C" w:rsidRDefault="007B673C">
      <w:pPr>
        <w:contextualSpacing w:val="0"/>
      </w:pPr>
    </w:p>
    <w:p w14:paraId="5AF330AA" w14:textId="77777777" w:rsidR="007B673C" w:rsidRDefault="008B1672">
      <w:pPr>
        <w:contextualSpacing w:val="0"/>
        <w:jc w:val="both"/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Orchitech Solutions, s.r.o.</w:t>
      </w:r>
    </w:p>
    <w:p w14:paraId="3E9EBF54" w14:textId="77777777" w:rsidR="007B673C" w:rsidRDefault="008B1672">
      <w:pPr>
        <w:contextualSpacing w:val="0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Koněvova 2660/141, 130 00 Praha 3</w:t>
      </w:r>
    </w:p>
    <w:p w14:paraId="6B1EBDA0" w14:textId="2725322F" w:rsidR="007B673C" w:rsidRDefault="008B1672">
      <w:pPr>
        <w:contextualSpacing w:val="0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IČO </w:t>
      </w:r>
      <w:bookmarkStart w:id="2" w:name="_GoBack"/>
      <w:r>
        <w:rPr>
          <w:rFonts w:ascii="Calibri" w:eastAsia="Calibri" w:hAnsi="Calibri" w:cs="Calibri"/>
        </w:rPr>
        <w:t>28246764</w:t>
      </w:r>
      <w:bookmarkEnd w:id="2"/>
    </w:p>
    <w:p w14:paraId="155D813D" w14:textId="77777777" w:rsidR="007B673C" w:rsidRDefault="008B1672">
      <w:pPr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zapsaná u Městského soudu v Praze, oddíl C, vložka 135096</w:t>
      </w:r>
    </w:p>
    <w:p w14:paraId="3F33BA08" w14:textId="77777777" w:rsidR="00F03387" w:rsidRDefault="00F03387">
      <w:pPr>
        <w:contextualSpacing w:val="0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zastoupená:</w:t>
      </w:r>
      <w:r w:rsidR="00ED07C9">
        <w:rPr>
          <w:rFonts w:ascii="Calibri" w:eastAsia="Calibri" w:hAnsi="Calibri" w:cs="Calibri"/>
        </w:rPr>
        <w:t xml:space="preserve"> </w:t>
      </w:r>
      <w:r w:rsidR="00ED07C9" w:rsidRPr="005745DF">
        <w:rPr>
          <w:rFonts w:ascii="Calibri" w:eastAsia="Calibri" w:hAnsi="Calibri" w:cs="Calibri"/>
          <w:b/>
        </w:rPr>
        <w:t>Ing. Martin</w:t>
      </w:r>
      <w:r w:rsidR="00ED07C9">
        <w:rPr>
          <w:rFonts w:ascii="Calibri" w:eastAsia="Calibri" w:hAnsi="Calibri" w:cs="Calibri"/>
          <w:b/>
        </w:rPr>
        <w:t>em Číž</w:t>
      </w:r>
      <w:r w:rsidR="00ED07C9" w:rsidRPr="005745DF">
        <w:rPr>
          <w:rFonts w:ascii="Calibri" w:eastAsia="Calibri" w:hAnsi="Calibri" w:cs="Calibri"/>
          <w:b/>
        </w:rPr>
        <w:t>k</w:t>
      </w:r>
      <w:r w:rsidR="00ED07C9">
        <w:rPr>
          <w:rFonts w:ascii="Calibri" w:eastAsia="Calibri" w:hAnsi="Calibri" w:cs="Calibri"/>
          <w:b/>
        </w:rPr>
        <w:t>em</w:t>
      </w:r>
      <w:r w:rsidR="00ED07C9" w:rsidRPr="005745DF">
        <w:rPr>
          <w:rFonts w:ascii="Calibri" w:eastAsia="Calibri" w:hAnsi="Calibri" w:cs="Calibri"/>
          <w:b/>
        </w:rPr>
        <w:t>, MBA</w:t>
      </w:r>
      <w:r w:rsidR="00ED07C9">
        <w:rPr>
          <w:rFonts w:ascii="Calibri" w:eastAsia="Calibri" w:hAnsi="Calibri" w:cs="Calibri"/>
          <w:b/>
        </w:rPr>
        <w:t>, jednatelem</w:t>
      </w:r>
    </w:p>
    <w:p w14:paraId="3E749993" w14:textId="77777777" w:rsidR="00DC4226" w:rsidRDefault="00DC4226" w:rsidP="00DC4226">
      <w:p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</w:p>
    <w:p w14:paraId="1A347FFC" w14:textId="77777777" w:rsidR="00DC4226" w:rsidRPr="00771151" w:rsidRDefault="00DC4226" w:rsidP="00E07A1D">
      <w:pPr>
        <w:autoSpaceDE w:val="0"/>
        <w:autoSpaceDN w:val="0"/>
        <w:adjustRightInd w:val="0"/>
        <w:spacing w:line="240" w:lineRule="auto"/>
        <w:ind w:left="1440" w:firstLine="720"/>
        <w:rPr>
          <w:rFonts w:cstheme="minorHAnsi"/>
          <w:szCs w:val="20"/>
        </w:rPr>
      </w:pPr>
      <w:r w:rsidRPr="00771151">
        <w:rPr>
          <w:rFonts w:cstheme="minorHAnsi"/>
          <w:szCs w:val="20"/>
        </w:rPr>
        <w:t xml:space="preserve">(dále jen </w:t>
      </w:r>
      <w:r>
        <w:rPr>
          <w:rFonts w:cstheme="minorHAnsi"/>
          <w:b/>
          <w:szCs w:val="20"/>
        </w:rPr>
        <w:t>„Poskyto</w:t>
      </w:r>
      <w:r w:rsidRPr="00771151">
        <w:rPr>
          <w:rFonts w:cstheme="minorHAnsi"/>
          <w:b/>
          <w:szCs w:val="20"/>
        </w:rPr>
        <w:t>vatel“</w:t>
      </w:r>
      <w:r w:rsidRPr="00771151">
        <w:rPr>
          <w:rFonts w:cstheme="minorHAnsi"/>
          <w:szCs w:val="20"/>
        </w:rPr>
        <w:t>)</w:t>
      </w:r>
    </w:p>
    <w:p w14:paraId="6B1EA961" w14:textId="77777777" w:rsidR="007B673C" w:rsidRDefault="007B673C">
      <w:pPr>
        <w:contextualSpacing w:val="0"/>
      </w:pPr>
    </w:p>
    <w:p w14:paraId="1254EF58" w14:textId="77777777" w:rsidR="007B673C" w:rsidRDefault="008B1672">
      <w:pPr>
        <w:contextualSpacing w:val="0"/>
      </w:pPr>
      <w:r>
        <w:t>(dále společně též jako „smluvní strany“)</w:t>
      </w:r>
    </w:p>
    <w:p w14:paraId="5F6EB53E" w14:textId="77777777" w:rsidR="007B673C" w:rsidRDefault="008B1672" w:rsidP="00395474">
      <w:pPr>
        <w:contextualSpacing w:val="0"/>
      </w:pPr>
      <w:r>
        <w:t>uzavírají dnešního dne podle § 1746 odst. 2 zákona č. 89/2012 Sb., občanský zákoník v platném znění, tuto smlouvu o poskytování služeb provozní podpory.</w:t>
      </w:r>
      <w:bookmarkStart w:id="3" w:name="h.e6qt3tvoro47" w:colFirst="0" w:colLast="0"/>
      <w:bookmarkEnd w:id="3"/>
    </w:p>
    <w:p w14:paraId="352C0728" w14:textId="77777777" w:rsidR="007B673C" w:rsidRDefault="008B1672">
      <w:r>
        <w:br w:type="page"/>
      </w:r>
    </w:p>
    <w:p w14:paraId="751B5821" w14:textId="77777777" w:rsidR="005537F4" w:rsidRPr="005537F4" w:rsidRDefault="008B1672" w:rsidP="008002D6">
      <w:pPr>
        <w:pStyle w:val="HeadingE"/>
        <w:jc w:val="both"/>
      </w:pPr>
      <w:bookmarkStart w:id="4" w:name="h.1rb2w02ei7fv" w:colFirst="0" w:colLast="0"/>
      <w:bookmarkStart w:id="5" w:name="h.jv8rp63qnpkf" w:colFirst="0" w:colLast="0"/>
      <w:bookmarkEnd w:id="4"/>
      <w:bookmarkEnd w:id="5"/>
      <w:r>
        <w:lastRenderedPageBreak/>
        <w:t>Pojmy</w:t>
      </w:r>
    </w:p>
    <w:p w14:paraId="3510D895" w14:textId="77777777" w:rsidR="007B673C" w:rsidRDefault="008B1672" w:rsidP="008002D6">
      <w:pPr>
        <w:contextualSpacing w:val="0"/>
        <w:jc w:val="both"/>
      </w:pPr>
      <w:r>
        <w:rPr>
          <w:b/>
        </w:rPr>
        <w:t>Incident</w:t>
      </w:r>
      <w:r>
        <w:t xml:space="preserve"> – identifikovaný provozní stav, který se liší od očekávání.</w:t>
      </w:r>
    </w:p>
    <w:p w14:paraId="6251A9DD" w14:textId="77777777" w:rsidR="007B673C" w:rsidRDefault="008B1672" w:rsidP="008002D6">
      <w:pPr>
        <w:contextualSpacing w:val="0"/>
        <w:jc w:val="both"/>
      </w:pPr>
      <w:r>
        <w:rPr>
          <w:b/>
        </w:rPr>
        <w:t>Problém</w:t>
      </w:r>
      <w:r>
        <w:t xml:space="preserve"> – příčina incidentu, pro účely tohoto dokumentu je používán zaměnitelně s incidentem (agregace incidentů se očekává od 1. úrovně helpdesku, kterou poskytovatel neposkytuje).</w:t>
      </w:r>
    </w:p>
    <w:p w14:paraId="71EE660A" w14:textId="77777777" w:rsidR="007B673C" w:rsidRDefault="008B1672" w:rsidP="008002D6">
      <w:pPr>
        <w:contextualSpacing w:val="0"/>
        <w:jc w:val="both"/>
      </w:pPr>
      <w:r>
        <w:rPr>
          <w:b/>
        </w:rPr>
        <w:t>Helpdesk</w:t>
      </w:r>
      <w:r>
        <w:t xml:space="preserve"> – služba, která reaguje a řeší incidenty.</w:t>
      </w:r>
    </w:p>
    <w:p w14:paraId="61CD76E8" w14:textId="77777777" w:rsidR="007B673C" w:rsidRDefault="008B1672" w:rsidP="008002D6">
      <w:pPr>
        <w:contextualSpacing w:val="0"/>
        <w:jc w:val="both"/>
      </w:pPr>
      <w:r>
        <w:rPr>
          <w:b/>
        </w:rPr>
        <w:t>Helpdesk 1. úrovně</w:t>
      </w:r>
      <w:r>
        <w:t xml:space="preserve"> – část helpdesku, která je kontaktována koncovými uživateli. Helpdesk 1. úrovně poskytuje tzv. podporu 1. úrovně.</w:t>
      </w:r>
    </w:p>
    <w:p w14:paraId="22578411" w14:textId="77777777" w:rsidR="007B673C" w:rsidRDefault="008B1672" w:rsidP="008002D6">
      <w:pPr>
        <w:contextualSpacing w:val="0"/>
        <w:jc w:val="both"/>
      </w:pPr>
      <w:r>
        <w:rPr>
          <w:b/>
        </w:rPr>
        <w:t>Helpdesk 2. úrovně</w:t>
      </w:r>
      <w:r>
        <w:t xml:space="preserve"> – část helpdesku, která je kontaktována 1. úrovní helpdesku, pokud tato nemá standardní proceduru řešení incidentu. Helpdesk 2. úrovně poskytuje podporu 2. úrovně.</w:t>
      </w:r>
    </w:p>
    <w:p w14:paraId="1272353A" w14:textId="77777777" w:rsidR="007B673C" w:rsidRDefault="00647A92" w:rsidP="008002D6">
      <w:pPr>
        <w:contextualSpacing w:val="0"/>
        <w:jc w:val="both"/>
      </w:pPr>
      <w:r>
        <w:rPr>
          <w:b/>
        </w:rPr>
        <w:t>Helpdesk 3</w:t>
      </w:r>
      <w:r w:rsidR="008B1672">
        <w:rPr>
          <w:b/>
        </w:rPr>
        <w:t>. úrovně</w:t>
      </w:r>
      <w:r w:rsidR="008B1672">
        <w:t xml:space="preserve"> – část helpdesku, která je kontaktována 2. úrovní helpdesku, pokud tato nemůže nebo neumí vyřešit inc</w:t>
      </w:r>
      <w:r>
        <w:t>i</w:t>
      </w:r>
      <w:r w:rsidR="008B1672">
        <w:t>dent či p</w:t>
      </w:r>
      <w:r>
        <w:t>r</w:t>
      </w:r>
      <w:r w:rsidR="008B1672">
        <w:t>oblém. Helpdesk 3. úrovně poskytuje podporu 3. úrovně.</w:t>
      </w:r>
    </w:p>
    <w:p w14:paraId="4270BCA0" w14:textId="77777777" w:rsidR="007B673C" w:rsidRDefault="008B1672" w:rsidP="008002D6">
      <w:pPr>
        <w:contextualSpacing w:val="0"/>
        <w:jc w:val="both"/>
      </w:pPr>
      <w:r>
        <w:rPr>
          <w:b/>
        </w:rPr>
        <w:t>Helpdesková aplikace</w:t>
      </w:r>
      <w:r>
        <w:t xml:space="preserve"> – online software používaný v rámci plnění této Smlouvy pro správu incidentů a logování provozních akcí.</w:t>
      </w:r>
    </w:p>
    <w:p w14:paraId="7A0115B2" w14:textId="77777777" w:rsidR="007B673C" w:rsidRDefault="008B1672" w:rsidP="008002D6">
      <w:pPr>
        <w:contextualSpacing w:val="0"/>
        <w:jc w:val="both"/>
      </w:pPr>
      <w:r>
        <w:rPr>
          <w:b/>
        </w:rPr>
        <w:t>Workaround</w:t>
      </w:r>
      <w:r>
        <w:t xml:space="preserve"> – procedura, zásah nebo konfigurační změna, která je použita pro snížení závažnosti incidentu, aniž by nutně byla vyřešena kořenová příčina souvisejícího problému.</w:t>
      </w:r>
    </w:p>
    <w:p w14:paraId="16AA4A1F" w14:textId="77777777" w:rsidR="007B673C" w:rsidRDefault="008B1672" w:rsidP="008002D6">
      <w:pPr>
        <w:contextualSpacing w:val="0"/>
        <w:jc w:val="both"/>
      </w:pPr>
      <w:r>
        <w:rPr>
          <w:b/>
        </w:rPr>
        <w:t>Hotfix</w:t>
      </w:r>
      <w:r>
        <w:t xml:space="preserve"> – opravná verze software, která je vydaná mimo řádný vývojový cyklus.</w:t>
      </w:r>
    </w:p>
    <w:p w14:paraId="1DEA55DD" w14:textId="77777777" w:rsidR="007B673C" w:rsidRDefault="008B1672" w:rsidP="008002D6">
      <w:pPr>
        <w:contextualSpacing w:val="0"/>
        <w:jc w:val="both"/>
      </w:pPr>
      <w:r>
        <w:rPr>
          <w:b/>
        </w:rPr>
        <w:t>Provozní technik</w:t>
      </w:r>
      <w:r>
        <w:t xml:space="preserve"> – role pracovníků poskytovatele, která má přístup do produkčního prostředí.</w:t>
      </w:r>
    </w:p>
    <w:p w14:paraId="41ECC784" w14:textId="77777777" w:rsidR="007B673C" w:rsidRDefault="008B1672" w:rsidP="008002D6">
      <w:pPr>
        <w:contextualSpacing w:val="0"/>
        <w:jc w:val="both"/>
      </w:pPr>
      <w:r>
        <w:rPr>
          <w:b/>
        </w:rPr>
        <w:t>Vývojář</w:t>
      </w:r>
      <w:r w:rsidR="00647A92">
        <w:t xml:space="preserve"> – role pracovníků P</w:t>
      </w:r>
      <w:r>
        <w:t>oskytovatele, která je oprávněna provádět zásahy do zdrojového kódu aplikace a vydávat opravné verze (hotfixy).</w:t>
      </w:r>
    </w:p>
    <w:p w14:paraId="33AEF0B1" w14:textId="77777777" w:rsidR="007B673C" w:rsidRDefault="008B1672" w:rsidP="008002D6">
      <w:pPr>
        <w:contextualSpacing w:val="0"/>
        <w:jc w:val="both"/>
      </w:pPr>
      <w:r>
        <w:rPr>
          <w:b/>
        </w:rPr>
        <w:t>Třetí strana</w:t>
      </w:r>
      <w:r>
        <w:t xml:space="preserve"> – jiná fyzická či právnická osoba než objednatel a poskytovatel.</w:t>
      </w:r>
    </w:p>
    <w:p w14:paraId="595472B1" w14:textId="77777777" w:rsidR="007B673C" w:rsidRDefault="008B1672" w:rsidP="008002D6">
      <w:pPr>
        <w:contextualSpacing w:val="0"/>
        <w:jc w:val="both"/>
      </w:pPr>
      <w:r>
        <w:rPr>
          <w:b/>
        </w:rPr>
        <w:t>Poskytovatel infrastruktury</w:t>
      </w:r>
      <w:r>
        <w:t xml:space="preserve"> – třetí strana zodpovědná za provoz hardware a konektivitu.</w:t>
      </w:r>
    </w:p>
    <w:p w14:paraId="17C0D994" w14:textId="77777777" w:rsidR="007B673C" w:rsidRDefault="008B1672" w:rsidP="008002D6">
      <w:pPr>
        <w:contextualSpacing w:val="0"/>
        <w:jc w:val="both"/>
      </w:pPr>
      <w:r>
        <w:rPr>
          <w:b/>
        </w:rPr>
        <w:t>Aplikace</w:t>
      </w:r>
      <w:r>
        <w:t xml:space="preserve"> – IdM řešení dodané společností Orchitech Solutions, s.r.o. pro potřeby společnosti </w:t>
      </w:r>
      <w:r w:rsidR="009717C8">
        <w:t>objednatele.</w:t>
      </w:r>
    </w:p>
    <w:p w14:paraId="5C67BE1C" w14:textId="77777777" w:rsidR="000B0B0D" w:rsidRDefault="000B0B0D" w:rsidP="008002D6">
      <w:pPr>
        <w:contextualSpacing w:val="0"/>
        <w:jc w:val="both"/>
      </w:pPr>
      <w:r w:rsidRPr="00500680">
        <w:rPr>
          <w:b/>
        </w:rPr>
        <w:t>MD</w:t>
      </w:r>
      <w:r>
        <w:t xml:space="preserve"> – </w:t>
      </w:r>
      <w:r w:rsidR="00672239">
        <w:t>měrná jednotka člověkoden</w:t>
      </w:r>
    </w:p>
    <w:p w14:paraId="12F50C9E" w14:textId="77777777" w:rsidR="007B673C" w:rsidRDefault="008B1672" w:rsidP="008002D6">
      <w:pPr>
        <w:pStyle w:val="Nadpis1"/>
        <w:jc w:val="both"/>
      </w:pPr>
      <w:bookmarkStart w:id="6" w:name="h.p4ecmda38ftv" w:colFirst="0" w:colLast="0"/>
      <w:bookmarkEnd w:id="6"/>
      <w:r>
        <w:t xml:space="preserve">Předmět </w:t>
      </w:r>
      <w:r w:rsidR="00647A92">
        <w:t>S</w:t>
      </w:r>
      <w:r>
        <w:t>mlouvy</w:t>
      </w:r>
    </w:p>
    <w:p w14:paraId="5DF1D812" w14:textId="77777777" w:rsidR="00C30C4C" w:rsidRDefault="00083E7B" w:rsidP="008002D6">
      <w:pPr>
        <w:pStyle w:val="Legal-Article"/>
        <w:jc w:val="both"/>
      </w:pPr>
      <w:r>
        <w:t xml:space="preserve">Poskytovatel bude za podmínek a v rozsahu stanoveném touto smlouvou poskytovat </w:t>
      </w:r>
      <w:r w:rsidR="00C30C4C">
        <w:t xml:space="preserve">Objednateli </w:t>
      </w:r>
      <w:r>
        <w:t>technickou provozní podporu 3. úrovně pro aplikaci</w:t>
      </w:r>
      <w:r w:rsidR="00ED07C9">
        <w:t xml:space="preserve"> (dále jen „Služby“)</w:t>
      </w:r>
      <w:r>
        <w:t xml:space="preserve">. </w:t>
      </w:r>
      <w:r w:rsidR="00C30C4C" w:rsidRPr="00970CCF">
        <w:t>Poskytovatel poskytuje Služby na základě požadavků</w:t>
      </w:r>
      <w:r w:rsidR="00C30C4C" w:rsidRPr="00C30C4C">
        <w:t xml:space="preserve"> na provedení s</w:t>
      </w:r>
      <w:r w:rsidR="00C30C4C" w:rsidRPr="00970CCF">
        <w:t xml:space="preserve">lužeb dle podmínek této smlouvy. Požadavky jsou hlášeny </w:t>
      </w:r>
      <w:r w:rsidR="00C30C4C">
        <w:t>prostřednictvím</w:t>
      </w:r>
      <w:r w:rsidR="00C30C4C" w:rsidRPr="00970CCF">
        <w:t xml:space="preserve"> Helpdesk</w:t>
      </w:r>
      <w:r w:rsidR="00C30C4C">
        <w:t>u</w:t>
      </w:r>
      <w:r w:rsidR="00C30C4C" w:rsidRPr="00970CCF">
        <w:t xml:space="preserve"> </w:t>
      </w:r>
      <w:r w:rsidR="00C30C4C">
        <w:t>3. úrovně</w:t>
      </w:r>
      <w:r w:rsidR="00C30C4C" w:rsidRPr="00970CCF">
        <w:t xml:space="preserve">. </w:t>
      </w:r>
    </w:p>
    <w:p w14:paraId="21FB201B" w14:textId="6265EC05" w:rsidR="00D6222B" w:rsidRDefault="00083E7B" w:rsidP="008002D6">
      <w:pPr>
        <w:pStyle w:val="Legal-Article"/>
        <w:jc w:val="both"/>
      </w:pPr>
      <w:r>
        <w:t xml:space="preserve">Objednatel Poskytovateli za tyto </w:t>
      </w:r>
      <w:r w:rsidR="00ED07C9">
        <w:t>S</w:t>
      </w:r>
      <w:r>
        <w:t>lužby zaplatí odměnu dle této smlouvy.</w:t>
      </w:r>
    </w:p>
    <w:p w14:paraId="3A0B5F0F" w14:textId="77777777" w:rsidR="007B673C" w:rsidRDefault="008B1672" w:rsidP="008002D6">
      <w:pPr>
        <w:pStyle w:val="Nadpis1"/>
        <w:contextualSpacing w:val="0"/>
        <w:jc w:val="both"/>
      </w:pPr>
      <w:bookmarkStart w:id="7" w:name="h.s7j5v2ffgr4" w:colFirst="0" w:colLast="0"/>
      <w:bookmarkEnd w:id="7"/>
      <w:r>
        <w:t>Služby v rámci provozu IdM a jejich pokrytí</w:t>
      </w:r>
    </w:p>
    <w:p w14:paraId="614AA594" w14:textId="77777777" w:rsidR="007B673C" w:rsidRDefault="008B1672" w:rsidP="008002D6">
      <w:pPr>
        <w:pStyle w:val="Legal-Article"/>
        <w:jc w:val="both"/>
      </w:pPr>
      <w:r>
        <w:t xml:space="preserve">V rámci provozu IdM jsou </w:t>
      </w:r>
      <w:r w:rsidR="00C30C4C">
        <w:t xml:space="preserve">objednateli poskytovány </w:t>
      </w:r>
      <w:r>
        <w:t>následující služby</w:t>
      </w:r>
      <w:r w:rsidR="00C30C4C">
        <w:t>, jejichž detailní specifikace je uvedena v příloze č. 1 k této smlouvě:</w:t>
      </w:r>
    </w:p>
    <w:p w14:paraId="07BF0486" w14:textId="77777777" w:rsidR="007B673C" w:rsidRDefault="008B1672" w:rsidP="008002D6">
      <w:pPr>
        <w:numPr>
          <w:ilvl w:val="0"/>
          <w:numId w:val="4"/>
        </w:numPr>
        <w:ind w:hanging="360"/>
        <w:jc w:val="both"/>
      </w:pPr>
      <w:r>
        <w:rPr>
          <w:b/>
        </w:rPr>
        <w:lastRenderedPageBreak/>
        <w:t>SUP3 Expertní podpora</w:t>
      </w:r>
      <w:r w:rsidR="00011D0B">
        <w:rPr>
          <w:b/>
        </w:rPr>
        <w:t xml:space="preserve"> 3. úrovně</w:t>
      </w:r>
      <w:r>
        <w:t xml:space="preserve"> – příjem, vyhodnocení a řešení incidentů a problémů z helpdesku 2. úrovně a z monitoringu. Službu zajišťuje Poskytovatel.</w:t>
      </w:r>
    </w:p>
    <w:p w14:paraId="461D2F6B" w14:textId="77777777" w:rsidR="007B673C" w:rsidRDefault="008B1672" w:rsidP="008002D6">
      <w:pPr>
        <w:numPr>
          <w:ilvl w:val="0"/>
          <w:numId w:val="4"/>
        </w:numPr>
        <w:ind w:hanging="360"/>
        <w:jc w:val="both"/>
      </w:pPr>
      <w:r>
        <w:rPr>
          <w:b/>
        </w:rPr>
        <w:t>SUP4 Profylaxe</w:t>
      </w:r>
      <w:r>
        <w:t xml:space="preserve"> – pravidelné činnosti kontroly logů a kondice provozovaného systému IdM. Provádění opatření v návaznosti na zjištěné skutečnosti. Službu zajišťuje Poskytovatel.</w:t>
      </w:r>
    </w:p>
    <w:p w14:paraId="68B0F230" w14:textId="77777777" w:rsidR="007B673C" w:rsidRDefault="008B1672" w:rsidP="008002D6">
      <w:pPr>
        <w:numPr>
          <w:ilvl w:val="0"/>
          <w:numId w:val="4"/>
        </w:numPr>
        <w:ind w:hanging="360"/>
        <w:jc w:val="both"/>
      </w:pPr>
      <w:r>
        <w:rPr>
          <w:b/>
        </w:rPr>
        <w:t>SUP7 Reporty</w:t>
      </w:r>
      <w:r>
        <w:t xml:space="preserve"> – služba měsíční tvorby reportů o činnosti provozní podpory dle této smlouvy. Službu zajišťuje Poskytovatel.</w:t>
      </w:r>
    </w:p>
    <w:p w14:paraId="6747FEDE" w14:textId="77777777" w:rsidR="00AB4756" w:rsidRPr="00AB4756" w:rsidRDefault="00AB4756" w:rsidP="008002D6">
      <w:pPr>
        <w:numPr>
          <w:ilvl w:val="0"/>
          <w:numId w:val="4"/>
        </w:numPr>
        <w:ind w:hanging="360"/>
        <w:jc w:val="both"/>
      </w:pPr>
      <w:r>
        <w:rPr>
          <w:b/>
        </w:rPr>
        <w:t>SUP9 Drobné vývojové změny</w:t>
      </w:r>
    </w:p>
    <w:p w14:paraId="500965E9" w14:textId="77777777" w:rsidR="00AB4756" w:rsidRPr="00970CCF" w:rsidRDefault="00AB4756" w:rsidP="008002D6">
      <w:pPr>
        <w:numPr>
          <w:ilvl w:val="0"/>
          <w:numId w:val="4"/>
        </w:numPr>
        <w:ind w:hanging="360"/>
        <w:jc w:val="both"/>
      </w:pPr>
      <w:r>
        <w:rPr>
          <w:b/>
        </w:rPr>
        <w:t>SUP10 Doplňková aplikační podpora</w:t>
      </w:r>
    </w:p>
    <w:p w14:paraId="13977EA1" w14:textId="77777777" w:rsidR="00ED07C9" w:rsidRDefault="00D1751A" w:rsidP="008002D6">
      <w:pPr>
        <w:pStyle w:val="Legal-Article"/>
        <w:jc w:val="both"/>
      </w:pPr>
      <w:r>
        <w:t>Služby SUP3, SUP4, SUP7 a SUP9 jsou dle této smlouvy poskytovány jako fixní plnění v rozsahu specifikovaném dále</w:t>
      </w:r>
      <w:r w:rsidR="002D7280">
        <w:t xml:space="preserve">, zejména v čl. 3 </w:t>
      </w:r>
      <w:proofErr w:type="gramStart"/>
      <w:r w:rsidR="002D7280">
        <w:t>této</w:t>
      </w:r>
      <w:proofErr w:type="gramEnd"/>
      <w:r w:rsidR="002D7280">
        <w:t xml:space="preserve"> smlouvy</w:t>
      </w:r>
      <w:r>
        <w:t>.</w:t>
      </w:r>
      <w:r w:rsidR="00AC7221">
        <w:t xml:space="preserve"> Služby nad rámec sjednaného rozsahu budou poskytovány na základě objednávky objednatele zaslané zejména prostřednictvím komunikačních prostředků upravených v této smlouvě a akceptované poskytovatelem. </w:t>
      </w:r>
    </w:p>
    <w:p w14:paraId="50052CB7" w14:textId="787ED00B" w:rsidR="00111D22" w:rsidRDefault="00ED07C9" w:rsidP="008002D6">
      <w:pPr>
        <w:pStyle w:val="Legal-Article"/>
        <w:jc w:val="both"/>
      </w:pPr>
      <w:r>
        <w:t>Smluvní strany si sjednávají, že pokud dojde k</w:t>
      </w:r>
      <w:r w:rsidR="00F9127F">
        <w:t> </w:t>
      </w:r>
      <w:r w:rsidR="00476B08">
        <w:t>vyčerpán</w:t>
      </w:r>
      <w:r>
        <w:t>í</w:t>
      </w:r>
      <w:r w:rsidR="00F9127F">
        <w:t xml:space="preserve"> </w:t>
      </w:r>
      <w:r w:rsidR="00476B08">
        <w:t xml:space="preserve">rozsahu MD na SUP3 nebo SUP9 </w:t>
      </w:r>
      <w:r>
        <w:t>může Objednatel</w:t>
      </w:r>
      <w:r w:rsidR="00476B08">
        <w:t xml:space="preserve"> na SUP3 a SUP9 využít </w:t>
      </w:r>
      <w:r>
        <w:t xml:space="preserve">dosud </w:t>
      </w:r>
      <w:r w:rsidR="00476B08">
        <w:t>nevyužité MD</w:t>
      </w:r>
      <w:r>
        <w:t xml:space="preserve"> z</w:t>
      </w:r>
      <w:r w:rsidR="00476B08">
        <w:t xml:space="preserve"> druhé oblasti.</w:t>
      </w:r>
    </w:p>
    <w:p w14:paraId="2A8ECDE5" w14:textId="77777777" w:rsidR="00D1751A" w:rsidRDefault="00D1751A" w:rsidP="00970CCF"/>
    <w:p w14:paraId="437D9FC2" w14:textId="77777777" w:rsidR="007B673C" w:rsidRDefault="008B1672">
      <w:pPr>
        <w:pStyle w:val="Nadpis1"/>
        <w:contextualSpacing w:val="0"/>
      </w:pPr>
      <w:bookmarkStart w:id="8" w:name="h.d1lyw5b64wd1" w:colFirst="0" w:colLast="0"/>
      <w:bookmarkEnd w:id="8"/>
      <w:r>
        <w:t>Cena</w:t>
      </w:r>
    </w:p>
    <w:p w14:paraId="4566BFF3" w14:textId="21FF0429" w:rsidR="007B673C" w:rsidRDefault="008B1672" w:rsidP="008002D6">
      <w:pPr>
        <w:pStyle w:val="Legal-Article"/>
        <w:jc w:val="both"/>
      </w:pPr>
      <w:bookmarkStart w:id="9" w:name="h.g5zxs94ytijk" w:colFirst="0" w:colLast="0"/>
      <w:bookmarkEnd w:id="9"/>
      <w:r>
        <w:t>Cena za</w:t>
      </w:r>
      <w:r w:rsidR="00D21558">
        <w:t xml:space="preserve"> fixní</w:t>
      </w:r>
      <w:r>
        <w:t xml:space="preserve"> plnění</w:t>
      </w:r>
      <w:r w:rsidR="00AC7221">
        <w:t xml:space="preserve"> je mezi smluvními stranami </w:t>
      </w:r>
      <w:r w:rsidR="00810035">
        <w:t xml:space="preserve">po celou dobu trvání Smlouvy </w:t>
      </w:r>
      <w:r w:rsidR="00AC7221">
        <w:t>sjednána v</w:t>
      </w:r>
      <w:r w:rsidR="0048491C">
        <w:t> </w:t>
      </w:r>
      <w:r w:rsidR="00ED07C9">
        <w:t>neměnné</w:t>
      </w:r>
      <w:r w:rsidR="00AC7221">
        <w:t xml:space="preserve"> výši</w:t>
      </w:r>
      <w:r w:rsidR="00ED07C9">
        <w:t>, tak jak je uváděna v následující tabulce</w:t>
      </w:r>
      <w:r w:rsidR="00AC7221">
        <w:t>:</w:t>
      </w:r>
    </w:p>
    <w:tbl>
      <w:tblPr>
        <w:tblStyle w:val="a"/>
        <w:tblW w:w="1077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2410"/>
        <w:gridCol w:w="2693"/>
      </w:tblGrid>
      <w:tr w:rsidR="00D21558" w14:paraId="03CDCABF" w14:textId="77777777" w:rsidTr="00D21558"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AB64" w14:textId="77777777" w:rsidR="00D21558" w:rsidRDefault="00D21558">
            <w:pPr>
              <w:spacing w:line="240" w:lineRule="auto"/>
              <w:contextualSpacing w:val="0"/>
            </w:pPr>
            <w:r>
              <w:rPr>
                <w:b/>
              </w:rPr>
              <w:t>Služba</w:t>
            </w:r>
          </w:p>
        </w:tc>
        <w:tc>
          <w:tcPr>
            <w:tcW w:w="24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D433" w14:textId="77777777" w:rsidR="00D21558" w:rsidRDefault="00D21558">
            <w:pPr>
              <w:spacing w:line="240" w:lineRule="auto"/>
              <w:contextualSpacing w:val="0"/>
            </w:pPr>
            <w:r>
              <w:rPr>
                <w:b/>
              </w:rPr>
              <w:t>Cena v Kč</w:t>
            </w:r>
            <w:r>
              <w:rPr>
                <w:b/>
              </w:rPr>
              <w:br/>
              <w:t>bez DPH</w:t>
            </w:r>
          </w:p>
        </w:tc>
        <w:tc>
          <w:tcPr>
            <w:tcW w:w="2693" w:type="dxa"/>
            <w:shd w:val="clear" w:color="auto" w:fill="D9D9D9"/>
          </w:tcPr>
          <w:p w14:paraId="12167D33" w14:textId="77777777" w:rsidR="00D21558" w:rsidRDefault="00D21558">
            <w:pPr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Upřesnění</w:t>
            </w:r>
          </w:p>
        </w:tc>
      </w:tr>
      <w:tr w:rsidR="00D21558" w14:paraId="1A43A57C" w14:textId="77777777" w:rsidTr="00D21558"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C43A" w14:textId="77777777" w:rsidR="00D21558" w:rsidRDefault="00D21558">
            <w:pPr>
              <w:spacing w:line="240" w:lineRule="auto"/>
              <w:contextualSpacing w:val="0"/>
            </w:pPr>
            <w:r>
              <w:t>SUP4 a SUP7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9972" w14:textId="23EC66DA" w:rsidR="00D21558" w:rsidRDefault="00E417F8">
            <w:pPr>
              <w:spacing w:line="240" w:lineRule="auto"/>
              <w:contextualSpacing w:val="0"/>
              <w:jc w:val="right"/>
            </w:pPr>
            <w:r>
              <w:t>XXX</w:t>
            </w:r>
            <w:r w:rsidR="00D21558">
              <w:t xml:space="preserve"> / měsíc</w:t>
            </w:r>
          </w:p>
        </w:tc>
        <w:tc>
          <w:tcPr>
            <w:tcW w:w="2693" w:type="dxa"/>
          </w:tcPr>
          <w:p w14:paraId="748E82FA" w14:textId="77777777" w:rsidR="00D21558" w:rsidRDefault="00D21558" w:rsidP="00D21558">
            <w:pPr>
              <w:spacing w:line="240" w:lineRule="auto"/>
              <w:contextualSpacing w:val="0"/>
            </w:pPr>
          </w:p>
        </w:tc>
      </w:tr>
      <w:tr w:rsidR="00D21558" w14:paraId="081BFFFA" w14:textId="77777777" w:rsidTr="00D21558"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58D8" w14:textId="77777777" w:rsidR="00D21558" w:rsidRDefault="00D21558" w:rsidP="00D21558">
            <w:pPr>
              <w:spacing w:line="240" w:lineRule="auto"/>
              <w:contextualSpacing w:val="0"/>
            </w:pPr>
            <w:r>
              <w:t>SUP3 v rozsahu max. 15 MD ročně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254B" w14:textId="3F3270CB" w:rsidR="00D21558" w:rsidRDefault="00E417F8">
            <w:pPr>
              <w:spacing w:line="240" w:lineRule="auto"/>
              <w:contextualSpacing w:val="0"/>
              <w:jc w:val="right"/>
            </w:pPr>
            <w:r>
              <w:t>XXX</w:t>
            </w:r>
            <w:r w:rsidR="00D21558">
              <w:t xml:space="preserve"> / rok</w:t>
            </w:r>
          </w:p>
        </w:tc>
        <w:tc>
          <w:tcPr>
            <w:tcW w:w="2693" w:type="dxa"/>
          </w:tcPr>
          <w:p w14:paraId="5E1C8B61" w14:textId="7E7CE53C" w:rsidR="00D21558" w:rsidRDefault="00E417F8" w:rsidP="00343BF4">
            <w:pPr>
              <w:spacing w:line="240" w:lineRule="auto"/>
              <w:contextualSpacing w:val="0"/>
            </w:pPr>
            <w:r>
              <w:t>XXX</w:t>
            </w:r>
            <w:r w:rsidR="00D21558">
              <w:t>.</w:t>
            </w:r>
          </w:p>
        </w:tc>
      </w:tr>
      <w:tr w:rsidR="00D21558" w14:paraId="783D9941" w14:textId="77777777" w:rsidTr="00D21558"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D756" w14:textId="77777777" w:rsidR="00D21558" w:rsidRDefault="00D21558" w:rsidP="00D21558">
            <w:pPr>
              <w:spacing w:line="240" w:lineRule="auto"/>
              <w:contextualSpacing w:val="0"/>
            </w:pPr>
            <w:r>
              <w:t>SUP9 v rozsahu 15 MD ročně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DCF4" w14:textId="18732CE7" w:rsidR="00D21558" w:rsidRDefault="00E417F8">
            <w:pPr>
              <w:spacing w:line="240" w:lineRule="auto"/>
              <w:contextualSpacing w:val="0"/>
              <w:jc w:val="right"/>
            </w:pPr>
            <w:r>
              <w:t>XXX</w:t>
            </w:r>
            <w:r w:rsidR="00D21558">
              <w:t xml:space="preserve"> / rok</w:t>
            </w:r>
          </w:p>
        </w:tc>
        <w:tc>
          <w:tcPr>
            <w:tcW w:w="2693" w:type="dxa"/>
          </w:tcPr>
          <w:p w14:paraId="31C546E5" w14:textId="7609DE01" w:rsidR="00D21558" w:rsidRDefault="00E417F8" w:rsidP="00E417F8">
            <w:pPr>
              <w:spacing w:line="240" w:lineRule="auto"/>
              <w:contextualSpacing w:val="0"/>
            </w:pPr>
            <w:r>
              <w:t>XXX</w:t>
            </w:r>
            <w:r w:rsidR="00343BF4">
              <w:t xml:space="preserve"> </w:t>
            </w:r>
          </w:p>
        </w:tc>
      </w:tr>
      <w:tr w:rsidR="00D21558" w14:paraId="7A5C4618" w14:textId="77777777" w:rsidTr="00D21558"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3930" w14:textId="77777777" w:rsidR="00D21558" w:rsidRDefault="00D21558" w:rsidP="009026A1">
            <w:pPr>
              <w:spacing w:line="240" w:lineRule="auto"/>
              <w:contextualSpacing w:val="0"/>
            </w:pPr>
            <w:r>
              <w:t>SUP</w:t>
            </w:r>
            <w:r w:rsidR="009026A1">
              <w:t>10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D9E7" w14:textId="77777777" w:rsidR="00D21558" w:rsidRDefault="009026A1">
            <w:pPr>
              <w:spacing w:line="240" w:lineRule="auto"/>
              <w:contextualSpacing w:val="0"/>
              <w:jc w:val="right"/>
            </w:pPr>
            <w:r>
              <w:t>Dle ceníku níže</w:t>
            </w:r>
          </w:p>
        </w:tc>
        <w:tc>
          <w:tcPr>
            <w:tcW w:w="2693" w:type="dxa"/>
          </w:tcPr>
          <w:p w14:paraId="5A6F494F" w14:textId="77777777" w:rsidR="00D21558" w:rsidRDefault="00D21558" w:rsidP="00D21558">
            <w:pPr>
              <w:spacing w:line="240" w:lineRule="auto"/>
              <w:contextualSpacing w:val="0"/>
            </w:pPr>
          </w:p>
        </w:tc>
      </w:tr>
    </w:tbl>
    <w:p w14:paraId="40FA0439" w14:textId="77777777" w:rsidR="007B673C" w:rsidRDefault="007B673C">
      <w:pPr>
        <w:contextualSpacing w:val="0"/>
      </w:pPr>
    </w:p>
    <w:p w14:paraId="5280E223" w14:textId="77777777" w:rsidR="009026A1" w:rsidRDefault="009026A1" w:rsidP="009026A1">
      <w:pPr>
        <w:pStyle w:val="Legal-Article"/>
      </w:pPr>
      <w:r>
        <w:t>Cena doplňkové aplikační podpory SUP10</w:t>
      </w:r>
    </w:p>
    <w:p w14:paraId="357033FA" w14:textId="731F1AD4" w:rsidR="009026A1" w:rsidRDefault="009026A1" w:rsidP="009026A1">
      <w:pPr>
        <w:pStyle w:val="Legal-Article"/>
        <w:numPr>
          <w:ilvl w:val="0"/>
          <w:numId w:val="0"/>
        </w:numPr>
      </w:pPr>
      <w:r>
        <w:t>C</w:t>
      </w:r>
      <w:r w:rsidRPr="009026A1">
        <w:t xml:space="preserve">eny </w:t>
      </w:r>
      <w:r>
        <w:t xml:space="preserve">v tomto odstavci </w:t>
      </w:r>
      <w:r w:rsidRPr="009026A1">
        <w:t>budou aplikovány nad rámec ceny služby aplikační podpora pouze v</w:t>
      </w:r>
      <w:r>
        <w:t> </w:t>
      </w:r>
      <w:r w:rsidRPr="009026A1">
        <w:t xml:space="preserve">případě, </w:t>
      </w:r>
      <w:r w:rsidR="00ED07C9">
        <w:t>že</w:t>
      </w:r>
      <w:r w:rsidR="0048491C">
        <w:t xml:space="preserve"> </w:t>
      </w:r>
      <w:r w:rsidR="00ED07C9">
        <w:t xml:space="preserve">dojde k </w:t>
      </w:r>
      <w:r w:rsidRPr="009026A1">
        <w:t>překročen</w:t>
      </w:r>
      <w:r w:rsidR="00ED07C9">
        <w:t>í</w:t>
      </w:r>
      <w:r w:rsidRPr="009026A1">
        <w:t xml:space="preserve"> požadovan</w:t>
      </w:r>
      <w:r w:rsidR="00ED07C9">
        <w:t>ého</w:t>
      </w:r>
      <w:r w:rsidRPr="009026A1">
        <w:t xml:space="preserve"> rozsah</w:t>
      </w:r>
      <w:r w:rsidR="00ED07C9">
        <w:t xml:space="preserve">u SUP3 a </w:t>
      </w:r>
      <w:r w:rsidRPr="009026A1">
        <w:t xml:space="preserve"> </w:t>
      </w:r>
      <w:r w:rsidR="00343BF4">
        <w:t>SUP9</w:t>
      </w:r>
      <w:r w:rsidR="00ED07C9">
        <w:t>, tj.</w:t>
      </w:r>
      <w:r w:rsidR="00343BF4">
        <w:t xml:space="preserve"> </w:t>
      </w:r>
      <w:r w:rsidR="00ED07C9">
        <w:t>30</w:t>
      </w:r>
      <w:r w:rsidRPr="009026A1">
        <w:t xml:space="preserve"> </w:t>
      </w:r>
      <w:r w:rsidR="00343BF4">
        <w:t>MD</w:t>
      </w:r>
      <w:r w:rsidRPr="009026A1">
        <w:t>.</w:t>
      </w:r>
    </w:p>
    <w:p w14:paraId="2C86E0CD" w14:textId="77777777" w:rsidR="009026A1" w:rsidRDefault="009026A1" w:rsidP="009026A1"/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828"/>
      </w:tblGrid>
      <w:tr w:rsidR="009026A1" w14:paraId="4BF4B2A3" w14:textId="77777777" w:rsidTr="009026A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FD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6AF04A" w14:textId="77777777" w:rsidR="009026A1" w:rsidRDefault="009026A1" w:rsidP="00AC7221">
            <w:pPr>
              <w:pStyle w:val="Normlnweb"/>
              <w:spacing w:before="0"/>
              <w:ind w:left="100"/>
              <w:jc w:val="center"/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  <w:shd w:val="clear" w:color="auto" w:fill="009FDA"/>
              </w:rPr>
              <w:t>Služby / Role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FD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911C3B" w14:textId="77777777" w:rsidR="009026A1" w:rsidRDefault="009026A1" w:rsidP="00AC7221">
            <w:pPr>
              <w:pStyle w:val="Normlnweb"/>
              <w:spacing w:before="0"/>
              <w:ind w:left="100"/>
              <w:jc w:val="center"/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  <w:shd w:val="clear" w:color="auto" w:fill="009FDA"/>
              </w:rPr>
              <w:t>Nabídková cena za MD v Kč bez DPH</w:t>
            </w:r>
          </w:p>
        </w:tc>
      </w:tr>
      <w:tr w:rsidR="009026A1" w14:paraId="72E7FA97" w14:textId="77777777" w:rsidTr="009026A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7601B1" w14:textId="77777777" w:rsidR="009026A1" w:rsidRDefault="009026A1" w:rsidP="00AC7221">
            <w:pPr>
              <w:pStyle w:val="Normlnweb"/>
              <w:spacing w:before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Subject Matter Expert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2B9B0D" w14:textId="7BBCA236" w:rsidR="009026A1" w:rsidRDefault="00E417F8" w:rsidP="00AC7221">
            <w:pPr>
              <w:pStyle w:val="Normlnweb"/>
              <w:spacing w:before="0"/>
              <w:ind w:left="100"/>
              <w:jc w:val="right"/>
            </w:pPr>
            <w:r>
              <w:rPr>
                <w:rFonts w:cs="Arial"/>
                <w:color w:val="000000"/>
                <w:sz w:val="18"/>
                <w:szCs w:val="18"/>
              </w:rPr>
              <w:t> XXX</w:t>
            </w:r>
          </w:p>
        </w:tc>
      </w:tr>
      <w:tr w:rsidR="009026A1" w14:paraId="36CA2BF0" w14:textId="77777777" w:rsidTr="009026A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856DE3" w14:textId="77777777" w:rsidR="009026A1" w:rsidRDefault="009026A1" w:rsidP="00AC7221">
            <w:pPr>
              <w:pStyle w:val="Normlnweb"/>
              <w:spacing w:before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Projektový manažer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D58132" w14:textId="5C0BD600" w:rsidR="009026A1" w:rsidRDefault="00E417F8" w:rsidP="00AC7221">
            <w:pPr>
              <w:pStyle w:val="Normlnweb"/>
              <w:spacing w:before="0"/>
              <w:ind w:left="100"/>
              <w:jc w:val="right"/>
            </w:pPr>
            <w:r>
              <w:rPr>
                <w:rFonts w:cs="Arial"/>
                <w:color w:val="000000"/>
                <w:sz w:val="18"/>
                <w:szCs w:val="18"/>
              </w:rPr>
              <w:t> XXX</w:t>
            </w:r>
            <w:r w:rsidR="009026A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26A1" w14:paraId="0E4A2417" w14:textId="77777777" w:rsidTr="009026A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0468B0" w14:textId="77777777" w:rsidR="009026A1" w:rsidRDefault="009026A1" w:rsidP="00AC7221">
            <w:pPr>
              <w:pStyle w:val="Normlnweb"/>
              <w:spacing w:before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Konzultant senior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30DAE4" w14:textId="051FF038" w:rsidR="009026A1" w:rsidRDefault="00E417F8" w:rsidP="00AC7221">
            <w:pPr>
              <w:pStyle w:val="Normlnweb"/>
              <w:spacing w:before="0"/>
              <w:ind w:left="100"/>
              <w:jc w:val="right"/>
            </w:pPr>
            <w:r>
              <w:rPr>
                <w:rFonts w:cs="Arial"/>
                <w:color w:val="000000"/>
                <w:sz w:val="18"/>
                <w:szCs w:val="18"/>
              </w:rPr>
              <w:t> XXX</w:t>
            </w:r>
            <w:r w:rsidR="009026A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26A1" w14:paraId="795932A7" w14:textId="77777777" w:rsidTr="009026A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572FDE" w14:textId="77777777" w:rsidR="009026A1" w:rsidRDefault="009026A1" w:rsidP="00AC7221">
            <w:pPr>
              <w:pStyle w:val="Normlnweb"/>
              <w:spacing w:before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Konzultant junior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D42341" w14:textId="3CFBFB0A" w:rsidR="009026A1" w:rsidRDefault="00E417F8" w:rsidP="00AC7221">
            <w:pPr>
              <w:pStyle w:val="Normlnweb"/>
              <w:spacing w:before="0"/>
              <w:ind w:left="100"/>
              <w:jc w:val="right"/>
            </w:pPr>
            <w:r>
              <w:rPr>
                <w:rFonts w:cs="Arial"/>
                <w:color w:val="000000"/>
                <w:sz w:val="18"/>
                <w:szCs w:val="18"/>
              </w:rPr>
              <w:t> XXX</w:t>
            </w:r>
            <w:r w:rsidR="009026A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26A1" w14:paraId="4C3D0896" w14:textId="77777777" w:rsidTr="009026A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F919CA" w14:textId="77777777" w:rsidR="009026A1" w:rsidRDefault="009026A1" w:rsidP="00AC7221">
            <w:pPr>
              <w:pStyle w:val="Normlnweb"/>
              <w:spacing w:before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Vývojář senior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5F5498" w14:textId="3FE8F92C" w:rsidR="009026A1" w:rsidRDefault="00E417F8" w:rsidP="00AC7221">
            <w:pPr>
              <w:pStyle w:val="Normlnweb"/>
              <w:spacing w:before="0"/>
              <w:ind w:left="100"/>
              <w:jc w:val="right"/>
            </w:pPr>
            <w:r>
              <w:rPr>
                <w:rFonts w:cs="Arial"/>
                <w:color w:val="000000"/>
                <w:sz w:val="18"/>
                <w:szCs w:val="18"/>
              </w:rPr>
              <w:t> XXX</w:t>
            </w:r>
            <w:r w:rsidR="009026A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026A1" w14:paraId="72689FD7" w14:textId="77777777" w:rsidTr="009026A1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7F3343" w14:textId="77777777" w:rsidR="009026A1" w:rsidRDefault="009026A1" w:rsidP="00AC7221">
            <w:pPr>
              <w:pStyle w:val="Normlnweb"/>
              <w:spacing w:before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Vývojář junior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DE8A34" w14:textId="487561D1" w:rsidR="009026A1" w:rsidRDefault="00E417F8" w:rsidP="00AC7221">
            <w:pPr>
              <w:pStyle w:val="Normlnweb"/>
              <w:spacing w:before="0"/>
              <w:ind w:left="100"/>
              <w:jc w:val="right"/>
            </w:pPr>
            <w:r>
              <w:rPr>
                <w:rFonts w:cs="Arial"/>
                <w:color w:val="000000"/>
                <w:sz w:val="18"/>
                <w:szCs w:val="18"/>
              </w:rPr>
              <w:t> XXX</w:t>
            </w:r>
            <w:r w:rsidR="009026A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2C8E8BA" w14:textId="77777777" w:rsidR="003D7D75" w:rsidRDefault="003D7D75" w:rsidP="008002D6">
      <w:pPr>
        <w:pStyle w:val="Nadpis1"/>
        <w:contextualSpacing w:val="0"/>
        <w:jc w:val="both"/>
      </w:pPr>
      <w:bookmarkStart w:id="10" w:name="h.n7v6ld5vc50h" w:colFirst="0" w:colLast="0"/>
      <w:bookmarkEnd w:id="10"/>
      <w:r>
        <w:t>Platební podmínky</w:t>
      </w:r>
    </w:p>
    <w:p w14:paraId="6094F784" w14:textId="77777777" w:rsidR="00AC7221" w:rsidRDefault="00AC7221" w:rsidP="008002D6">
      <w:pPr>
        <w:pStyle w:val="Legal-Article"/>
        <w:jc w:val="both"/>
      </w:pPr>
      <w:r>
        <w:t xml:space="preserve">Smluvní strany se dohodly, že </w:t>
      </w:r>
      <w:r w:rsidR="0066385C" w:rsidRPr="00500680">
        <w:t xml:space="preserve">paušální </w:t>
      </w:r>
      <w:r w:rsidRPr="00500680">
        <w:t>cena za fixní plnění</w:t>
      </w:r>
      <w:r>
        <w:t xml:space="preserve"> bude objednatelem uhrazena na základě faktury vystavené poskytovatelem vždy na začátku příslušného ročního období, v němž je sjednáno poskytování služeb dle této smlouvy. </w:t>
      </w:r>
    </w:p>
    <w:p w14:paraId="4DE87BE3" w14:textId="77777777" w:rsidR="001B62D3" w:rsidRDefault="00AC7221" w:rsidP="008002D6">
      <w:pPr>
        <w:pStyle w:val="Legal-Article"/>
        <w:jc w:val="both"/>
      </w:pPr>
      <w:r>
        <w:t>Cena za plnění SUP10 bude uhrazena na základě faktury vystavené k</w:t>
      </w:r>
      <w:r w:rsidR="001B62D3">
        <w:t>e konci kalendářního měsíce</w:t>
      </w:r>
      <w:r>
        <w:t>, a to dle skutečně poskytnutých služeb v rámci SUP10</w:t>
      </w:r>
      <w:r w:rsidR="001B62D3">
        <w:t xml:space="preserve">. </w:t>
      </w:r>
    </w:p>
    <w:p w14:paraId="6AE593BF" w14:textId="77777777" w:rsidR="001B62D3" w:rsidRDefault="001B62D3" w:rsidP="008002D6">
      <w:pPr>
        <w:pStyle w:val="Legal-Article"/>
        <w:jc w:val="both"/>
      </w:pPr>
      <w:r>
        <w:t xml:space="preserve">Faktura musí obsahovat </w:t>
      </w:r>
      <w:r w:rsidR="00AC7221">
        <w:t>náležitosti daňového dokladu upravené právními předpisy</w:t>
      </w:r>
      <w:r>
        <w:t>.</w:t>
      </w:r>
    </w:p>
    <w:p w14:paraId="0461EFE4" w14:textId="77777777" w:rsidR="0066385C" w:rsidRDefault="0066385C" w:rsidP="008002D6">
      <w:pPr>
        <w:pStyle w:val="Legal-Article"/>
        <w:jc w:val="both"/>
      </w:pPr>
      <w:r w:rsidRPr="0066385C">
        <w:t>K ceně bude připočtena daň z přidané hodnoty v zákonné výši</w:t>
      </w:r>
      <w:r>
        <w:t>.</w:t>
      </w:r>
    </w:p>
    <w:p w14:paraId="3C3CA7B7" w14:textId="0EB6CD8B" w:rsidR="003D7D75" w:rsidRDefault="001B62D3" w:rsidP="008002D6">
      <w:pPr>
        <w:pStyle w:val="Legal-Article"/>
        <w:jc w:val="both"/>
      </w:pPr>
      <w:r>
        <w:t xml:space="preserve">Splatnost faktur </w:t>
      </w:r>
      <w:r w:rsidR="00AC7221">
        <w:t>se sjednává v délce</w:t>
      </w:r>
      <w:r>
        <w:t xml:space="preserve"> </w:t>
      </w:r>
      <w:r w:rsidR="00115927">
        <w:t>60</w:t>
      </w:r>
      <w:r>
        <w:t xml:space="preserve"> dn</w:t>
      </w:r>
      <w:r w:rsidR="00115927">
        <w:t>ů</w:t>
      </w:r>
      <w:r>
        <w:t xml:space="preserve"> od data vystavení. </w:t>
      </w:r>
    </w:p>
    <w:p w14:paraId="7DFADF8F" w14:textId="52F93AC8" w:rsidR="0066385C" w:rsidRDefault="0066385C" w:rsidP="00E07A1D">
      <w:pPr>
        <w:pStyle w:val="Legal-Article"/>
        <w:numPr>
          <w:ilvl w:val="0"/>
          <w:numId w:val="0"/>
        </w:numPr>
        <w:ind w:left="576"/>
      </w:pPr>
    </w:p>
    <w:p w14:paraId="1303883F" w14:textId="77777777" w:rsidR="001B62D3" w:rsidRDefault="001B62D3" w:rsidP="008002D6">
      <w:pPr>
        <w:pStyle w:val="Nadpis1"/>
        <w:jc w:val="both"/>
      </w:pPr>
      <w:r>
        <w:t>Práva a povinnosti smluvních stran</w:t>
      </w:r>
    </w:p>
    <w:p w14:paraId="098EA205" w14:textId="3E50F37B" w:rsidR="00AA2B2E" w:rsidRDefault="0066385C" w:rsidP="008002D6">
      <w:pPr>
        <w:pStyle w:val="Legal-Article"/>
        <w:jc w:val="both"/>
      </w:pPr>
      <w:r w:rsidRPr="0066385C">
        <w:t>Objednatel se zavazuje posk</w:t>
      </w:r>
      <w:r>
        <w:t>ytnout p</w:t>
      </w:r>
      <w:r w:rsidRPr="0066385C">
        <w:t xml:space="preserve">oskytovateli součinnost podle této </w:t>
      </w:r>
      <w:r>
        <w:t>s</w:t>
      </w:r>
      <w:r w:rsidRPr="0066385C">
        <w:t>mlouvy, která je nezbytná pro řá</w:t>
      </w:r>
      <w:r>
        <w:t>dné a včasné plnění povinnosti poskytovatele podle této s</w:t>
      </w:r>
      <w:r w:rsidRPr="0066385C">
        <w:t>mlouvy</w:t>
      </w:r>
      <w:r>
        <w:t>.</w:t>
      </w:r>
      <w:r w:rsidR="00AA2B2E" w:rsidRPr="00AA2B2E">
        <w:t xml:space="preserve"> </w:t>
      </w:r>
      <w:r w:rsidR="00AA2B2E">
        <w:t>Objednatel se zavazuje poskytnout zejména, nikoli však výlučně, následující součinnost:</w:t>
      </w:r>
    </w:p>
    <w:p w14:paraId="3FEA5815" w14:textId="77777777" w:rsidR="00AA2B2E" w:rsidRDefault="00AA2B2E" w:rsidP="008002D6">
      <w:pPr>
        <w:numPr>
          <w:ilvl w:val="0"/>
          <w:numId w:val="14"/>
        </w:numPr>
        <w:ind w:hanging="360"/>
        <w:jc w:val="both"/>
      </w:pPr>
      <w:r>
        <w:t>zajištění helpdesku 1. a 2. úrovně,</w:t>
      </w:r>
    </w:p>
    <w:p w14:paraId="1C41F54C" w14:textId="77777777" w:rsidR="00AA2B2E" w:rsidRPr="001D4BB4" w:rsidRDefault="00AA2B2E" w:rsidP="008002D6">
      <w:pPr>
        <w:numPr>
          <w:ilvl w:val="0"/>
          <w:numId w:val="14"/>
        </w:numPr>
        <w:ind w:hanging="360"/>
        <w:jc w:val="both"/>
      </w:pPr>
      <w:r w:rsidRPr="001D4BB4">
        <w:t>posuzování workaroundů navržených helpdeskem 3. úrovně,</w:t>
      </w:r>
    </w:p>
    <w:p w14:paraId="296C2C05" w14:textId="77777777" w:rsidR="00AA2B2E" w:rsidRPr="001D4BB4" w:rsidRDefault="00AA2B2E" w:rsidP="008002D6">
      <w:pPr>
        <w:numPr>
          <w:ilvl w:val="0"/>
          <w:numId w:val="14"/>
        </w:numPr>
        <w:ind w:hanging="360"/>
        <w:jc w:val="both"/>
      </w:pPr>
      <w:r w:rsidRPr="001D4BB4">
        <w:t>zajištění služeb definovaných v části „Služby v rámci provozu IdM“, které nejsou zajišťovány poskytovatelem,</w:t>
      </w:r>
    </w:p>
    <w:p w14:paraId="35E17344" w14:textId="77777777" w:rsidR="0066385C" w:rsidRDefault="00AA2B2E" w:rsidP="008002D6">
      <w:pPr>
        <w:numPr>
          <w:ilvl w:val="0"/>
          <w:numId w:val="14"/>
        </w:numPr>
        <w:ind w:hanging="360"/>
        <w:jc w:val="both"/>
      </w:pPr>
      <w:r w:rsidRPr="001D4BB4">
        <w:t>zajištění správy a provozu systémů, s nimiž</w:t>
      </w:r>
      <w:r>
        <w:t xml:space="preserve"> se IdM </w:t>
      </w:r>
      <w:r w:rsidR="0097670A">
        <w:t xml:space="preserve">(aplikace) </w:t>
      </w:r>
      <w:r>
        <w:t>integruje.</w:t>
      </w:r>
    </w:p>
    <w:p w14:paraId="250FBB11" w14:textId="541F6B80" w:rsidR="000B0B0D" w:rsidRDefault="0066385C" w:rsidP="008002D6">
      <w:pPr>
        <w:pStyle w:val="Legal-Article"/>
        <w:jc w:val="both"/>
      </w:pPr>
      <w:r w:rsidRPr="0066385C">
        <w:t xml:space="preserve">Objednatel zajistí pracovníkům </w:t>
      </w:r>
      <w:r>
        <w:t>p</w:t>
      </w:r>
      <w:r w:rsidRPr="0066385C">
        <w:t>oskytovatele přístup na místo plnění, je-li jím pracoviště či sídlo</w:t>
      </w:r>
      <w:r>
        <w:t xml:space="preserve"> o</w:t>
      </w:r>
      <w:r w:rsidRPr="0066385C">
        <w:t>bjednatele v souladu a za účelem plnění předmětu této</w:t>
      </w:r>
      <w:r>
        <w:t xml:space="preserve"> s</w:t>
      </w:r>
      <w:r w:rsidRPr="0066385C">
        <w:t>mlouvy</w:t>
      </w:r>
      <w:r w:rsidR="00F74E45">
        <w:t>.</w:t>
      </w:r>
      <w:r w:rsidR="00C020AA">
        <w:t xml:space="preserve"> </w:t>
      </w:r>
      <w:r w:rsidRPr="0066385C">
        <w:t xml:space="preserve">Objednatel zajistí </w:t>
      </w:r>
      <w:r>
        <w:t>na žádost p</w:t>
      </w:r>
      <w:r w:rsidRPr="0066385C">
        <w:t xml:space="preserve">oskytovatele pracovníkům </w:t>
      </w:r>
      <w:r>
        <w:t>p</w:t>
      </w:r>
      <w:r w:rsidRPr="0066385C">
        <w:t>oskytovatele přístup prostřednictvím vzdáleného přístupu</w:t>
      </w:r>
      <w:r>
        <w:t xml:space="preserve"> pro účely poskytování s</w:t>
      </w:r>
      <w:r w:rsidRPr="0066385C">
        <w:t xml:space="preserve">lužeb dle této </w:t>
      </w:r>
      <w:r>
        <w:t>s</w:t>
      </w:r>
      <w:r w:rsidRPr="0066385C">
        <w:t>mlouvy</w:t>
      </w:r>
      <w:r>
        <w:t>.</w:t>
      </w:r>
    </w:p>
    <w:p w14:paraId="70249ACF" w14:textId="4C45F2E1" w:rsidR="000B0B0D" w:rsidRDefault="00F74E45" w:rsidP="008002D6">
      <w:pPr>
        <w:pStyle w:val="Legal-Article"/>
        <w:jc w:val="both"/>
      </w:pPr>
      <w:r>
        <w:t xml:space="preserve"> </w:t>
      </w:r>
      <w:r w:rsidR="006A373A">
        <w:t>Poskytovatel</w:t>
      </w:r>
      <w:r w:rsidR="000B0B0D">
        <w:t xml:space="preserve"> se zavazuj</w:t>
      </w:r>
      <w:r w:rsidR="006A373A">
        <w:t>e</w:t>
      </w:r>
      <w:r w:rsidR="000B0B0D">
        <w:t xml:space="preserve"> dodržovat bezpečnostní, hygienické, či případné jiné předpisy související s realizací díla, se kterými bud</w:t>
      </w:r>
      <w:r w:rsidR="006A373A">
        <w:t>e</w:t>
      </w:r>
      <w:r w:rsidR="00C020AA">
        <w:t xml:space="preserve"> prokazatelně</w:t>
      </w:r>
      <w:r w:rsidR="000B0B0D">
        <w:t xml:space="preserve"> seznámen Objednatelem.</w:t>
      </w:r>
      <w:r w:rsidR="00C020AA">
        <w:t xml:space="preserve"> </w:t>
      </w:r>
      <w:r w:rsidR="000B0B0D" w:rsidRPr="001048E3">
        <w:t>Poskytovatel bude při plnění této Smlouvy postupovat s odbornou péčí, dodržovat obecně závazné předpisy a technické normy, vztahující se k</w:t>
      </w:r>
      <w:r w:rsidR="000B0B0D">
        <w:t> plnění</w:t>
      </w:r>
      <w:r w:rsidR="000B0B0D" w:rsidRPr="001048E3">
        <w:t xml:space="preserve"> předmětu této Smlouvy</w:t>
      </w:r>
      <w:r w:rsidR="006A373A">
        <w:t>.</w:t>
      </w:r>
    </w:p>
    <w:p w14:paraId="79F0EB7A" w14:textId="5D2908A0" w:rsidR="0066385C" w:rsidRDefault="0066385C" w:rsidP="008002D6">
      <w:pPr>
        <w:pStyle w:val="Legal-Article"/>
        <w:jc w:val="both"/>
      </w:pPr>
      <w:r w:rsidRPr="0066385C">
        <w:lastRenderedPageBreak/>
        <w:t xml:space="preserve">V případě prodlení či neposkytnutí součinnosti </w:t>
      </w:r>
      <w:r>
        <w:t>ze strany o</w:t>
      </w:r>
      <w:r w:rsidRPr="0066385C">
        <w:t>bjednatele se vešk</w:t>
      </w:r>
      <w:r>
        <w:t>eré lhůty a termíny uvedené ve smlouvě či dohodnuté s</w:t>
      </w:r>
      <w:r w:rsidRPr="0066385C">
        <w:t xml:space="preserve">mluvními stranami automaticky prodlužují minimálně o dobu, po kterou trvaly překážky a okolnosti </w:t>
      </w:r>
      <w:r>
        <w:t>způsobující prodlení na straně o</w:t>
      </w:r>
      <w:r w:rsidRPr="0066385C">
        <w:t>bjednatele, a dále o dobu nezbytně nutnou k tomu, aby mohla b</w:t>
      </w:r>
      <w:r>
        <w:t>ýt poskytovaná plnění dle této smlouvy p</w:t>
      </w:r>
      <w:r w:rsidRPr="0066385C">
        <w:t>oskytovatelem znovu zkoordinována</w:t>
      </w:r>
      <w:r>
        <w:t>.</w:t>
      </w:r>
    </w:p>
    <w:p w14:paraId="2A869EC2" w14:textId="77777777" w:rsidR="0066385C" w:rsidRDefault="0066385C" w:rsidP="008002D6">
      <w:pPr>
        <w:pStyle w:val="Nadpis1"/>
        <w:jc w:val="both"/>
      </w:pPr>
      <w:r>
        <w:t>Odpovědnost za újmu, vady</w:t>
      </w:r>
    </w:p>
    <w:p w14:paraId="098540A3" w14:textId="77777777" w:rsidR="00AA2B2E" w:rsidRDefault="00AA2B2E" w:rsidP="008002D6">
      <w:pPr>
        <w:pStyle w:val="Legal-Article"/>
        <w:jc w:val="both"/>
      </w:pPr>
      <w:r>
        <w:t xml:space="preserve">Poskytovatel je odpovědný za vady, které vznikly v jím dodaných částech aplikace na základě smlouvy o dílo </w:t>
      </w:r>
      <w:r w:rsidR="004A78CB">
        <w:t xml:space="preserve">ev. č. 16/530/051/IS </w:t>
      </w:r>
      <w:r>
        <w:t>uzavřené mezi smluvními stranami</w:t>
      </w:r>
      <w:r w:rsidR="004A78CB">
        <w:t xml:space="preserve"> dne </w:t>
      </w:r>
      <w:proofErr w:type="gramStart"/>
      <w:r w:rsidR="004A78CB">
        <w:t>19.5.2016</w:t>
      </w:r>
      <w:proofErr w:type="gramEnd"/>
      <w:r>
        <w:t>, na které se vztahuje maintenance, nebo u nichž neuplynula sjednaná záruční doba. U těchto vad budou služby dle této smlouvy použity jen na provozní aspekty odstraňování vady jako např. nasazení hotfixu.</w:t>
      </w:r>
    </w:p>
    <w:p w14:paraId="580D5D9E" w14:textId="77777777" w:rsidR="00AA2B2E" w:rsidRDefault="00AA2B2E" w:rsidP="008002D6">
      <w:pPr>
        <w:pStyle w:val="Legal-Article"/>
        <w:jc w:val="both"/>
      </w:pPr>
      <w:r>
        <w:t>Ostatní vady bude Poskytovatel odstraňovat v rámci služby SUP3, popř. jako další rozvoj aplikace dle této nebo jiné smlouvy.</w:t>
      </w:r>
    </w:p>
    <w:p w14:paraId="13CD5D47" w14:textId="77777777" w:rsidR="00463863" w:rsidRDefault="0066385C" w:rsidP="008002D6">
      <w:pPr>
        <w:pStyle w:val="Legal-Article"/>
        <w:jc w:val="both"/>
      </w:pPr>
      <w:r>
        <w:t>Smluvní strany se výslovně dohodly, že se vylučuje odpovědnost p</w:t>
      </w:r>
      <w:r w:rsidR="00463863">
        <w:t>oskytovatel</w:t>
      </w:r>
      <w:r>
        <w:t>e za vady</w:t>
      </w:r>
      <w:r w:rsidR="00AA2B2E">
        <w:t xml:space="preserve"> či újmu způsobenou v souvislosti s činností objednatele, zejména, nikoli však výlučně </w:t>
      </w:r>
      <w:r w:rsidR="00463863">
        <w:t>jde o:</w:t>
      </w:r>
    </w:p>
    <w:p w14:paraId="48802F54" w14:textId="77777777" w:rsidR="00463863" w:rsidRDefault="00AA2B2E" w:rsidP="008002D6">
      <w:pPr>
        <w:numPr>
          <w:ilvl w:val="0"/>
          <w:numId w:val="3"/>
        </w:numPr>
        <w:ind w:hanging="360"/>
        <w:jc w:val="both"/>
      </w:pPr>
      <w:r>
        <w:t>jakékoli vady v činnosti</w:t>
      </w:r>
      <w:r w:rsidR="00463863">
        <w:t xml:space="preserve"> helpdesku 1. nebo 2. úrovně,</w:t>
      </w:r>
    </w:p>
    <w:p w14:paraId="78A48EBE" w14:textId="77777777" w:rsidR="00463863" w:rsidRDefault="00463863" w:rsidP="008002D6">
      <w:pPr>
        <w:numPr>
          <w:ilvl w:val="0"/>
          <w:numId w:val="3"/>
        </w:numPr>
        <w:ind w:hanging="360"/>
        <w:jc w:val="both"/>
      </w:pPr>
      <w:r>
        <w:t>nedostatečn</w:t>
      </w:r>
      <w:r w:rsidR="00AA2B2E">
        <w:t>é poskytnutí součinnosti</w:t>
      </w:r>
      <w:r>
        <w:t xml:space="preserve"> objednatele při řešení problému,</w:t>
      </w:r>
    </w:p>
    <w:p w14:paraId="5C04F812" w14:textId="77777777" w:rsidR="00AA2B2E" w:rsidRDefault="00463863" w:rsidP="008002D6">
      <w:pPr>
        <w:numPr>
          <w:ilvl w:val="0"/>
          <w:numId w:val="3"/>
        </w:numPr>
        <w:ind w:hanging="360"/>
        <w:jc w:val="both"/>
      </w:pPr>
      <w:r>
        <w:t xml:space="preserve">využití </w:t>
      </w:r>
      <w:r w:rsidR="00AA2B2E">
        <w:t>aplikace</w:t>
      </w:r>
      <w:r>
        <w:t xml:space="preserve"> k jinému </w:t>
      </w:r>
      <w:r w:rsidR="00974210">
        <w:t>účelu,</w:t>
      </w:r>
      <w:r>
        <w:t xml:space="preserve"> než k němuž </w:t>
      </w:r>
      <w:r w:rsidR="00C328E7">
        <w:t xml:space="preserve">je </w:t>
      </w:r>
      <w:r>
        <w:t>určen</w:t>
      </w:r>
      <w:r w:rsidR="005E46CC">
        <w:t>.</w:t>
      </w:r>
    </w:p>
    <w:p w14:paraId="45ADBDDB" w14:textId="77777777" w:rsidR="00463863" w:rsidRDefault="00463863" w:rsidP="008002D6">
      <w:pPr>
        <w:pStyle w:val="Legal-Article"/>
        <w:jc w:val="both"/>
      </w:pPr>
      <w:r>
        <w:t xml:space="preserve">Pokud řešení </w:t>
      </w:r>
      <w:r w:rsidR="00AA2B2E">
        <w:t>problému</w:t>
      </w:r>
      <w:r>
        <w:t xml:space="preserve"> závisí na objednateli nebo jiné třetí straně</w:t>
      </w:r>
      <w:r w:rsidR="00AA2B2E">
        <w:t xml:space="preserve">, </w:t>
      </w:r>
      <w:r>
        <w:t xml:space="preserve">přičemž nedojde ke včasnému vyřešení této závislosti, </w:t>
      </w:r>
      <w:r w:rsidR="00AA2B2E">
        <w:t>p</w:t>
      </w:r>
      <w:r>
        <w:t>oskytovatel je odpovědný za provedení eskalační procedury (příloha komunikační schéma).</w:t>
      </w:r>
    </w:p>
    <w:p w14:paraId="355942F1" w14:textId="54B35BEB" w:rsidR="00463863" w:rsidRPr="00BA614F" w:rsidRDefault="00463863" w:rsidP="008002D6">
      <w:pPr>
        <w:pStyle w:val="Legal-Article"/>
        <w:jc w:val="both"/>
      </w:pPr>
      <w:r w:rsidRPr="00A54C4C">
        <w:t xml:space="preserve">Poskytovatel </w:t>
      </w:r>
      <w:r w:rsidR="00A54C4C" w:rsidRPr="00E07A1D">
        <w:t>je</w:t>
      </w:r>
      <w:r w:rsidR="00C020AA">
        <w:t xml:space="preserve"> </w:t>
      </w:r>
      <w:r w:rsidRPr="00A54C4C">
        <w:t xml:space="preserve">povinen řešit chování software, které </w:t>
      </w:r>
      <w:r w:rsidR="00A54C4C" w:rsidRPr="00E07A1D">
        <w:t>je</w:t>
      </w:r>
      <w:r w:rsidR="00C020AA">
        <w:t xml:space="preserve"> </w:t>
      </w:r>
      <w:r w:rsidRPr="00A54C4C">
        <w:t>v rozporu s dokumentací, na jejímž základě byl</w:t>
      </w:r>
      <w:r w:rsidR="00AA2B2E" w:rsidRPr="00E66FC3">
        <w:t>a aplikace</w:t>
      </w:r>
      <w:r w:rsidRPr="00E66FC3">
        <w:t xml:space="preserve"> po předchozí dohodě </w:t>
      </w:r>
      <w:r w:rsidR="00AA2B2E" w:rsidRPr="00E66FC3">
        <w:t>p</w:t>
      </w:r>
      <w:r w:rsidRPr="00E66FC3">
        <w:t xml:space="preserve">oskytovatele a </w:t>
      </w:r>
      <w:r w:rsidR="00AA2B2E" w:rsidRPr="004A78CB">
        <w:t>o</w:t>
      </w:r>
      <w:r w:rsidRPr="000B0B0D">
        <w:t>bjednatele vytvořen</w:t>
      </w:r>
      <w:r w:rsidR="00AA2B2E" w:rsidRPr="000B0B0D">
        <w:t>a</w:t>
      </w:r>
      <w:r w:rsidRPr="000B0B0D">
        <w:t xml:space="preserve">. </w:t>
      </w:r>
    </w:p>
    <w:p w14:paraId="3C69DCDC" w14:textId="77777777" w:rsidR="00AA2B2E" w:rsidRPr="001D65B2" w:rsidRDefault="00AA2B2E" w:rsidP="008002D6">
      <w:pPr>
        <w:pStyle w:val="Legal-Article"/>
        <w:jc w:val="both"/>
      </w:pPr>
      <w:r>
        <w:t>Žádná ze s</w:t>
      </w:r>
      <w:r w:rsidRPr="001D65B2">
        <w:t xml:space="preserve">mluvních stran není odpovědná za prodlení </w:t>
      </w:r>
      <w:r w:rsidR="00A54C4C">
        <w:t xml:space="preserve">při plnění </w:t>
      </w:r>
      <w:r w:rsidRPr="001D65B2">
        <w:t>svých závazků v rozsahu, v jakém je prodlení způsobeno prodlením s plněním závazků druhé smluvní strany, zejména v případě neposkytnutí p</w:t>
      </w:r>
      <w:r>
        <w:t>ožadované součinnosti dle této s</w:t>
      </w:r>
      <w:r w:rsidRPr="001D65B2">
        <w:t xml:space="preserve">mlouvy. </w:t>
      </w:r>
    </w:p>
    <w:p w14:paraId="444ABE6F" w14:textId="77777777" w:rsidR="00AA2B2E" w:rsidRPr="001D65B2" w:rsidRDefault="00AA2B2E" w:rsidP="008002D6">
      <w:pPr>
        <w:pStyle w:val="Legal-Article"/>
        <w:jc w:val="both"/>
      </w:pPr>
      <w:r w:rsidRPr="001D65B2">
        <w:t>Není-li stanov</w:t>
      </w:r>
      <w:r>
        <w:t>eno jinak, řídí se odpovědnost s</w:t>
      </w:r>
      <w:r w:rsidRPr="001D65B2">
        <w:t xml:space="preserve">mluvních stran příslušnými ustanoveními občanského zákoníku. </w:t>
      </w:r>
    </w:p>
    <w:p w14:paraId="0278925A" w14:textId="39CA8F1B" w:rsidR="00A54C4C" w:rsidRDefault="00A54C4C" w:rsidP="008002D6">
      <w:pPr>
        <w:pStyle w:val="Legal-Article"/>
        <w:jc w:val="both"/>
      </w:pPr>
    </w:p>
    <w:p w14:paraId="66933AFE" w14:textId="73BA203E" w:rsidR="00800E63" w:rsidRPr="001D65B2" w:rsidRDefault="00800E63" w:rsidP="008002D6">
      <w:pPr>
        <w:pStyle w:val="Legal-Article"/>
        <w:jc w:val="both"/>
      </w:pPr>
      <w:r>
        <w:rPr>
          <w:rFonts w:cstheme="minorHAnsi"/>
          <w:szCs w:val="20"/>
        </w:rPr>
        <w:t>V případě, že bude Poskyto</w:t>
      </w:r>
      <w:r w:rsidRPr="00771151">
        <w:rPr>
          <w:rFonts w:cstheme="minorHAnsi"/>
          <w:szCs w:val="20"/>
        </w:rPr>
        <w:t>v</w:t>
      </w:r>
      <w:r>
        <w:rPr>
          <w:rFonts w:cstheme="minorHAnsi"/>
          <w:szCs w:val="20"/>
        </w:rPr>
        <w:t>atel v prodlení s řádným poskytováním služeb</w:t>
      </w:r>
      <w:r w:rsidRPr="00771151">
        <w:rPr>
          <w:rFonts w:cstheme="minorHAnsi"/>
          <w:szCs w:val="20"/>
        </w:rPr>
        <w:t xml:space="preserve"> dle této Smlouvy, má Objednatel n</w:t>
      </w:r>
      <w:r w:rsidR="00A54C4C">
        <w:rPr>
          <w:rFonts w:cstheme="minorHAnsi"/>
          <w:szCs w:val="20"/>
        </w:rPr>
        <w:t xml:space="preserve">árok na smluvní pokutu ve výši </w:t>
      </w:r>
      <w:r w:rsidR="003B384A">
        <w:rPr>
          <w:rFonts w:cstheme="minorHAnsi"/>
          <w:szCs w:val="20"/>
        </w:rPr>
        <w:t xml:space="preserve">XXX </w:t>
      </w:r>
      <w:r w:rsidRPr="00771151">
        <w:rPr>
          <w:rFonts w:cstheme="minorHAnsi"/>
          <w:szCs w:val="20"/>
        </w:rPr>
        <w:t xml:space="preserve">za </w:t>
      </w:r>
      <w:r>
        <w:rPr>
          <w:rFonts w:cstheme="minorHAnsi"/>
          <w:szCs w:val="20"/>
        </w:rPr>
        <w:t>každý započatý den prodlení Poskyto</w:t>
      </w:r>
      <w:r w:rsidRPr="00771151">
        <w:rPr>
          <w:rFonts w:cstheme="minorHAnsi"/>
          <w:szCs w:val="20"/>
        </w:rPr>
        <w:t>vatele</w:t>
      </w:r>
    </w:p>
    <w:p w14:paraId="113A5939" w14:textId="77777777" w:rsidR="001B62D3" w:rsidRDefault="001B62D3" w:rsidP="008002D6">
      <w:pPr>
        <w:pStyle w:val="Nadpis1"/>
        <w:contextualSpacing w:val="0"/>
        <w:jc w:val="both"/>
      </w:pPr>
      <w:r>
        <w:t>Zpracování osobních údajů, ochrana informací</w:t>
      </w:r>
    </w:p>
    <w:p w14:paraId="067DA8FE" w14:textId="0A3CD79E" w:rsidR="001B62D3" w:rsidRDefault="00AA2B2E" w:rsidP="008002D6">
      <w:pPr>
        <w:pStyle w:val="Legal-Article"/>
        <w:jc w:val="both"/>
      </w:pPr>
      <w:r>
        <w:t xml:space="preserve">Smluvní strany se dohodly, že ochrana informací poskytnutých na základě této smlouvy je upravena v rámci dohody o mlčenlivosti uzavřené mezi smluvními stranami. Smluvní </w:t>
      </w:r>
      <w:r>
        <w:lastRenderedPageBreak/>
        <w:t xml:space="preserve">strany se však dohodly, že poskytovatel je oprávněn </w:t>
      </w:r>
      <w:r w:rsidR="001B62D3">
        <w:t>zveřejnit, obchodně využít nebo v</w:t>
      </w:r>
      <w:r w:rsidR="000E3A8E">
        <w:t> </w:t>
      </w:r>
      <w:r w:rsidR="001B62D3">
        <w:t>jeho marketingových aktivitách použít technické znalosti, dovednosti nebo zkušenosti obecné povahy, kterou získal při plnění této smlouvy. Samotná existence této smlouvy není považována za obchodní tajemství.</w:t>
      </w:r>
      <w:r w:rsidR="00CF4A1E">
        <w:t xml:space="preserve"> Poskytovatel je povinen se při plnění této smlouvy řídit ustanoveními smlouvy </w:t>
      </w:r>
      <w:r w:rsidR="00D97736">
        <w:t xml:space="preserve">ev. </w:t>
      </w:r>
      <w:r w:rsidR="00CF4A1E">
        <w:t xml:space="preserve">č. </w:t>
      </w:r>
      <w:r w:rsidR="00D97736">
        <w:t>Objednatele</w:t>
      </w:r>
      <w:r w:rsidR="005123A7">
        <w:t xml:space="preserve">16/530/052 ze dne </w:t>
      </w:r>
      <w:proofErr w:type="gramStart"/>
      <w:r w:rsidR="005123A7">
        <w:t>24.5.2016</w:t>
      </w:r>
      <w:proofErr w:type="gramEnd"/>
      <w:r w:rsidR="005123A7">
        <w:t xml:space="preserve"> </w:t>
      </w:r>
      <w:r w:rsidR="005C2072">
        <w:t xml:space="preserve">- </w:t>
      </w:r>
      <w:r w:rsidR="005123A7">
        <w:t>Dohoda o mlčenlivosti, ochraně informací a zákazu jejich zneužití</w:t>
      </w:r>
      <w:r w:rsidR="005C2072">
        <w:t>, uzavřené mezi objednatelem a poskytovatelem.</w:t>
      </w:r>
    </w:p>
    <w:p w14:paraId="1DC8BE1D" w14:textId="5B2874AE" w:rsidR="001B62D3" w:rsidRDefault="00463863" w:rsidP="008002D6">
      <w:pPr>
        <w:pStyle w:val="Legal-Article"/>
        <w:jc w:val="both"/>
      </w:pPr>
      <w:r>
        <w:t xml:space="preserve">Objednatel </w:t>
      </w:r>
      <w:r w:rsidR="00AA2B2E">
        <w:t xml:space="preserve">výslovně prohlašuje, že poskytovateli </w:t>
      </w:r>
      <w:r>
        <w:t>bud</w:t>
      </w:r>
      <w:r w:rsidR="00AA2B2E">
        <w:t>ou předávány</w:t>
      </w:r>
      <w:r>
        <w:t xml:space="preserve"> údaje</w:t>
      </w:r>
      <w:r w:rsidR="00AA2B2E">
        <w:t xml:space="preserve"> chráněné dle zákona </w:t>
      </w:r>
      <w:r w:rsidR="00FE14ED" w:rsidRPr="00FE14ED">
        <w:t>č. 101/2000 Sb.,</w:t>
      </w:r>
      <w:r w:rsidR="00FE14ED">
        <w:t xml:space="preserve"> </w:t>
      </w:r>
      <w:r w:rsidR="00AA2B2E">
        <w:t>o ochraně osobních údajů</w:t>
      </w:r>
      <w:r>
        <w:t xml:space="preserve">, </w:t>
      </w:r>
      <w:r w:rsidR="00FE14ED">
        <w:t xml:space="preserve">v platném znění a </w:t>
      </w:r>
      <w:r>
        <w:t xml:space="preserve">poskytovatel </w:t>
      </w:r>
      <w:r w:rsidR="00FE14ED">
        <w:t xml:space="preserve">tak </w:t>
      </w:r>
      <w:r>
        <w:t>bude v pozici zpracovatele osobních údajů.</w:t>
      </w:r>
      <w:r w:rsidR="00FE14ED">
        <w:t xml:space="preserve"> </w:t>
      </w:r>
      <w:r w:rsidR="00A54C4C">
        <w:t xml:space="preserve">Poskytovatel je povinen zabezpečit </w:t>
      </w:r>
      <w:r w:rsidR="00345209">
        <w:t xml:space="preserve">tyto osobní údaje. </w:t>
      </w:r>
    </w:p>
    <w:p w14:paraId="5519FE86" w14:textId="790F7FB4" w:rsidR="00AA15CE" w:rsidRPr="0062308E" w:rsidRDefault="001B62D3" w:rsidP="002B5940">
      <w:pPr>
        <w:pStyle w:val="Nadpis1"/>
        <w:contextualSpacing w:val="0"/>
        <w:rPr>
          <w:rFonts w:cstheme="minorHAnsi"/>
          <w:szCs w:val="20"/>
        </w:rPr>
      </w:pPr>
      <w:r>
        <w:t>Trvání smlouvy</w:t>
      </w:r>
    </w:p>
    <w:p w14:paraId="61463172" w14:textId="4673EEFF" w:rsidR="007B673C" w:rsidRDefault="0062308E" w:rsidP="008002D6">
      <w:pPr>
        <w:pStyle w:val="Legal-Article"/>
        <w:jc w:val="both"/>
      </w:pPr>
      <w:r>
        <w:t xml:space="preserve">Smlouva se uzavírá na dobu určitou v délce trvání </w:t>
      </w:r>
      <w:r w:rsidR="003B384A">
        <w:t xml:space="preserve">XXX </w:t>
      </w:r>
      <w:r>
        <w:t xml:space="preserve">let s účinností </w:t>
      </w:r>
      <w:r w:rsidRPr="00E07A1D">
        <w:t>ode dne jejího podpisu</w:t>
      </w:r>
      <w:r w:rsidRPr="00BA614F">
        <w:t>.</w:t>
      </w:r>
    </w:p>
    <w:p w14:paraId="5CE3C94A" w14:textId="77777777" w:rsidR="007B673C" w:rsidRDefault="00926DFE" w:rsidP="008002D6">
      <w:pPr>
        <w:pStyle w:val="Legal-Article"/>
        <w:jc w:val="both"/>
      </w:pPr>
      <w:r>
        <w:t xml:space="preserve">Trvání smlouvy </w:t>
      </w:r>
      <w:r w:rsidR="008B1672">
        <w:t>lze ukončit jedním z těchto způsobů:</w:t>
      </w:r>
    </w:p>
    <w:p w14:paraId="29AE04C9" w14:textId="77777777" w:rsidR="00CC324F" w:rsidRPr="00CC324F" w:rsidRDefault="008B1672" w:rsidP="008002D6">
      <w:pPr>
        <w:pStyle w:val="Odstavecseseznamem"/>
        <w:widowControl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Cs w:val="20"/>
        </w:rPr>
      </w:pPr>
      <w:r>
        <w:t>písemnou dohodou obou stran, jejíž součástí je i vypořádání vzájemných závazků a pohledávek,</w:t>
      </w:r>
    </w:p>
    <w:p w14:paraId="13FA51E3" w14:textId="77777777" w:rsidR="00CC324F" w:rsidRPr="00771151" w:rsidRDefault="00CC324F" w:rsidP="008002D6">
      <w:pPr>
        <w:pStyle w:val="Odstavecseseznamem"/>
        <w:widowControl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Cs w:val="20"/>
        </w:rPr>
      </w:pPr>
      <w:r w:rsidRPr="00CC324F">
        <w:rPr>
          <w:rFonts w:cstheme="minorHAnsi"/>
          <w:szCs w:val="20"/>
        </w:rPr>
        <w:t xml:space="preserve"> </w:t>
      </w:r>
      <w:r w:rsidRPr="00771151">
        <w:rPr>
          <w:rFonts w:cstheme="minorHAnsi"/>
          <w:szCs w:val="20"/>
        </w:rPr>
        <w:t>Kterákoli ze smluvních stran je oprávněna od této Smlouvy odstoupit z důvodu podstatného porušení Smlouvy druhou smluvní stranou. Odstoupení od Smlouvy musí být písemné a nabývá účinnosti dnem jeho doručení druhé smluvní straně. Za podstatné porušení Smlouvy zejm</w:t>
      </w:r>
      <w:r>
        <w:rPr>
          <w:rFonts w:cstheme="minorHAnsi"/>
          <w:szCs w:val="20"/>
        </w:rPr>
        <w:t>éna, nikoli však výlučně a) Poskyto</w:t>
      </w:r>
      <w:r w:rsidRPr="00771151">
        <w:rPr>
          <w:rFonts w:cstheme="minorHAnsi"/>
          <w:szCs w:val="20"/>
        </w:rPr>
        <w:t>vatel neumožní sledování průběhu plnění Smlouvy z hlediska stanovených cílů a nebude respektovat Objedn</w:t>
      </w:r>
      <w:r>
        <w:rPr>
          <w:rFonts w:cstheme="minorHAnsi"/>
          <w:szCs w:val="20"/>
        </w:rPr>
        <w:t>atelem navržená opatření, b) Poskyto</w:t>
      </w:r>
      <w:r w:rsidRPr="00771151">
        <w:rPr>
          <w:rFonts w:cstheme="minorHAnsi"/>
          <w:szCs w:val="20"/>
        </w:rPr>
        <w:t>vatel nesplní podmínky kvality a termíny dodání předmětu díla ani v </w:t>
      </w:r>
      <w:r>
        <w:rPr>
          <w:rFonts w:cstheme="minorHAnsi"/>
          <w:szCs w:val="20"/>
        </w:rPr>
        <w:t>náhradních lhůtách stanovených O</w:t>
      </w:r>
      <w:r w:rsidRPr="00771151">
        <w:rPr>
          <w:rFonts w:cstheme="minorHAnsi"/>
          <w:szCs w:val="20"/>
        </w:rPr>
        <w:t>bjednatelem c) dojde k porušení povinnosti ochrany dů</w:t>
      </w:r>
      <w:r>
        <w:rPr>
          <w:rFonts w:cstheme="minorHAnsi"/>
          <w:szCs w:val="20"/>
        </w:rPr>
        <w:t>věrných informací ze strany Poskytovatele d) Poskyto</w:t>
      </w:r>
      <w:r w:rsidRPr="00771151">
        <w:rPr>
          <w:rFonts w:cstheme="minorHAnsi"/>
          <w:szCs w:val="20"/>
        </w:rPr>
        <w:t xml:space="preserve">vatel je v prodlení s plněním povinnosti dle této Smlouvy déle než 30 dní a nezjedná nápravu ani do 15 dnů ode dne doručení písemného oznámení Objednatele o takovém prodlení e) je rozhodnuto o úpadku </w:t>
      </w:r>
      <w:r>
        <w:rPr>
          <w:rFonts w:cstheme="minorHAnsi"/>
          <w:szCs w:val="20"/>
        </w:rPr>
        <w:t>Poskyto</w:t>
      </w:r>
      <w:r w:rsidRPr="00771151">
        <w:rPr>
          <w:rFonts w:cstheme="minorHAnsi"/>
          <w:szCs w:val="20"/>
        </w:rPr>
        <w:t>vatel</w:t>
      </w:r>
      <w:r>
        <w:rPr>
          <w:rFonts w:cstheme="minorHAnsi"/>
          <w:szCs w:val="20"/>
        </w:rPr>
        <w:t>e</w:t>
      </w:r>
      <w:r w:rsidRPr="00771151">
        <w:rPr>
          <w:rFonts w:cstheme="minorHAnsi"/>
          <w:szCs w:val="20"/>
        </w:rPr>
        <w:t xml:space="preserve"> nebo </w:t>
      </w:r>
      <w:r>
        <w:rPr>
          <w:rFonts w:cstheme="minorHAnsi"/>
          <w:szCs w:val="20"/>
        </w:rPr>
        <w:t>Poskyto</w:t>
      </w:r>
      <w:r w:rsidRPr="00771151">
        <w:rPr>
          <w:rFonts w:cstheme="minorHAnsi"/>
          <w:szCs w:val="20"/>
        </w:rPr>
        <w:t>vatel sám podá dlužnický návrh na zahájení insolvenčního řízení (ve znění insolvenčního zákona).</w:t>
      </w:r>
    </w:p>
    <w:p w14:paraId="05243428" w14:textId="77777777" w:rsidR="00CC324F" w:rsidRDefault="00CC324F" w:rsidP="00E07A1D">
      <w:pPr>
        <w:pStyle w:val="Odstavecseseznamem"/>
        <w:widowControl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Poskyto</w:t>
      </w:r>
      <w:r w:rsidRPr="00771151">
        <w:rPr>
          <w:rFonts w:cstheme="minorHAnsi"/>
          <w:szCs w:val="20"/>
        </w:rPr>
        <w:t>vatel je oprávněn odstoupit od této Smlouvy v případě prodlení Objednatele se zaplacením jakékoliv splatné částky po dobu delší než 60 (šedesát) dnů pokud Objednatel nezjedná nápravu ani v dodatečné při</w:t>
      </w:r>
      <w:r>
        <w:rPr>
          <w:rFonts w:cstheme="minorHAnsi"/>
          <w:szCs w:val="20"/>
        </w:rPr>
        <w:t>měřené lhůtě, kterou mu k tomu Poskyto</w:t>
      </w:r>
      <w:r w:rsidRPr="00771151">
        <w:rPr>
          <w:rFonts w:cstheme="minorHAnsi"/>
          <w:szCs w:val="20"/>
        </w:rPr>
        <w:t>vatel poskytne v písemné výzvě ke splnění povinnosti, přičemž tato lhůta nesmí být kratší než 15 (patnáct) dnů od doručení takovéto výzvy.</w:t>
      </w:r>
    </w:p>
    <w:p w14:paraId="58F188F8" w14:textId="77777777" w:rsidR="007B673C" w:rsidRPr="00CC324F" w:rsidRDefault="00CC324F" w:rsidP="00E07A1D">
      <w:pPr>
        <w:pStyle w:val="Odstavecseseznamem"/>
        <w:widowControl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Cs w:val="20"/>
        </w:rPr>
      </w:pPr>
      <w:r w:rsidRPr="00CC324F">
        <w:rPr>
          <w:rFonts w:cstheme="minorHAnsi"/>
          <w:szCs w:val="20"/>
        </w:rPr>
        <w:t>Objednatel má právo Smlouvu písemně vypovědět bez udání důvodu s výpovědní lhůtou 30 dní, která počíná běžet okam</w:t>
      </w:r>
      <w:r w:rsidR="004624FE">
        <w:rPr>
          <w:rFonts w:cstheme="minorHAnsi"/>
          <w:szCs w:val="20"/>
        </w:rPr>
        <w:t>žikem doručení výpovědi Poskytovate</w:t>
      </w:r>
      <w:r w:rsidRPr="00CC324F">
        <w:rPr>
          <w:rFonts w:cstheme="minorHAnsi"/>
          <w:szCs w:val="20"/>
        </w:rPr>
        <w:t>li</w:t>
      </w:r>
    </w:p>
    <w:p w14:paraId="4DDE365B" w14:textId="77777777" w:rsidR="001B62D3" w:rsidRDefault="001B62D3" w:rsidP="001B62D3">
      <w:pPr>
        <w:pStyle w:val="Nadpis1"/>
        <w:contextualSpacing w:val="0"/>
      </w:pPr>
      <w:r>
        <w:t>Závěrečná ujednání</w:t>
      </w:r>
    </w:p>
    <w:p w14:paraId="60D83220" w14:textId="77777777" w:rsidR="00926DFE" w:rsidRDefault="00926DFE" w:rsidP="008002D6">
      <w:pPr>
        <w:pStyle w:val="Legal-Article"/>
        <w:jc w:val="both"/>
      </w:pPr>
      <w:r w:rsidRPr="001D65B2">
        <w:lastRenderedPageBreak/>
        <w:t>Smluvní</w:t>
      </w:r>
      <w:r>
        <w:t xml:space="preserve"> strany prohlašují, že si tuto s</w:t>
      </w:r>
      <w:r w:rsidRPr="001D65B2">
        <w:t>mlouvu přečetly, že byla uzavřena po vzájemném projednání podle jejich pravé a svobodné vůle, určitě, vážně a srozumitelně, nikoliv v tísni za nápadně nevýhodných podmínek a toto potvrzují svým podpisem.</w:t>
      </w:r>
    </w:p>
    <w:p w14:paraId="6107D322" w14:textId="77777777" w:rsidR="00744294" w:rsidRPr="001D65B2" w:rsidRDefault="00744294" w:rsidP="008002D6">
      <w:pPr>
        <w:pStyle w:val="Legal-Article"/>
        <w:jc w:val="both"/>
      </w:pPr>
      <w:r w:rsidRPr="008002D6">
        <w:t xml:space="preserve">Ustanovení neupravená touto Smlouvou se </w:t>
      </w:r>
      <w:r w:rsidRPr="008002D6">
        <w:rPr>
          <w:rFonts w:hint="eastAsia"/>
        </w:rPr>
        <w:t>ří</w:t>
      </w:r>
      <w:r w:rsidRPr="008002D6">
        <w:t>dí obecn</w:t>
      </w:r>
      <w:r w:rsidRPr="008002D6">
        <w:rPr>
          <w:rFonts w:hint="eastAsia"/>
        </w:rPr>
        <w:t>ě</w:t>
      </w:r>
      <w:r w:rsidRPr="008002D6">
        <w:t xml:space="preserve"> platnými právními p</w:t>
      </w:r>
      <w:r w:rsidRPr="008002D6">
        <w:rPr>
          <w:rFonts w:hint="eastAsia"/>
        </w:rPr>
        <w:t>ř</w:t>
      </w:r>
      <w:r w:rsidRPr="008002D6">
        <w:t xml:space="preserve">edpisy </w:t>
      </w:r>
      <w:r w:rsidRPr="008002D6">
        <w:rPr>
          <w:rFonts w:hint="eastAsia"/>
        </w:rPr>
        <w:t>Č</w:t>
      </w:r>
      <w:r w:rsidRPr="008002D6">
        <w:t>eské republiky, zejména ob</w:t>
      </w:r>
      <w:r w:rsidRPr="008002D6">
        <w:rPr>
          <w:rFonts w:hint="eastAsia"/>
        </w:rPr>
        <w:t>č</w:t>
      </w:r>
      <w:r w:rsidRPr="008002D6">
        <w:t>anským zákoníkem</w:t>
      </w:r>
      <w:r w:rsidR="00502589" w:rsidRPr="008002D6">
        <w:t>.</w:t>
      </w:r>
    </w:p>
    <w:p w14:paraId="043BB392" w14:textId="77777777" w:rsidR="00926DFE" w:rsidRPr="001D65B2" w:rsidRDefault="00926DFE" w:rsidP="008002D6">
      <w:pPr>
        <w:pStyle w:val="Legal-Article"/>
        <w:jc w:val="both"/>
      </w:pPr>
      <w:r w:rsidRPr="001D65B2">
        <w:t>Smluvní strany pro jejich právní vztahy vylučují úpravu smluv uzavíraných adhezním způsobem obsaženou v § 1799 a § 1800 občanskéh</w:t>
      </w:r>
      <w:r w:rsidR="005F7263">
        <w:t>o zákoníku. Vylučuje se právo o</w:t>
      </w:r>
      <w:r w:rsidRPr="001D65B2">
        <w:t>bjednatele domáhat se u soudu spravedlivého uspořádání práv a povinností stran podle § 577 občanského zákoníku.</w:t>
      </w:r>
    </w:p>
    <w:p w14:paraId="016490F4" w14:textId="77777777" w:rsidR="00926DFE" w:rsidRPr="001D65B2" w:rsidRDefault="00926DFE" w:rsidP="008002D6">
      <w:pPr>
        <w:pStyle w:val="Legal-Article"/>
        <w:jc w:val="both"/>
      </w:pPr>
      <w:r w:rsidRPr="001D65B2">
        <w:t xml:space="preserve">Právní jednání </w:t>
      </w:r>
      <w:r w:rsidR="005F7263">
        <w:t>smluvních stran z této s</w:t>
      </w:r>
      <w:r w:rsidRPr="001D65B2">
        <w:t>mlouvy vyvolává jen ty právní následky, které jsou v něm vyjádřeny, jakož i právní následky plynoucí ze zákona.</w:t>
      </w:r>
    </w:p>
    <w:p w14:paraId="0A199ADD" w14:textId="77777777" w:rsidR="00926DFE" w:rsidRPr="001D65B2" w:rsidRDefault="00926DFE" w:rsidP="008002D6">
      <w:pPr>
        <w:pStyle w:val="Legal-Article"/>
        <w:jc w:val="both"/>
      </w:pPr>
      <w:r w:rsidRPr="001D65B2">
        <w:t>Obsah práv a pov</w:t>
      </w:r>
      <w:r w:rsidR="005F7263">
        <w:t>inností smluvních stran z této s</w:t>
      </w:r>
      <w:r w:rsidRPr="001D65B2">
        <w:t>mlouvy se vykládá v prvé řadě vždy podle jazykového vyjádření jednotlivých ustano</w:t>
      </w:r>
      <w:r w:rsidR="005F7263">
        <w:t>vení této s</w:t>
      </w:r>
      <w:r w:rsidRPr="001D65B2">
        <w:t>mlouvy. K úmyslu jednajícího lze přihlédnout, jen není-li v rozporu s jazykovým vyjádřením. Teprve v případě nejasností ohledně významu jazykového vyjádření jednotlivých ustanovení se použijí ostatní zákonná pravidla pro určení obsahu práv a povinností stran. K</w:t>
      </w:r>
      <w:r w:rsidR="005F7263">
        <w:t xml:space="preserve"> tomu, co předcházelo uzavření s</w:t>
      </w:r>
      <w:r w:rsidRPr="001D65B2">
        <w:t xml:space="preserve">mlouvy, se v takovém případě přihlíží, jen není-li to v rozporu s </w:t>
      </w:r>
      <w:r w:rsidR="005F7263">
        <w:t>obsahem anebo smyslem a účelem s</w:t>
      </w:r>
      <w:r w:rsidRPr="001D65B2">
        <w:t>mlouvy.</w:t>
      </w:r>
    </w:p>
    <w:p w14:paraId="1356C8EF" w14:textId="77777777" w:rsidR="00926DFE" w:rsidRPr="001D65B2" w:rsidRDefault="00926DFE" w:rsidP="008002D6">
      <w:pPr>
        <w:pStyle w:val="Legal-Article"/>
        <w:jc w:val="both"/>
      </w:pPr>
      <w:r w:rsidRPr="001D65B2">
        <w:t xml:space="preserve">Tato </w:t>
      </w:r>
      <w:r w:rsidR="005F7263">
        <w:t>s</w:t>
      </w:r>
      <w:r w:rsidRPr="001D65B2">
        <w:t xml:space="preserve">mlouva obsahuje úplnou dohodu </w:t>
      </w:r>
      <w:r w:rsidR="005F7263">
        <w:t>s</w:t>
      </w:r>
      <w:r w:rsidRPr="001D65B2">
        <w:t xml:space="preserve">mluvních stran ve věci předmětu této </w:t>
      </w:r>
      <w:r w:rsidR="005F7263">
        <w:t>s</w:t>
      </w:r>
      <w:r w:rsidRPr="001D65B2">
        <w:t xml:space="preserve">mlouvy, a nahrazuje veškeré ostatní písemné či ústní dohody učiněné ve věci předmětu této </w:t>
      </w:r>
      <w:r w:rsidR="005F7263">
        <w:t>s</w:t>
      </w:r>
      <w:r w:rsidRPr="001D65B2">
        <w:t xml:space="preserve">mlouvy. </w:t>
      </w:r>
    </w:p>
    <w:p w14:paraId="03674418" w14:textId="77777777" w:rsidR="00926DFE" w:rsidRPr="001D65B2" w:rsidRDefault="00926DFE" w:rsidP="008002D6">
      <w:pPr>
        <w:pStyle w:val="Legal-Article"/>
        <w:jc w:val="both"/>
      </w:pPr>
      <w:r w:rsidRPr="001D65B2">
        <w:t>Veškeré právní</w:t>
      </w:r>
      <w:r w:rsidR="005F7263">
        <w:t xml:space="preserve"> úkony směřující ke změně této s</w:t>
      </w:r>
      <w:r w:rsidRPr="001D65B2">
        <w:t>mlouvy, jakož i k jejímu ukončení musí mít písemnou formu.</w:t>
      </w:r>
      <w:r w:rsidRPr="001D65B2" w:rsidDel="00F34E28">
        <w:t xml:space="preserve"> </w:t>
      </w:r>
      <w:r w:rsidRPr="001D65B2">
        <w:t xml:space="preserve"> </w:t>
      </w:r>
    </w:p>
    <w:p w14:paraId="2BABFE96" w14:textId="77777777" w:rsidR="00926DFE" w:rsidRPr="001D65B2" w:rsidRDefault="00926DFE" w:rsidP="008002D6">
      <w:pPr>
        <w:pStyle w:val="Legal-Article"/>
        <w:jc w:val="both"/>
      </w:pPr>
      <w:r w:rsidRPr="001D65B2">
        <w:t>Měnit či doplňovat tuto Smlouvu je možné pouze formou písemných dodatků. Smluvní stran</w:t>
      </w:r>
      <w:r w:rsidR="005F7263">
        <w:t>y výslovně sjednávají, že tato s</w:t>
      </w:r>
      <w:r w:rsidRPr="001D65B2">
        <w:t>mlouva nemůže být měněna či doplňována v jiné ne</w:t>
      </w:r>
      <w:r w:rsidR="005F7263">
        <w:t>ž písemné formě.</w:t>
      </w:r>
      <w:r w:rsidRPr="001D65B2">
        <w:t xml:space="preserve"> Písemná forma se pro účely tohoto ustanovení nepovažuje za dodrženou v případě jednání učiněného elektronickými nebo jinými technickými prostředky umožňujícími zachycení obsahu a určení jednající osoby. </w:t>
      </w:r>
    </w:p>
    <w:p w14:paraId="0052829F" w14:textId="77777777" w:rsidR="00926DFE" w:rsidRPr="001D65B2" w:rsidRDefault="00926DFE" w:rsidP="008002D6">
      <w:pPr>
        <w:pStyle w:val="Legal-Article"/>
        <w:jc w:val="both"/>
      </w:pPr>
      <w:r w:rsidRPr="001D65B2">
        <w:t xml:space="preserve">Pokud se jakékoli ustanovení této </w:t>
      </w:r>
      <w:r w:rsidR="005F7263">
        <w:t>s</w:t>
      </w:r>
      <w:r w:rsidRPr="001D65B2">
        <w:t xml:space="preserve">mlouvy stane neplatným, nevymahatelným či zdánlivým, nebude to mít vliv na platnost a vymahatelnost ostatních ustanovení této </w:t>
      </w:r>
      <w:r w:rsidR="005F7263">
        <w:t>s</w:t>
      </w:r>
      <w:r w:rsidRPr="001D65B2">
        <w:t xml:space="preserve">mlouvy. Smluvní strany se zavazují nahradit takové ustanovení novým ustanovením, jehož znění bude odpovídat úmyslu vyjádřenému původním ustanovením a touto </w:t>
      </w:r>
      <w:r w:rsidR="005F7263">
        <w:t>s</w:t>
      </w:r>
      <w:r w:rsidRPr="001D65B2">
        <w:t xml:space="preserve">mlouvou jako celkem. </w:t>
      </w:r>
    </w:p>
    <w:p w14:paraId="7869B97B" w14:textId="77777777" w:rsidR="00926DFE" w:rsidRPr="001D65B2" w:rsidRDefault="00926DFE" w:rsidP="008002D6">
      <w:pPr>
        <w:pStyle w:val="Legal-Article"/>
        <w:jc w:val="both"/>
      </w:pPr>
      <w:r w:rsidRPr="001D65B2">
        <w:t xml:space="preserve">Objednatel není oprávněn bez předchozího písemného souhlasu postoupit své nároky a práva a povinnosti z této </w:t>
      </w:r>
      <w:r w:rsidR="005F7263">
        <w:t>s</w:t>
      </w:r>
      <w:r w:rsidRPr="001D65B2">
        <w:t>mlouvy třetím osobám, a to ani částečně.</w:t>
      </w:r>
    </w:p>
    <w:p w14:paraId="0AFD9039" w14:textId="77777777" w:rsidR="004D24FE" w:rsidRDefault="00926DFE" w:rsidP="008002D6">
      <w:pPr>
        <w:pStyle w:val="Legal-Article"/>
        <w:jc w:val="both"/>
      </w:pPr>
      <w:r w:rsidRPr="001D65B2">
        <w:t>Objednatel není oprávněn pohle</w:t>
      </w:r>
      <w:r w:rsidR="005F7263">
        <w:t>dávku vzniklou na základě této s</w:t>
      </w:r>
      <w:r w:rsidRPr="001D65B2">
        <w:t>mlouvy jednostranně započíst, zastavit, případně postoupit bez předchozíh</w:t>
      </w:r>
      <w:r w:rsidR="005F7263">
        <w:t>o písemného souhlasu p</w:t>
      </w:r>
      <w:r w:rsidRPr="001D65B2">
        <w:t>oskytovatele.</w:t>
      </w:r>
      <w:r w:rsidR="00744294">
        <w:t xml:space="preserve"> </w:t>
      </w:r>
    </w:p>
    <w:p w14:paraId="3C928D95" w14:textId="77777777" w:rsidR="00CD30AF" w:rsidRPr="00DA31A8" w:rsidRDefault="00DA31A8" w:rsidP="008002D6">
      <w:pPr>
        <w:pStyle w:val="Legal-Article"/>
        <w:jc w:val="both"/>
      </w:pPr>
      <w:r w:rsidRPr="00DA31A8">
        <w:t xml:space="preserve">Poskytovatel se zavazuje bez zbytečného prodlení oznámit Objednateli svoji insolvenci nebo hrozbu jejího vzniku. Objednatel je v případě podezření na insolvenci Poskytovatele </w:t>
      </w:r>
      <w:r w:rsidRPr="00DA31A8">
        <w:lastRenderedPageBreak/>
        <w:t>nebo její hrozbu nebo podezření na neuhrazení DPH nebo její zkrácení či vylákání daňové výhody oprávněn odvést částku DPH z uskutečněného zdanitelného plnění přímo příslušnému finančnímu úřadu, a to v návaznosti na § 109 a § 109 a zákona do DPH.  V takovém případě tuto skutečnost Objednatel bez zbytečného odkladu oznámí Poskytovateli. Úhradou DPH na účet finančního úřadu se pohledávka Poskytovatele vůči Objednateli v částce uhrazené DPH považuje bez ohledu na další ustanovení Smlouvy za uhrazenou. Zároveň Poskytovatel neprodleně oznámí, zda takto provedená platba je evidována plátcem daně.</w:t>
      </w:r>
    </w:p>
    <w:p w14:paraId="5D4E73C7" w14:textId="27953912" w:rsidR="00DA31A8" w:rsidRPr="00DA31A8" w:rsidRDefault="00DA31A8" w:rsidP="008002D6">
      <w:pPr>
        <w:pStyle w:val="Legal-Article"/>
        <w:jc w:val="both"/>
      </w:pPr>
      <w:r w:rsidRPr="00DA31A8">
        <w:t>Poskytovatel se zavazuje, že bankovní účet jím určený pro zaplacení jakéhokoli závazku Objednatele na základě této Smlouvy bude k datu splatnosti příslušného závazku zveřejněn způsobem umožňujícím dálkový přístup ve smyslu § 96 odst. 2 zákona o DPH. Pokud bude Poskytovatel označen správcem daně za nespolehlivého plátce ve smyslu §106a zákona o DPH, zavazuje se zároveň o této skutečnosti neprodleně písemně informovat Objednatele spolu s uvedením data, kdy tato skutečnost nastala.</w:t>
      </w:r>
    </w:p>
    <w:p w14:paraId="25BC93A7" w14:textId="4C1984F1" w:rsidR="00DA31A8" w:rsidRDefault="00DA31A8" w:rsidP="008002D6">
      <w:pPr>
        <w:pStyle w:val="Legal-Article"/>
        <w:jc w:val="both"/>
      </w:pPr>
      <w:r>
        <w:rPr>
          <w:color w:val="111111"/>
        </w:rPr>
        <w:t xml:space="preserve">Pokud Objednateli </w:t>
      </w:r>
      <w:r>
        <w:rPr>
          <w:color w:val="232323"/>
        </w:rPr>
        <w:t xml:space="preserve">vznikne </w:t>
      </w:r>
      <w:r>
        <w:rPr>
          <w:color w:val="111111"/>
        </w:rPr>
        <w:t>podle</w:t>
      </w:r>
      <w:r w:rsidR="00E022C7">
        <w:rPr>
          <w:color w:val="111111"/>
        </w:rPr>
        <w:t xml:space="preserve"> </w:t>
      </w:r>
      <w:r>
        <w:rPr>
          <w:color w:val="111111"/>
        </w:rPr>
        <w:t>§109 zákona o DPH ručení za nezaplacenou DPH z přijatého zdanitelného plnění od Poskytovatele má Objednatel právo bez souhlasu Poskytovatele uplatnit postup zvláštního způsobu zajištění daně podle §109a zákona o DPH</w:t>
      </w:r>
      <w:r w:rsidR="00293014">
        <w:rPr>
          <w:color w:val="111111"/>
        </w:rPr>
        <w:t>.</w:t>
      </w:r>
    </w:p>
    <w:p w14:paraId="4E7938E5" w14:textId="77777777" w:rsidR="004D24FE" w:rsidRDefault="004D24FE" w:rsidP="008002D6">
      <w:pPr>
        <w:pStyle w:val="Legal-Article"/>
        <w:jc w:val="both"/>
      </w:pPr>
      <w:r w:rsidRPr="00771151">
        <w:t xml:space="preserve">Při nedodržení termínu splatnosti faktury má </w:t>
      </w:r>
      <w:r w:rsidR="005475E1">
        <w:t>Poskyto</w:t>
      </w:r>
      <w:r w:rsidR="005475E1" w:rsidRPr="004D24FE">
        <w:t>vatel</w:t>
      </w:r>
      <w:r w:rsidRPr="00771151">
        <w:t xml:space="preserve"> právo na uplatnění úroků z prodlení ve výši stanovené nařízením vlády č. 351/2013 Sb., kterým se určuje výše úroků z 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osob, v platném znění</w:t>
      </w:r>
      <w:r>
        <w:t>.</w:t>
      </w:r>
    </w:p>
    <w:p w14:paraId="1B88911F" w14:textId="0B96BEAF" w:rsidR="004D24FE" w:rsidRPr="004D24FE" w:rsidRDefault="004D24FE" w:rsidP="008002D6">
      <w:pPr>
        <w:pStyle w:val="Legal-Article"/>
        <w:jc w:val="both"/>
      </w:pPr>
      <w:r w:rsidRPr="00771151">
        <w:rPr>
          <w:rFonts w:cstheme="minorHAnsi"/>
          <w:szCs w:val="20"/>
        </w:rPr>
        <w:t xml:space="preserve">V případě, že </w:t>
      </w:r>
      <w:r w:rsidR="005475E1">
        <w:t>Poskyto</w:t>
      </w:r>
      <w:r w:rsidR="005475E1" w:rsidRPr="004D24FE">
        <w:t>vatel</w:t>
      </w:r>
      <w:r w:rsidRPr="00771151">
        <w:rPr>
          <w:rFonts w:cstheme="minorHAnsi"/>
          <w:szCs w:val="20"/>
        </w:rPr>
        <w:t xml:space="preserve"> postoupí nebo dá do zástavy jakoukoliv pohledávku vzniklou na základě této Smlouvy bez předchozího písemného souhlasu Objednatele, má Objednatel nárok na </w:t>
      </w:r>
      <w:r w:rsidRPr="00345209">
        <w:rPr>
          <w:rFonts w:cstheme="minorHAnsi"/>
          <w:szCs w:val="20"/>
        </w:rPr>
        <w:t xml:space="preserve">smluvní pokutu ve výši </w:t>
      </w:r>
      <w:r w:rsidR="00D46176">
        <w:rPr>
          <w:rFonts w:cstheme="minorHAnsi"/>
          <w:szCs w:val="20"/>
        </w:rPr>
        <w:t>XXX</w:t>
      </w:r>
      <w:r w:rsidRPr="00345209">
        <w:rPr>
          <w:rFonts w:cstheme="minorHAnsi"/>
          <w:szCs w:val="20"/>
        </w:rPr>
        <w:t xml:space="preserve"> z hodnoty postoupené</w:t>
      </w:r>
      <w:r w:rsidRPr="00771151">
        <w:rPr>
          <w:rFonts w:cstheme="minorHAnsi"/>
          <w:szCs w:val="20"/>
        </w:rPr>
        <w:t xml:space="preserve"> či zastavené pohledávky</w:t>
      </w:r>
      <w:r w:rsidR="00F7625D">
        <w:rPr>
          <w:rFonts w:cstheme="minorHAnsi"/>
          <w:szCs w:val="20"/>
        </w:rPr>
        <w:t>,</w:t>
      </w:r>
      <w:r w:rsidR="00E022C7">
        <w:rPr>
          <w:rFonts w:cstheme="minorHAnsi"/>
          <w:szCs w:val="20"/>
        </w:rPr>
        <w:t xml:space="preserve"> </w:t>
      </w:r>
      <w:r w:rsidR="00F7625D">
        <w:rPr>
          <w:rFonts w:cstheme="minorHAnsi"/>
          <w:szCs w:val="20"/>
        </w:rPr>
        <w:t xml:space="preserve">nejméně však ve výši </w:t>
      </w:r>
      <w:r w:rsidR="00D46176">
        <w:rPr>
          <w:rFonts w:cstheme="minorHAnsi"/>
          <w:szCs w:val="20"/>
        </w:rPr>
        <w:t>XXX</w:t>
      </w:r>
      <w:r w:rsidR="00E022C7">
        <w:rPr>
          <w:rFonts w:cstheme="minorHAnsi"/>
          <w:szCs w:val="20"/>
        </w:rPr>
        <w:t>,</w:t>
      </w:r>
      <w:r w:rsidRPr="00771151">
        <w:rPr>
          <w:rFonts w:cstheme="minorHAnsi"/>
          <w:szCs w:val="20"/>
        </w:rPr>
        <w:t xml:space="preserve"> a to i v případě, že by se takové postoupení pohledávky ukázalo jako neplatné</w:t>
      </w:r>
      <w:r>
        <w:rPr>
          <w:rFonts w:cstheme="minorHAnsi"/>
          <w:szCs w:val="20"/>
        </w:rPr>
        <w:t>.</w:t>
      </w:r>
    </w:p>
    <w:p w14:paraId="61340343" w14:textId="77777777" w:rsidR="004D24FE" w:rsidRPr="004D24FE" w:rsidRDefault="004D24FE" w:rsidP="008002D6">
      <w:pPr>
        <w:pStyle w:val="Legal-Article"/>
        <w:jc w:val="both"/>
      </w:pPr>
      <w:r w:rsidRPr="00771151">
        <w:rPr>
          <w:rFonts w:cstheme="minorHAnsi"/>
          <w:szCs w:val="20"/>
        </w:rPr>
        <w:t>Sjednáním smluvní pokuty ani jejím uhrazením není dotčeno právo na náhradu škody ve výši, ve které tato převyšuje příslušnou smluvní pokutu</w:t>
      </w:r>
      <w:r>
        <w:rPr>
          <w:rFonts w:cstheme="minorHAnsi"/>
          <w:szCs w:val="20"/>
        </w:rPr>
        <w:t>.</w:t>
      </w:r>
    </w:p>
    <w:p w14:paraId="236E199A" w14:textId="77777777" w:rsidR="004D24FE" w:rsidRDefault="005475E1" w:rsidP="008002D6">
      <w:pPr>
        <w:pStyle w:val="Legal-Article"/>
        <w:jc w:val="both"/>
      </w:pPr>
      <w:r>
        <w:t>Poskyto</w:t>
      </w:r>
      <w:r w:rsidRPr="004D24FE">
        <w:t xml:space="preserve">vatel </w:t>
      </w:r>
      <w:r w:rsidR="004D24FE" w:rsidRPr="00771151">
        <w:rPr>
          <w:rFonts w:cstheme="minorHAnsi"/>
          <w:szCs w:val="20"/>
        </w:rPr>
        <w:t>prohlašuje, že smluvní pokuty a jejich výše jsou přiměřené ve vztahu k povinnostem, k nimž se vztahují</w:t>
      </w:r>
      <w:r w:rsidR="004D24FE">
        <w:rPr>
          <w:rFonts w:cstheme="minorHAnsi"/>
          <w:szCs w:val="20"/>
        </w:rPr>
        <w:t>.</w:t>
      </w:r>
    </w:p>
    <w:p w14:paraId="51D8F0E0" w14:textId="77777777" w:rsidR="00744294" w:rsidRPr="00E07A1D" w:rsidRDefault="00744294" w:rsidP="008002D6">
      <w:pPr>
        <w:pStyle w:val="Legal-Article"/>
        <w:jc w:val="both"/>
      </w:pPr>
      <w:r w:rsidRPr="00E07A1D">
        <w:t>Poskytovatel není oprávn</w:t>
      </w:r>
      <w:r w:rsidRPr="00E07A1D">
        <w:rPr>
          <w:rFonts w:hint="eastAsia"/>
        </w:rPr>
        <w:t>ě</w:t>
      </w:r>
      <w:r w:rsidRPr="00E07A1D">
        <w:t>n p</w:t>
      </w:r>
      <w:r w:rsidRPr="00E07A1D">
        <w:rPr>
          <w:rFonts w:hint="eastAsia"/>
        </w:rPr>
        <w:t>ř</w:t>
      </w:r>
      <w:r w:rsidRPr="00E07A1D">
        <w:t xml:space="preserve">evést svá práva a povinnosti ze Smlouvy nebo její </w:t>
      </w:r>
      <w:r w:rsidRPr="00E07A1D">
        <w:rPr>
          <w:rFonts w:hint="eastAsia"/>
        </w:rPr>
        <w:t>čá</w:t>
      </w:r>
      <w:r w:rsidRPr="00E07A1D">
        <w:t>sti na t</w:t>
      </w:r>
      <w:r w:rsidRPr="00E07A1D">
        <w:rPr>
          <w:rFonts w:hint="eastAsia"/>
        </w:rPr>
        <w:t>ř</w:t>
      </w:r>
      <w:r w:rsidRPr="00E07A1D">
        <w:t>etí osobu bez p</w:t>
      </w:r>
      <w:r w:rsidRPr="00E07A1D">
        <w:rPr>
          <w:rFonts w:hint="eastAsia"/>
        </w:rPr>
        <w:t>ř</w:t>
      </w:r>
      <w:r w:rsidRPr="00E07A1D">
        <w:t>edchozího výslovného písemného souhlasu Objednatele. Objednatel si tímto vyhrazuje právo takový souhlas neud</w:t>
      </w:r>
      <w:r w:rsidRPr="00E07A1D">
        <w:rPr>
          <w:rFonts w:hint="eastAsia"/>
        </w:rPr>
        <w:t>ě</w:t>
      </w:r>
      <w:r w:rsidRPr="00E07A1D">
        <w:t>lit, a to i bez udání d</w:t>
      </w:r>
      <w:r w:rsidRPr="00E07A1D">
        <w:rPr>
          <w:rFonts w:hint="eastAsia"/>
        </w:rPr>
        <w:t>ů</w:t>
      </w:r>
      <w:r w:rsidRPr="00E07A1D">
        <w:t>vodu. Za ú</w:t>
      </w:r>
      <w:r w:rsidRPr="00E07A1D">
        <w:rPr>
          <w:rFonts w:hint="eastAsia"/>
        </w:rPr>
        <w:t>č</w:t>
      </w:r>
      <w:r w:rsidRPr="00E07A1D">
        <w:t>elem zvážení, zda takový souhlas s p</w:t>
      </w:r>
      <w:r w:rsidRPr="00E07A1D">
        <w:rPr>
          <w:rFonts w:hint="eastAsia"/>
        </w:rPr>
        <w:t>ř</w:t>
      </w:r>
      <w:r w:rsidRPr="00E07A1D">
        <w:t>evodem Objednatel ud</w:t>
      </w:r>
      <w:r w:rsidRPr="00E07A1D">
        <w:rPr>
          <w:rFonts w:hint="eastAsia"/>
        </w:rPr>
        <w:t>ě</w:t>
      </w:r>
      <w:r w:rsidRPr="00E07A1D">
        <w:t xml:space="preserve">lí </w:t>
      </w:r>
      <w:r w:rsidRPr="00E07A1D">
        <w:rPr>
          <w:rFonts w:hint="eastAsia"/>
        </w:rPr>
        <w:t>č</w:t>
      </w:r>
      <w:r w:rsidRPr="00E07A1D">
        <w:t>i nikoli, je Poskytovatel povinen mu opat</w:t>
      </w:r>
      <w:r w:rsidRPr="00E07A1D">
        <w:rPr>
          <w:rFonts w:hint="eastAsia"/>
        </w:rPr>
        <w:t>ř</w:t>
      </w:r>
      <w:r w:rsidRPr="00E07A1D">
        <w:t>it veškeré informace a dokumenty o které Objednatel požádá. Tato Smlouva není p</w:t>
      </w:r>
      <w:r w:rsidRPr="00E07A1D">
        <w:rPr>
          <w:rFonts w:hint="eastAsia"/>
        </w:rPr>
        <w:t>ř</w:t>
      </w:r>
      <w:r w:rsidRPr="00E07A1D">
        <w:t>evoditelná rubopisem.</w:t>
      </w:r>
    </w:p>
    <w:p w14:paraId="0A9DA99B" w14:textId="77777777" w:rsidR="00800E63" w:rsidRPr="00800E63" w:rsidRDefault="00800E63" w:rsidP="008002D6">
      <w:pPr>
        <w:pStyle w:val="Legal-Article"/>
        <w:jc w:val="both"/>
      </w:pPr>
      <w:r w:rsidRPr="00841EED">
        <w:rPr>
          <w:szCs w:val="20"/>
        </w:rPr>
        <w:t xml:space="preserve">Smluvní strany berou na vědomí, že tato Smlouva podléhá povinnosti uveřejnění </w:t>
      </w:r>
      <w:r w:rsidRPr="00841EED">
        <w:rPr>
          <w:szCs w:val="20"/>
        </w:rPr>
        <w:lastRenderedPageBreak/>
        <w:t>prostřednictvím registru smluv dle zákona číslo 340/2015 Sb., o zvláštních podmínkách účinnosti některých smluv, uveřejňování těchto smluv a o registru smluv</w:t>
      </w:r>
      <w:r>
        <w:rPr>
          <w:szCs w:val="20"/>
        </w:rPr>
        <w:t>.</w:t>
      </w:r>
    </w:p>
    <w:p w14:paraId="5D8045D2" w14:textId="77777777" w:rsidR="00800E63" w:rsidRDefault="00800E63" w:rsidP="008002D6">
      <w:pPr>
        <w:pStyle w:val="Legal-Article"/>
        <w:jc w:val="both"/>
      </w:pPr>
      <w:r w:rsidRPr="00061247">
        <w:t>Smluvní strany si sje</w:t>
      </w:r>
      <w:r>
        <w:t>dnávají, že uveřejnění S</w:t>
      </w:r>
      <w:r w:rsidRPr="00061247">
        <w:t>mlouvy jejím zasláním správci reg</w:t>
      </w:r>
      <w:r w:rsidR="004624FE">
        <w:t xml:space="preserve">istru smluv uskuteční </w:t>
      </w:r>
      <w:r w:rsidR="00345209">
        <w:t>Objednate</w:t>
      </w:r>
      <w:r>
        <w:t>l</w:t>
      </w:r>
      <w:r w:rsidRPr="00061247">
        <w:t xml:space="preserve"> (ČD-Informační Systémy, a.s.) v lhů</w:t>
      </w:r>
      <w:r>
        <w:t xml:space="preserve">tě do 20 dnů od podpisu smlouvy oběma </w:t>
      </w:r>
      <w:r w:rsidRPr="00564891">
        <w:t>smluvními stranami</w:t>
      </w:r>
      <w:r>
        <w:t>.</w:t>
      </w:r>
    </w:p>
    <w:p w14:paraId="071BCAC9" w14:textId="0105A12F" w:rsidR="00111D22" w:rsidRPr="008002D6" w:rsidRDefault="00111D22" w:rsidP="008002D6">
      <w:pPr>
        <w:pStyle w:val="Legal-Article"/>
        <w:jc w:val="both"/>
      </w:pPr>
      <w:r w:rsidRPr="008002D6">
        <w:rPr>
          <w:bCs/>
        </w:rPr>
        <w:t>Smluvní strany prohlašují, že se v průběhu kontraktačního procesu shodly na skutečnostech, tvořících v jejich smluvním vztahu obchodní tajemství tak jak jej definují zákonné předpisy a že po vzájemné shodě výslovně identifikují informace, které za předmět obchodního tajemství považují a které nemohou být zveřejněny.</w:t>
      </w:r>
    </w:p>
    <w:p w14:paraId="2815629B" w14:textId="77777777" w:rsidR="001B62D3" w:rsidRDefault="00926DFE" w:rsidP="008002D6">
      <w:pPr>
        <w:pStyle w:val="Legal-Article"/>
        <w:jc w:val="both"/>
      </w:pPr>
      <w:r w:rsidRPr="001D65B2">
        <w:t xml:space="preserve">Tato </w:t>
      </w:r>
      <w:r w:rsidR="005F7263">
        <w:t>s</w:t>
      </w:r>
      <w:r w:rsidRPr="001D65B2">
        <w:t xml:space="preserve">mlouva nabývá platnosti a účinnosti dnem podpisu </w:t>
      </w:r>
      <w:r w:rsidR="005F7263">
        <w:t>s</w:t>
      </w:r>
      <w:r w:rsidRPr="001D65B2">
        <w:t>mluvní</w:t>
      </w:r>
      <w:r w:rsidR="005F7263">
        <w:t>mi</w:t>
      </w:r>
      <w:r w:rsidRPr="001D65B2">
        <w:t xml:space="preserve"> stran</w:t>
      </w:r>
      <w:r w:rsidR="005F7263">
        <w:t>ami.</w:t>
      </w:r>
      <w:r w:rsidR="001B62D3">
        <w:t xml:space="preserve"> </w:t>
      </w:r>
    </w:p>
    <w:p w14:paraId="5774AE72" w14:textId="77777777" w:rsidR="007B673C" w:rsidRDefault="008B1672" w:rsidP="008002D6">
      <w:pPr>
        <w:pStyle w:val="Legal-Article"/>
        <w:jc w:val="both"/>
      </w:pPr>
      <w:r>
        <w:t>Všechny spory, které by mohly vzniknout z této smlouvy nebo v souvislosti s ní, budou primárně řešeny formou dohody obou smluvních stran</w:t>
      </w:r>
      <w:r w:rsidR="005F7263">
        <w:t xml:space="preserve"> </w:t>
      </w:r>
      <w:r w:rsidR="005F7263" w:rsidRPr="001D65B2">
        <w:t xml:space="preserve">a pouze v případě, že nedojde k dohodě </w:t>
      </w:r>
      <w:r w:rsidR="005F7263">
        <w:t>s</w:t>
      </w:r>
      <w:r w:rsidR="005F7263" w:rsidRPr="001D65B2">
        <w:t>mluvních stran, bude rozhodovat věcně a místně příslušný soud</w:t>
      </w:r>
      <w:r>
        <w:t>.</w:t>
      </w:r>
    </w:p>
    <w:p w14:paraId="325538F6" w14:textId="77777777" w:rsidR="007B673C" w:rsidRDefault="008B1672" w:rsidP="008002D6">
      <w:pPr>
        <w:pStyle w:val="Legal-Article"/>
        <w:jc w:val="both"/>
      </w:pPr>
      <w:r>
        <w:t>Tato smlouva je vyhotovena ve dvou výtiscích s platností originálu, z nichž každá strana obdrží po jednom.</w:t>
      </w:r>
    </w:p>
    <w:p w14:paraId="0A76FE47" w14:textId="77777777" w:rsidR="007B673C" w:rsidRDefault="008B1672" w:rsidP="00970CCF">
      <w:pPr>
        <w:pStyle w:val="Legal-Article"/>
      </w:pPr>
      <w:r>
        <w:t>Nedílnou součástí této smlouvy jsou následující přílohy:</w:t>
      </w:r>
    </w:p>
    <w:p w14:paraId="12059328" w14:textId="77777777" w:rsidR="007B673C" w:rsidRDefault="008B1672">
      <w:pPr>
        <w:numPr>
          <w:ilvl w:val="1"/>
          <w:numId w:val="6"/>
        </w:numPr>
        <w:ind w:hanging="360"/>
      </w:pPr>
      <w:r>
        <w:t>Příloha č. 1: Specifikace jednotlivých služeb</w:t>
      </w:r>
    </w:p>
    <w:p w14:paraId="7AEB2332" w14:textId="77777777" w:rsidR="007B673C" w:rsidRDefault="008B1672" w:rsidP="005E46CC">
      <w:pPr>
        <w:numPr>
          <w:ilvl w:val="1"/>
          <w:numId w:val="6"/>
        </w:numPr>
        <w:ind w:hanging="360"/>
      </w:pPr>
      <w:r>
        <w:t>Příloha č. 2: Provozní řád</w:t>
      </w:r>
    </w:p>
    <w:p w14:paraId="29B221D0" w14:textId="77777777" w:rsidR="007B673C" w:rsidRDefault="008B1672">
      <w:pPr>
        <w:numPr>
          <w:ilvl w:val="1"/>
          <w:numId w:val="6"/>
        </w:numPr>
        <w:ind w:hanging="360"/>
      </w:pPr>
      <w:r>
        <w:t xml:space="preserve">Příloha č. </w:t>
      </w:r>
      <w:r w:rsidR="005E46CC">
        <w:t>3:</w:t>
      </w:r>
      <w:r>
        <w:t xml:space="preserve"> Komunikační schéma</w:t>
      </w:r>
    </w:p>
    <w:p w14:paraId="31C7EABA" w14:textId="77777777" w:rsidR="007B673C" w:rsidRDefault="007B673C" w:rsidP="00970CCF">
      <w:pPr>
        <w:pStyle w:val="Nadpis1"/>
        <w:numPr>
          <w:ilvl w:val="0"/>
          <w:numId w:val="0"/>
        </w:numPr>
        <w:contextualSpacing w:val="0"/>
      </w:pPr>
      <w:bookmarkStart w:id="11" w:name="h.olq2y130fhvy" w:colFirst="0" w:colLast="0"/>
      <w:bookmarkEnd w:id="11"/>
    </w:p>
    <w:p w14:paraId="5D84A3F5" w14:textId="59FE08E8" w:rsidR="007B673C" w:rsidRDefault="00647A92" w:rsidP="002B5940">
      <w:pPr>
        <w:keepNext/>
        <w:contextualSpacing w:val="0"/>
      </w:pPr>
      <w:r>
        <w:rPr>
          <w:rFonts w:ascii="Calibri" w:eastAsia="Calibri" w:hAnsi="Calibri" w:cs="Calibri"/>
          <w:b/>
        </w:rPr>
        <w:t>Za Objednatele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5072C7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Za P</w:t>
      </w:r>
      <w:r w:rsidR="008B1672">
        <w:rPr>
          <w:rFonts w:ascii="Calibri" w:eastAsia="Calibri" w:hAnsi="Calibri" w:cs="Calibri"/>
          <w:b/>
        </w:rPr>
        <w:t>oskytovatele</w:t>
      </w:r>
    </w:p>
    <w:p w14:paraId="4492C54C" w14:textId="311DFCCB" w:rsidR="007B673C" w:rsidRDefault="008B1672" w:rsidP="002B5940">
      <w:pPr>
        <w:keepNext/>
        <w:contextualSpacing w:val="0"/>
      </w:pPr>
      <w:r>
        <w:rPr>
          <w:rFonts w:ascii="Calibri" w:eastAsia="Calibri" w:hAnsi="Calibri" w:cs="Calibri"/>
        </w:rPr>
        <w:t xml:space="preserve">v Praze dne </w:t>
      </w:r>
      <w:proofErr w:type="gramStart"/>
      <w:r w:rsidR="000D2630">
        <w:rPr>
          <w:rFonts w:ascii="Calibri" w:eastAsia="Calibri" w:hAnsi="Calibri" w:cs="Calibri"/>
        </w:rPr>
        <w:t>1.7.2017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47A92">
        <w:rPr>
          <w:rFonts w:ascii="Calibri" w:eastAsia="Calibri" w:hAnsi="Calibri" w:cs="Calibri"/>
        </w:rPr>
        <w:tab/>
      </w:r>
      <w:r w:rsidR="00647A92">
        <w:rPr>
          <w:rFonts w:ascii="Calibri" w:eastAsia="Calibri" w:hAnsi="Calibri" w:cs="Calibri"/>
        </w:rPr>
        <w:tab/>
      </w:r>
      <w:r w:rsidR="00647A92">
        <w:rPr>
          <w:rFonts w:ascii="Calibri" w:eastAsia="Calibri" w:hAnsi="Calibri" w:cs="Calibri"/>
        </w:rPr>
        <w:tab/>
      </w:r>
      <w:r w:rsidR="00647A9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v Praze dne </w:t>
      </w:r>
      <w:r w:rsidR="000D2630">
        <w:rPr>
          <w:rFonts w:ascii="Calibri" w:eastAsia="Calibri" w:hAnsi="Calibri" w:cs="Calibri"/>
        </w:rPr>
        <w:t>1.7.2017</w:t>
      </w:r>
    </w:p>
    <w:p w14:paraId="4DA7BF8A" w14:textId="77777777" w:rsidR="005745DF" w:rsidRDefault="005745DF" w:rsidP="002B5940">
      <w:pPr>
        <w:keepNext/>
        <w:contextualSpacing w:val="0"/>
      </w:pPr>
      <w:bookmarkStart w:id="12" w:name="h.eeqrejwd3r3" w:colFirst="0" w:colLast="0"/>
      <w:bookmarkEnd w:id="12"/>
    </w:p>
    <w:p w14:paraId="376BDD30" w14:textId="77777777" w:rsidR="005745DF" w:rsidRPr="00810035" w:rsidRDefault="005745DF" w:rsidP="002B5940">
      <w:pPr>
        <w:keepNext/>
        <w:contextualSpacing w:val="0"/>
      </w:pPr>
      <w:r w:rsidRPr="005745DF">
        <w:t>………………………….</w:t>
      </w:r>
      <w:r w:rsidRPr="005745DF">
        <w:tab/>
      </w:r>
      <w:r w:rsidRPr="005745DF">
        <w:tab/>
      </w:r>
      <w:r w:rsidRPr="005745DF">
        <w:tab/>
      </w:r>
      <w:r w:rsidRPr="005745DF">
        <w:tab/>
      </w:r>
      <w:r w:rsidRPr="005745DF">
        <w:tab/>
        <w:t>………………………….</w:t>
      </w:r>
    </w:p>
    <w:p w14:paraId="40113BED" w14:textId="6B741E77" w:rsidR="005745DF" w:rsidRPr="00E07A1D" w:rsidRDefault="005745DF" w:rsidP="002B5940">
      <w:pPr>
        <w:keepNext/>
        <w:contextualSpacing w:val="0"/>
        <w:rPr>
          <w:rFonts w:ascii="Calibri" w:eastAsia="Calibri" w:hAnsi="Calibri" w:cs="Calibri"/>
          <w:b/>
        </w:rPr>
      </w:pPr>
      <w:r w:rsidRPr="00E07A1D">
        <w:rPr>
          <w:rFonts w:ascii="Calibri" w:eastAsia="Calibri" w:hAnsi="Calibri" w:cs="Calibri"/>
          <w:b/>
        </w:rPr>
        <w:t>Ing. Miloslav</w:t>
      </w:r>
      <w:r w:rsidR="00F72BAE">
        <w:rPr>
          <w:rFonts w:ascii="Calibri" w:eastAsia="Calibri" w:hAnsi="Calibri" w:cs="Calibri"/>
          <w:b/>
        </w:rPr>
        <w:t xml:space="preserve"> </w:t>
      </w:r>
      <w:r w:rsidRPr="00E07A1D">
        <w:rPr>
          <w:rFonts w:ascii="Calibri" w:eastAsia="Calibri" w:hAnsi="Calibri" w:cs="Calibri"/>
          <w:b/>
        </w:rPr>
        <w:t>Kopecký</w:t>
      </w:r>
      <w:r w:rsidRPr="00E07A1D">
        <w:rPr>
          <w:rFonts w:ascii="Calibri" w:eastAsia="Calibri" w:hAnsi="Calibri" w:cs="Calibri"/>
          <w:b/>
        </w:rPr>
        <w:tab/>
      </w:r>
      <w:r w:rsidRPr="00E07A1D">
        <w:rPr>
          <w:rFonts w:ascii="Calibri" w:eastAsia="Calibri" w:hAnsi="Calibri" w:cs="Calibri"/>
          <w:b/>
        </w:rPr>
        <w:tab/>
      </w:r>
      <w:r w:rsidRPr="00E07A1D">
        <w:rPr>
          <w:rFonts w:ascii="Calibri" w:eastAsia="Calibri" w:hAnsi="Calibri" w:cs="Calibri"/>
          <w:b/>
        </w:rPr>
        <w:tab/>
      </w:r>
      <w:r w:rsidRPr="00E07A1D">
        <w:rPr>
          <w:rFonts w:ascii="Calibri" w:eastAsia="Calibri" w:hAnsi="Calibri" w:cs="Calibri"/>
          <w:b/>
        </w:rPr>
        <w:tab/>
      </w:r>
      <w:r w:rsidRPr="00E07A1D">
        <w:rPr>
          <w:rFonts w:ascii="Calibri" w:eastAsia="Calibri" w:hAnsi="Calibri" w:cs="Calibri"/>
          <w:b/>
        </w:rPr>
        <w:tab/>
      </w:r>
      <w:r w:rsidRPr="00E07A1D">
        <w:rPr>
          <w:rFonts w:ascii="Calibri" w:eastAsia="Calibri" w:hAnsi="Calibri" w:cs="Calibri"/>
          <w:b/>
        </w:rPr>
        <w:tab/>
      </w:r>
      <w:r w:rsidRPr="005745DF">
        <w:rPr>
          <w:rFonts w:ascii="Calibri" w:eastAsia="Calibri" w:hAnsi="Calibri" w:cs="Calibri"/>
          <w:b/>
        </w:rPr>
        <w:t>Ing. Martin Čížek, MBA</w:t>
      </w:r>
    </w:p>
    <w:p w14:paraId="7034C37E" w14:textId="77777777" w:rsidR="005745DF" w:rsidRPr="00B66A33" w:rsidRDefault="005745DF" w:rsidP="002B5940">
      <w:pPr>
        <w:keepNext/>
        <w:contextualSpacing w:val="0"/>
      </w:pPr>
      <w:r w:rsidRPr="00E07A1D">
        <w:rPr>
          <w:rFonts w:ascii="Calibri" w:eastAsia="Calibri" w:hAnsi="Calibri" w:cs="Calibri"/>
          <w:b/>
        </w:rPr>
        <w:t>předseda představenstva</w:t>
      </w:r>
      <w:r w:rsidRPr="005745DF">
        <w:rPr>
          <w:rFonts w:ascii="Calibri" w:eastAsia="Calibri" w:hAnsi="Calibri" w:cs="Calibri"/>
          <w:b/>
        </w:rPr>
        <w:tab/>
      </w:r>
      <w:r w:rsidRPr="005745DF">
        <w:rPr>
          <w:rFonts w:ascii="Calibri" w:eastAsia="Calibri" w:hAnsi="Calibri" w:cs="Calibri"/>
          <w:b/>
        </w:rPr>
        <w:tab/>
      </w:r>
      <w:r w:rsidRPr="005745DF">
        <w:rPr>
          <w:rFonts w:ascii="Calibri" w:eastAsia="Calibri" w:hAnsi="Calibri" w:cs="Calibri"/>
          <w:b/>
        </w:rPr>
        <w:tab/>
      </w:r>
      <w:r w:rsidRPr="005745DF">
        <w:rPr>
          <w:rFonts w:ascii="Calibri" w:eastAsia="Calibri" w:hAnsi="Calibri" w:cs="Calibri"/>
          <w:b/>
        </w:rPr>
        <w:tab/>
      </w:r>
      <w:r w:rsidRPr="005745DF">
        <w:rPr>
          <w:rFonts w:ascii="Calibri" w:eastAsia="Calibri" w:hAnsi="Calibri" w:cs="Calibri"/>
          <w:b/>
        </w:rPr>
        <w:tab/>
      </w:r>
      <w:r w:rsidRPr="00810035">
        <w:rPr>
          <w:rFonts w:ascii="Calibri" w:eastAsia="Calibri" w:hAnsi="Calibri" w:cs="Calibri"/>
          <w:b/>
        </w:rPr>
        <w:t>jednatel</w:t>
      </w:r>
    </w:p>
    <w:p w14:paraId="333CB528" w14:textId="77777777" w:rsidR="005745DF" w:rsidRPr="005745DF" w:rsidRDefault="005745DF" w:rsidP="002B5940">
      <w:pPr>
        <w:keepNext/>
        <w:contextualSpacing w:val="0"/>
        <w:rPr>
          <w:rFonts w:ascii="Calibri" w:eastAsia="Calibri" w:hAnsi="Calibri" w:cs="Calibri"/>
        </w:rPr>
      </w:pPr>
      <w:r w:rsidRPr="00E07A1D">
        <w:rPr>
          <w:rFonts w:ascii="Calibri" w:eastAsia="Calibri" w:hAnsi="Calibri" w:cs="Calibri"/>
        </w:rPr>
        <w:t>ČD - Informační Systémy, a.s.</w:t>
      </w:r>
      <w:r w:rsidRPr="00E07A1D">
        <w:rPr>
          <w:rFonts w:ascii="Calibri" w:eastAsia="Calibri" w:hAnsi="Calibri" w:cs="Calibri"/>
        </w:rPr>
        <w:tab/>
      </w:r>
      <w:r w:rsidRPr="005745DF">
        <w:rPr>
          <w:rFonts w:ascii="Calibri" w:eastAsia="Calibri" w:hAnsi="Calibri" w:cs="Calibri"/>
        </w:rPr>
        <w:tab/>
      </w:r>
      <w:r w:rsidRPr="005745DF">
        <w:rPr>
          <w:rFonts w:ascii="Calibri" w:eastAsia="Calibri" w:hAnsi="Calibri" w:cs="Calibri"/>
        </w:rPr>
        <w:tab/>
      </w:r>
      <w:r w:rsidRPr="005745DF">
        <w:rPr>
          <w:rFonts w:ascii="Calibri" w:eastAsia="Calibri" w:hAnsi="Calibri" w:cs="Calibri"/>
        </w:rPr>
        <w:tab/>
      </w:r>
      <w:r w:rsidRPr="00810035">
        <w:rPr>
          <w:rFonts w:ascii="Calibri" w:eastAsia="Calibri" w:hAnsi="Calibri" w:cs="Calibri"/>
        </w:rPr>
        <w:tab/>
      </w:r>
      <w:r w:rsidRPr="00B66A33">
        <w:rPr>
          <w:rFonts w:ascii="Calibri" w:eastAsia="Calibri" w:hAnsi="Calibri" w:cs="Calibri"/>
        </w:rPr>
        <w:t>Orchitech Solutions, s.r.o.</w:t>
      </w:r>
    </w:p>
    <w:p w14:paraId="3AFE8717" w14:textId="77777777" w:rsidR="005745DF" w:rsidRPr="005745DF" w:rsidRDefault="005745DF" w:rsidP="002B5940">
      <w:pPr>
        <w:keepNext/>
        <w:contextualSpacing w:val="0"/>
        <w:rPr>
          <w:rFonts w:ascii="Calibri" w:eastAsia="Calibri" w:hAnsi="Calibri" w:cs="Calibri"/>
        </w:rPr>
      </w:pPr>
    </w:p>
    <w:p w14:paraId="519142BD" w14:textId="77777777" w:rsidR="005745DF" w:rsidRPr="005745DF" w:rsidRDefault="005745DF" w:rsidP="002B5940">
      <w:pPr>
        <w:keepNext/>
        <w:contextualSpacing w:val="0"/>
        <w:rPr>
          <w:rFonts w:ascii="Calibri" w:eastAsia="Calibri" w:hAnsi="Calibri" w:cs="Calibri"/>
        </w:rPr>
      </w:pPr>
    </w:p>
    <w:p w14:paraId="4CBA2E24" w14:textId="77777777" w:rsidR="005745DF" w:rsidRPr="005745DF" w:rsidRDefault="005745DF" w:rsidP="002B5940">
      <w:pPr>
        <w:keepNext/>
        <w:contextualSpacing w:val="0"/>
        <w:rPr>
          <w:rFonts w:ascii="Calibri" w:eastAsia="Calibri" w:hAnsi="Calibri" w:cs="Calibri"/>
        </w:rPr>
      </w:pPr>
    </w:p>
    <w:p w14:paraId="1D8900FC" w14:textId="77777777" w:rsidR="005745DF" w:rsidRPr="005745DF" w:rsidRDefault="005745DF" w:rsidP="002B5940">
      <w:pPr>
        <w:keepNext/>
        <w:contextualSpacing w:val="0"/>
        <w:rPr>
          <w:rFonts w:ascii="Calibri" w:eastAsia="Calibri" w:hAnsi="Calibri" w:cs="Calibri"/>
        </w:rPr>
      </w:pPr>
    </w:p>
    <w:p w14:paraId="2BF77839" w14:textId="77777777" w:rsidR="005745DF" w:rsidRPr="005745DF" w:rsidRDefault="005745DF" w:rsidP="002B5940">
      <w:pPr>
        <w:keepNext/>
        <w:contextualSpacing w:val="0"/>
      </w:pPr>
      <w:r w:rsidRPr="005745DF">
        <w:t>………………………….</w:t>
      </w:r>
    </w:p>
    <w:p w14:paraId="4FCBF0C8" w14:textId="77777777" w:rsidR="005745DF" w:rsidRPr="00E07A1D" w:rsidRDefault="005745DF" w:rsidP="002B5940">
      <w:pPr>
        <w:keepNext/>
        <w:contextualSpacing w:val="0"/>
        <w:rPr>
          <w:rFonts w:ascii="Calibri" w:eastAsia="Calibri" w:hAnsi="Calibri" w:cs="Calibri"/>
          <w:b/>
        </w:rPr>
      </w:pPr>
      <w:r w:rsidRPr="00E07A1D">
        <w:rPr>
          <w:rFonts w:ascii="Calibri" w:eastAsia="Calibri" w:hAnsi="Calibri" w:cs="Calibri"/>
          <w:b/>
        </w:rPr>
        <w:t>Ing. Tomáš Vacek</w:t>
      </w:r>
    </w:p>
    <w:p w14:paraId="5DE10CD5" w14:textId="77777777" w:rsidR="005745DF" w:rsidRPr="00810035" w:rsidRDefault="005745DF" w:rsidP="002B5940">
      <w:pPr>
        <w:keepNext/>
        <w:contextualSpacing w:val="0"/>
      </w:pPr>
      <w:r w:rsidRPr="00E07A1D">
        <w:rPr>
          <w:rFonts w:ascii="Calibri" w:eastAsia="Calibri" w:hAnsi="Calibri" w:cs="Calibri"/>
          <w:b/>
        </w:rPr>
        <w:t>člen představenstv</w:t>
      </w:r>
      <w:r w:rsidRPr="005745DF">
        <w:rPr>
          <w:rFonts w:ascii="Calibri" w:eastAsia="Calibri" w:hAnsi="Calibri" w:cs="Calibri"/>
          <w:b/>
        </w:rPr>
        <w:t>a</w:t>
      </w:r>
    </w:p>
    <w:p w14:paraId="1DB641F7" w14:textId="77777777" w:rsidR="005745DF" w:rsidRDefault="005745DF" w:rsidP="002B5940">
      <w:pPr>
        <w:keepNext/>
        <w:contextualSpacing w:val="0"/>
      </w:pPr>
      <w:r w:rsidRPr="00E07A1D">
        <w:rPr>
          <w:rFonts w:ascii="Calibri" w:eastAsia="Calibri" w:hAnsi="Calibri" w:cs="Calibri"/>
        </w:rPr>
        <w:t>ČD - Informační Systémy, a.s.</w:t>
      </w:r>
    </w:p>
    <w:p w14:paraId="740D5A7F" w14:textId="77777777" w:rsidR="005745DF" w:rsidRDefault="005745DF" w:rsidP="005745DF">
      <w:pPr>
        <w:contextualSpacing w:val="0"/>
      </w:pPr>
    </w:p>
    <w:p w14:paraId="3F55BC10" w14:textId="77777777" w:rsidR="007B673C" w:rsidRDefault="008B1672">
      <w:r>
        <w:br w:type="page"/>
      </w:r>
    </w:p>
    <w:p w14:paraId="571C8A74" w14:textId="77777777" w:rsidR="007B673C" w:rsidRDefault="008B1672" w:rsidP="00970CCF">
      <w:pPr>
        <w:pStyle w:val="Nadpis1"/>
        <w:numPr>
          <w:ilvl w:val="0"/>
          <w:numId w:val="0"/>
        </w:numPr>
        <w:ind w:left="432" w:hanging="432"/>
        <w:contextualSpacing w:val="0"/>
      </w:pPr>
      <w:bookmarkStart w:id="13" w:name="h.9gjlpi2w5k6g" w:colFirst="0" w:colLast="0"/>
      <w:bookmarkStart w:id="14" w:name="h.94uma8cs1m4s" w:colFirst="0" w:colLast="0"/>
      <w:bookmarkEnd w:id="13"/>
      <w:bookmarkEnd w:id="14"/>
      <w:r>
        <w:lastRenderedPageBreak/>
        <w:t>Příloha 1: Specifikace jednotlivých služeb</w:t>
      </w:r>
    </w:p>
    <w:p w14:paraId="7CF85968" w14:textId="77777777" w:rsidR="007B673C" w:rsidRDefault="008B1672">
      <w:pPr>
        <w:pStyle w:val="Nadpis2"/>
        <w:contextualSpacing w:val="0"/>
      </w:pPr>
      <w:bookmarkStart w:id="15" w:name="h.afar61pjzmw1" w:colFirst="0" w:colLast="0"/>
      <w:bookmarkStart w:id="16" w:name="h.h9p9qiqy9580" w:colFirst="0" w:colLast="0"/>
      <w:bookmarkEnd w:id="15"/>
      <w:bookmarkEnd w:id="16"/>
      <w:r>
        <w:t>SUP3 – Expertní podpora</w:t>
      </w:r>
    </w:p>
    <w:p w14:paraId="5E8ADFBE" w14:textId="77777777" w:rsidR="007B673C" w:rsidRDefault="008B1672">
      <w:pPr>
        <w:contextualSpacing w:val="0"/>
      </w:pPr>
      <w:r>
        <w:t>Služba tvoří 3. úroveň podpory provozov</w:t>
      </w:r>
      <w:r w:rsidR="00647A92">
        <w:t xml:space="preserve">aného IdM řešení </w:t>
      </w:r>
      <w:r w:rsidR="005E46CC">
        <w:t>(aplikace)</w:t>
      </w:r>
      <w:r w:rsidR="00647A92">
        <w:t xml:space="preserve">, </w:t>
      </w:r>
      <w:r w:rsidR="005E46CC">
        <w:t xml:space="preserve">přičemž </w:t>
      </w:r>
      <w:r w:rsidR="00647A92">
        <w:t>O</w:t>
      </w:r>
      <w:r>
        <w:t xml:space="preserve">bjednatel bude </w:t>
      </w:r>
      <w:r w:rsidR="005E46CC">
        <w:t xml:space="preserve">zajišťovat </w:t>
      </w:r>
      <w:r>
        <w:t xml:space="preserve">1. a 2. </w:t>
      </w:r>
      <w:r w:rsidR="005E46CC">
        <w:t>úroveň podpory samostatně či prostřednictvím třetích stran</w:t>
      </w:r>
      <w:r>
        <w:t>.</w:t>
      </w:r>
    </w:p>
    <w:p w14:paraId="10B66AB2" w14:textId="77777777" w:rsidR="007B673C" w:rsidRDefault="008B1672">
      <w:pPr>
        <w:contextualSpacing w:val="0"/>
      </w:pPr>
      <w:r>
        <w:t xml:space="preserve">Expertní podpora zahrnuje následující </w:t>
      </w:r>
      <w:r w:rsidR="005E46CC">
        <w:t>činnosti</w:t>
      </w:r>
      <w:r>
        <w:t>:</w:t>
      </w:r>
    </w:p>
    <w:p w14:paraId="4127ED01" w14:textId="77777777" w:rsidR="007B673C" w:rsidRDefault="008B1672">
      <w:pPr>
        <w:numPr>
          <w:ilvl w:val="0"/>
          <w:numId w:val="8"/>
        </w:numPr>
        <w:ind w:hanging="360"/>
      </w:pPr>
      <w:r>
        <w:t xml:space="preserve">Správu </w:t>
      </w:r>
      <w:r w:rsidR="004274E4">
        <w:t xml:space="preserve">nahlášených </w:t>
      </w:r>
      <w:r>
        <w:t xml:space="preserve">incidentů </w:t>
      </w:r>
      <w:r w:rsidR="004274E4">
        <w:t xml:space="preserve">a problémů </w:t>
      </w:r>
      <w:r>
        <w:t>za použití helpdeskové aplikace poskytovatele.</w:t>
      </w:r>
    </w:p>
    <w:p w14:paraId="33BC1E00" w14:textId="1F02E266" w:rsidR="007B673C" w:rsidRDefault="008B1672">
      <w:pPr>
        <w:numPr>
          <w:ilvl w:val="0"/>
          <w:numId w:val="8"/>
        </w:numPr>
        <w:ind w:hanging="360"/>
      </w:pPr>
      <w:r>
        <w:t xml:space="preserve">Reakce a řešení incidentů </w:t>
      </w:r>
      <w:r w:rsidR="004274E4">
        <w:t xml:space="preserve">a problémů </w:t>
      </w:r>
      <w:r>
        <w:t>nahlášených 2. úrovní, analýzou logů a jakoukoliv manuální kontrolou provedenou provozním technikem.</w:t>
      </w:r>
    </w:p>
    <w:p w14:paraId="52D7A949" w14:textId="77777777" w:rsidR="0097670A" w:rsidRDefault="0097670A" w:rsidP="00970CCF">
      <w:pPr>
        <w:numPr>
          <w:ilvl w:val="0"/>
          <w:numId w:val="8"/>
        </w:numPr>
        <w:ind w:hanging="360"/>
      </w:pPr>
      <w:r w:rsidRPr="0097670A">
        <w:t>Možnost telefonických a emailových konzultací při řešení incidentů a provozních problémů</w:t>
      </w:r>
      <w:r>
        <w:t>.</w:t>
      </w:r>
    </w:p>
    <w:p w14:paraId="368633B5" w14:textId="346E4D38" w:rsidR="0097670A" w:rsidRPr="0097670A" w:rsidRDefault="0097670A" w:rsidP="00970CCF">
      <w:pPr>
        <w:numPr>
          <w:ilvl w:val="0"/>
          <w:numId w:val="8"/>
        </w:numPr>
        <w:ind w:hanging="360"/>
      </w:pPr>
      <w:r w:rsidRPr="0097670A">
        <w:t xml:space="preserve">Proaktivní informovanost od </w:t>
      </w:r>
      <w:r w:rsidR="004624FE">
        <w:t>Poskyto</w:t>
      </w:r>
      <w:r w:rsidRPr="0097670A">
        <w:t>vatele k </w:t>
      </w:r>
      <w:r w:rsidR="00914F49">
        <w:t>Objedna</w:t>
      </w:r>
      <w:r w:rsidRPr="0097670A">
        <w:t>teli o závadách a nově objevených chybách v produktu</w:t>
      </w:r>
    </w:p>
    <w:p w14:paraId="557A6698" w14:textId="0A0DF07D" w:rsidR="00914F49" w:rsidRDefault="0097670A" w:rsidP="00914F49">
      <w:pPr>
        <w:numPr>
          <w:ilvl w:val="0"/>
          <w:numId w:val="8"/>
        </w:numPr>
        <w:ind w:hanging="360"/>
      </w:pPr>
      <w:r w:rsidRPr="0097670A">
        <w:t>Zajištění dostupnosti upgradů</w:t>
      </w:r>
      <w:r w:rsidR="00914F49">
        <w:t>, konzultační podpora při jejich aplikaci a případně jejich nasazení</w:t>
      </w:r>
      <w:r w:rsidRPr="0097670A">
        <w:t xml:space="preserve"> (nové funkce, oprava chyb) včetně konzultační podpory při jejich aplikaci</w:t>
      </w:r>
      <w:r w:rsidR="00914F49">
        <w:t>.</w:t>
      </w:r>
    </w:p>
    <w:p w14:paraId="53BEA5C4" w14:textId="77777777" w:rsidR="007B673C" w:rsidRDefault="008B1672">
      <w:pPr>
        <w:numPr>
          <w:ilvl w:val="0"/>
          <w:numId w:val="8"/>
        </w:numPr>
        <w:ind w:hanging="360"/>
      </w:pPr>
      <w:r>
        <w:t>Garantovaná doba reakce.</w:t>
      </w:r>
    </w:p>
    <w:p w14:paraId="53EA3428" w14:textId="77777777" w:rsidR="007B673C" w:rsidRDefault="008B1672">
      <w:pPr>
        <w:pStyle w:val="Nadpis3"/>
        <w:contextualSpacing w:val="0"/>
      </w:pPr>
      <w:bookmarkStart w:id="17" w:name="h.wg6i128dmodc" w:colFirst="0" w:colLast="0"/>
      <w:bookmarkEnd w:id="17"/>
      <w:r>
        <w:t>Provozní hodiny</w:t>
      </w:r>
    </w:p>
    <w:p w14:paraId="5ADFC835" w14:textId="77777777" w:rsidR="007B673C" w:rsidRDefault="005E46CC">
      <w:pPr>
        <w:contextualSpacing w:val="0"/>
      </w:pPr>
      <w:r>
        <w:t xml:space="preserve">Expertní podpora bude poskytována v pracovní </w:t>
      </w:r>
      <w:r w:rsidR="008B1672">
        <w:t xml:space="preserve">dny </w:t>
      </w:r>
      <w:r>
        <w:t xml:space="preserve">od </w:t>
      </w:r>
      <w:r w:rsidR="008B1672">
        <w:t xml:space="preserve">9:00 </w:t>
      </w:r>
      <w:r>
        <w:t xml:space="preserve">do </w:t>
      </w:r>
      <w:r w:rsidR="008B1672">
        <w:t>18:00</w:t>
      </w:r>
      <w:r>
        <w:t xml:space="preserve"> hod</w:t>
      </w:r>
      <w:r w:rsidR="008B1672">
        <w:t>.</w:t>
      </w:r>
    </w:p>
    <w:p w14:paraId="561085C0" w14:textId="77777777" w:rsidR="007B673C" w:rsidRDefault="008B1672">
      <w:pPr>
        <w:pStyle w:val="Nadpis3"/>
        <w:contextualSpacing w:val="0"/>
      </w:pPr>
      <w:bookmarkStart w:id="18" w:name="h.xpbmq2v8kgut" w:colFirst="0" w:colLast="0"/>
      <w:bookmarkEnd w:id="18"/>
      <w:r>
        <w:t>Komunikační kanály</w:t>
      </w:r>
    </w:p>
    <w:p w14:paraId="52E7F130" w14:textId="77777777" w:rsidR="007B673C" w:rsidRDefault="008B1672">
      <w:pPr>
        <w:contextualSpacing w:val="0"/>
      </w:pPr>
      <w:r>
        <w:t>Dle přílohy Komunikační schéma.</w:t>
      </w:r>
    </w:p>
    <w:p w14:paraId="271CA17F" w14:textId="77777777" w:rsidR="007B673C" w:rsidRDefault="008B1672">
      <w:pPr>
        <w:pStyle w:val="Nadpis3"/>
        <w:contextualSpacing w:val="0"/>
      </w:pPr>
      <w:bookmarkStart w:id="19" w:name="h.w2f9m3zeiqpb" w:colFirst="0" w:colLast="0"/>
      <w:bookmarkEnd w:id="19"/>
      <w:r>
        <w:t>Dob</w:t>
      </w:r>
      <w:r w:rsidR="0097670A">
        <w:t>a</w:t>
      </w:r>
      <w:r>
        <w:t xml:space="preserve"> odezvy </w:t>
      </w:r>
    </w:p>
    <w:p w14:paraId="106C3D90" w14:textId="77777777" w:rsidR="005E46CC" w:rsidRPr="005E46CC" w:rsidRDefault="005E46CC" w:rsidP="00970CCF">
      <w:r>
        <w:t xml:space="preserve">Poskytovatel se zavazuje poskytovat expertní podporu s garantovanou dobou odezvy 4 hodiny od okamžiku nahlášení incidentu. </w:t>
      </w:r>
    </w:p>
    <w:p w14:paraId="2382682C" w14:textId="77777777" w:rsidR="007B673C" w:rsidRDefault="008B1672">
      <w:pPr>
        <w:contextualSpacing w:val="0"/>
      </w:pPr>
      <w:r>
        <w:t>Je-li incident zadán mimo provozní hodiny, je za jeho zadání považován nejbližší čas v rámci provozních hodin.</w:t>
      </w:r>
    </w:p>
    <w:p w14:paraId="5CE335ED" w14:textId="77777777" w:rsidR="003E3C6A" w:rsidRDefault="003E3C6A" w:rsidP="00503877">
      <w:pPr>
        <w:pStyle w:val="Nadpis2"/>
      </w:pPr>
      <w:bookmarkStart w:id="20" w:name="h.1eldltn2vjk1" w:colFirst="0" w:colLast="0"/>
      <w:bookmarkEnd w:id="20"/>
    </w:p>
    <w:p w14:paraId="1398AC0D" w14:textId="77777777" w:rsidR="007B673C" w:rsidRDefault="008B1672" w:rsidP="00503877">
      <w:pPr>
        <w:pStyle w:val="Nadpis2"/>
      </w:pPr>
      <w:bookmarkStart w:id="21" w:name="h.qvp3yr4862lk" w:colFirst="0" w:colLast="0"/>
      <w:bookmarkStart w:id="22" w:name="h.jwu3i8rhz0hw" w:colFirst="0" w:colLast="0"/>
      <w:bookmarkStart w:id="23" w:name="h.ybfxvjba5p8s" w:colFirst="0" w:colLast="0"/>
      <w:bookmarkEnd w:id="21"/>
      <w:bookmarkEnd w:id="22"/>
      <w:bookmarkEnd w:id="23"/>
      <w:r>
        <w:t>SUP4 Profylaxe</w:t>
      </w:r>
    </w:p>
    <w:p w14:paraId="630D383A" w14:textId="77777777" w:rsidR="007B673C" w:rsidRDefault="008B1672">
      <w:pPr>
        <w:contextualSpacing w:val="0"/>
      </w:pPr>
      <w:r>
        <w:t>Služba je uskutečňována pravidelně s frekvencí nejméně 1x měsíčně a zahrnuje:</w:t>
      </w:r>
    </w:p>
    <w:p w14:paraId="0D32EA2E" w14:textId="77777777" w:rsidR="007B673C" w:rsidRDefault="008B1672">
      <w:pPr>
        <w:numPr>
          <w:ilvl w:val="0"/>
          <w:numId w:val="13"/>
        </w:numPr>
        <w:ind w:hanging="360"/>
      </w:pPr>
      <w:proofErr w:type="gramStart"/>
      <w:r>
        <w:t>Analýzu</w:t>
      </w:r>
      <w:proofErr w:type="gramEnd"/>
      <w:r>
        <w:t xml:space="preserve"> logů spravovaného systému – logy jsou shromážděny, zpracovány a vyhodnoceny. Jsou identifikovány problémy a </w:t>
      </w:r>
      <w:r w:rsidR="00647A92">
        <w:t>návrhy na zlepšení a zadány do H</w:t>
      </w:r>
      <w:r>
        <w:t>elpdeskové aplikace.</w:t>
      </w:r>
    </w:p>
    <w:p w14:paraId="754EA9C5" w14:textId="77777777" w:rsidR="007B673C" w:rsidRDefault="00EE5B73">
      <w:pPr>
        <w:numPr>
          <w:ilvl w:val="0"/>
          <w:numId w:val="13"/>
        </w:numPr>
        <w:ind w:hanging="360"/>
      </w:pPr>
      <w:r>
        <w:lastRenderedPageBreak/>
        <w:t xml:space="preserve">Po dohodě s objednatelem </w:t>
      </w:r>
      <w:r>
        <w:rPr>
          <w:lang w:val="en-US"/>
        </w:rPr>
        <w:t xml:space="preserve">– </w:t>
      </w:r>
      <w:r>
        <w:t>o</w:t>
      </w:r>
      <w:r w:rsidR="008B1672">
        <w:t>perace údržby jako odmazávání starých logů, nepotřebných dočasných souborů a úpravy konfigurací. Prov</w:t>
      </w:r>
      <w:r w:rsidR="00647A92">
        <w:t>edené akce jsou zaevidovány do H</w:t>
      </w:r>
      <w:r w:rsidR="008B1672">
        <w:t>elpdeskové aplikace</w:t>
      </w:r>
      <w:r>
        <w:t>, nebo předány Objednateli k provedení</w:t>
      </w:r>
      <w:r w:rsidR="008B1672">
        <w:t>.</w:t>
      </w:r>
    </w:p>
    <w:p w14:paraId="65D3DA35" w14:textId="77777777" w:rsidR="007B673C" w:rsidRDefault="008B1672">
      <w:pPr>
        <w:contextualSpacing w:val="0"/>
      </w:pPr>
      <w:r>
        <w:t>Zodpovědnost: provozní technik.</w:t>
      </w:r>
    </w:p>
    <w:p w14:paraId="0B6715F9" w14:textId="77777777" w:rsidR="007B673C" w:rsidRDefault="008B1672">
      <w:pPr>
        <w:pStyle w:val="Nadpis2"/>
        <w:contextualSpacing w:val="0"/>
      </w:pPr>
      <w:bookmarkStart w:id="24" w:name="h.l516gztzkxp7" w:colFirst="0" w:colLast="0"/>
      <w:bookmarkStart w:id="25" w:name="h.v2xhc8333n9z" w:colFirst="0" w:colLast="0"/>
      <w:bookmarkEnd w:id="24"/>
      <w:bookmarkEnd w:id="25"/>
      <w:r>
        <w:t>SUP6 Správa testovacího prostředí (není poskytována Poskytovatelem)</w:t>
      </w:r>
    </w:p>
    <w:p w14:paraId="0CC2A875" w14:textId="77777777" w:rsidR="007B673C" w:rsidRDefault="008B1672">
      <w:pPr>
        <w:contextualSpacing w:val="0"/>
      </w:pPr>
      <w:r>
        <w:t>Úkolem testovacího prostředí je napodobit produkční prostředí a v provozu má dva významy:</w:t>
      </w:r>
    </w:p>
    <w:p w14:paraId="22C5506B" w14:textId="77777777" w:rsidR="007B673C" w:rsidRDefault="008B1672">
      <w:pPr>
        <w:numPr>
          <w:ilvl w:val="0"/>
          <w:numId w:val="1"/>
        </w:numPr>
        <w:ind w:hanging="360"/>
      </w:pPr>
      <w:r>
        <w:t>ověřit funkčnost opravné nebo nové verze před jejím nasazením na produkční prostředí,</w:t>
      </w:r>
    </w:p>
    <w:p w14:paraId="06AAF064" w14:textId="77777777" w:rsidR="007B673C" w:rsidRDefault="008B1672">
      <w:pPr>
        <w:numPr>
          <w:ilvl w:val="0"/>
          <w:numId w:val="1"/>
        </w:numPr>
        <w:ind w:hanging="360"/>
      </w:pPr>
      <w:r>
        <w:t>reprodukovat problémy hlášené na produkčním prostředí a umožnit tak provozní podpoře identifikaci problému, aniž by došlo k ohrožení provozu na produkčním prostředí.</w:t>
      </w:r>
    </w:p>
    <w:p w14:paraId="66D4E5CC" w14:textId="77777777" w:rsidR="007B673C" w:rsidRDefault="008B1672">
      <w:pPr>
        <w:contextualSpacing w:val="0"/>
      </w:pPr>
      <w:r>
        <w:t xml:space="preserve">Testovací prostředí </w:t>
      </w:r>
      <w:r w:rsidR="00647A92">
        <w:t>P</w:t>
      </w:r>
      <w:r>
        <w:t>oskytovatel provozuje na svých prostředcích (hardware apod.), přičemž testovací prostředí by nemělo obsahovat citlivá data.</w:t>
      </w:r>
    </w:p>
    <w:p w14:paraId="1080A92A" w14:textId="77777777" w:rsidR="007B673C" w:rsidRDefault="008B1672">
      <w:pPr>
        <w:pStyle w:val="Nadpis2"/>
        <w:contextualSpacing w:val="0"/>
      </w:pPr>
      <w:bookmarkStart w:id="26" w:name="h.1mhcc35oq5g6" w:colFirst="0" w:colLast="0"/>
      <w:bookmarkEnd w:id="26"/>
      <w:r>
        <w:t>SUP7 Reporty</w:t>
      </w:r>
    </w:p>
    <w:p w14:paraId="32E672DF" w14:textId="77777777" w:rsidR="007B673C" w:rsidRDefault="008B1672">
      <w:pPr>
        <w:contextualSpacing w:val="0"/>
      </w:pPr>
      <w:r>
        <w:t>Po skončení každého kalendářního měsíce poskytován</w:t>
      </w:r>
      <w:r w:rsidR="00647A92">
        <w:t>í podpory je vytvořen a předán Ob</w:t>
      </w:r>
      <w:r>
        <w:t>jednateli report s následujícím obsahem:</w:t>
      </w:r>
    </w:p>
    <w:p w14:paraId="4DD19AD8" w14:textId="77777777" w:rsidR="007B673C" w:rsidRDefault="008B1672">
      <w:pPr>
        <w:numPr>
          <w:ilvl w:val="0"/>
          <w:numId w:val="2"/>
        </w:numPr>
        <w:ind w:hanging="360"/>
      </w:pPr>
      <w:r>
        <w:t>Počet incidentů</w:t>
      </w:r>
      <w:r w:rsidR="00EE5B73">
        <w:t xml:space="preserve"> / problémů</w:t>
      </w:r>
      <w:r>
        <w:t xml:space="preserve"> a jejich seznam.</w:t>
      </w:r>
    </w:p>
    <w:p w14:paraId="7D2E3565" w14:textId="77777777" w:rsidR="007B673C" w:rsidRDefault="008B1672">
      <w:pPr>
        <w:numPr>
          <w:ilvl w:val="0"/>
          <w:numId w:val="2"/>
        </w:numPr>
        <w:ind w:hanging="360"/>
      </w:pPr>
      <w:r>
        <w:t>Více informací o podstatných incidentech</w:t>
      </w:r>
      <w:r w:rsidR="00EE5B73">
        <w:t xml:space="preserve"> a problémech</w:t>
      </w:r>
      <w:r>
        <w:t>.</w:t>
      </w:r>
    </w:p>
    <w:p w14:paraId="70C3573A" w14:textId="77777777" w:rsidR="00463863" w:rsidRDefault="008B1672" w:rsidP="00970CCF">
      <w:pPr>
        <w:numPr>
          <w:ilvl w:val="0"/>
          <w:numId w:val="2"/>
        </w:numPr>
        <w:ind w:hanging="360"/>
      </w:pPr>
      <w:r>
        <w:t>Vyúčtování využitého paušálu u služby SUP3, plnění nad jeho rámec a převodu paušálu do následujícího měsíce.</w:t>
      </w:r>
      <w:r w:rsidR="00463863" w:rsidDel="00463863">
        <w:t xml:space="preserve"> </w:t>
      </w:r>
      <w:bookmarkStart w:id="27" w:name="h.yriqik1t12w0" w:colFirst="0" w:colLast="0"/>
      <w:bookmarkStart w:id="28" w:name="h.fh7tujq99xp3" w:colFirst="0" w:colLast="0"/>
      <w:bookmarkStart w:id="29" w:name="h.1qoqpiubfsj" w:colFirst="0" w:colLast="0"/>
      <w:bookmarkStart w:id="30" w:name="h.9aj2za99kx1t" w:colFirst="0" w:colLast="0"/>
      <w:bookmarkStart w:id="31" w:name="h.xxe25njnieby" w:colFirst="0" w:colLast="0"/>
      <w:bookmarkEnd w:id="27"/>
      <w:bookmarkEnd w:id="28"/>
      <w:bookmarkEnd w:id="29"/>
      <w:bookmarkEnd w:id="30"/>
      <w:bookmarkEnd w:id="31"/>
    </w:p>
    <w:p w14:paraId="10F64FDF" w14:textId="77777777" w:rsidR="007B673C" w:rsidRDefault="008B1672" w:rsidP="00970CCF">
      <w:pPr>
        <w:pStyle w:val="Nadpis1"/>
        <w:numPr>
          <w:ilvl w:val="0"/>
          <w:numId w:val="0"/>
        </w:numPr>
        <w:ind w:left="432" w:hanging="432"/>
        <w:contextualSpacing w:val="0"/>
      </w:pPr>
      <w:bookmarkStart w:id="32" w:name="h.rmyk9jd5ecnd" w:colFirst="0" w:colLast="0"/>
      <w:bookmarkStart w:id="33" w:name="h.ckdi4olgwgzr" w:colFirst="0" w:colLast="0"/>
      <w:bookmarkStart w:id="34" w:name="h.2sksdphnuqxl" w:colFirst="0" w:colLast="0"/>
      <w:bookmarkStart w:id="35" w:name="h.b2d0c1i6ux06" w:colFirst="0" w:colLast="0"/>
      <w:bookmarkStart w:id="36" w:name="h.yd30wkripq3n" w:colFirst="0" w:colLast="0"/>
      <w:bookmarkStart w:id="37" w:name="h.6b185sqoecjj" w:colFirst="0" w:colLast="0"/>
      <w:bookmarkEnd w:id="32"/>
      <w:bookmarkEnd w:id="33"/>
      <w:bookmarkEnd w:id="34"/>
      <w:bookmarkEnd w:id="35"/>
      <w:bookmarkEnd w:id="36"/>
      <w:bookmarkEnd w:id="37"/>
      <w:r>
        <w:t xml:space="preserve">Příloha </w:t>
      </w:r>
      <w:r w:rsidR="005E46CC">
        <w:t>2</w:t>
      </w:r>
      <w:r>
        <w:t>: Provozní řád</w:t>
      </w:r>
    </w:p>
    <w:p w14:paraId="5462E4F8" w14:textId="77777777" w:rsidR="007B673C" w:rsidRDefault="008B1672">
      <w:pPr>
        <w:pStyle w:val="Nadpis2"/>
        <w:contextualSpacing w:val="0"/>
      </w:pPr>
      <w:bookmarkStart w:id="38" w:name="h.ydge0fm3rfuh" w:colFirst="0" w:colLast="0"/>
      <w:bookmarkEnd w:id="38"/>
      <w:r>
        <w:t>Úlohy v kompetenci služby SUP3 – Expertní podpora</w:t>
      </w:r>
    </w:p>
    <w:p w14:paraId="70F6D874" w14:textId="77777777" w:rsidR="007B673C" w:rsidRDefault="008B1672">
      <w:pPr>
        <w:contextualSpacing w:val="0"/>
      </w:pPr>
      <w:r>
        <w:t>V rámci expertní podpory budou prováděny tyto činnosti:</w:t>
      </w:r>
    </w:p>
    <w:p w14:paraId="48DADC97" w14:textId="77777777" w:rsidR="007B673C" w:rsidRDefault="008B1672">
      <w:pPr>
        <w:numPr>
          <w:ilvl w:val="0"/>
          <w:numId w:val="7"/>
        </w:numPr>
        <w:ind w:hanging="360"/>
      </w:pPr>
      <w:r>
        <w:t>přebírání a řešení incidentů, diagnostika problémů,</w:t>
      </w:r>
    </w:p>
    <w:p w14:paraId="0F4D6FD7" w14:textId="77777777" w:rsidR="007B673C" w:rsidRDefault="008B1672">
      <w:pPr>
        <w:numPr>
          <w:ilvl w:val="0"/>
          <w:numId w:val="7"/>
        </w:numPr>
        <w:ind w:hanging="360"/>
      </w:pPr>
      <w:r>
        <w:t>tvorba workaroundů,</w:t>
      </w:r>
    </w:p>
    <w:p w14:paraId="28C83C8F" w14:textId="77777777" w:rsidR="007B673C" w:rsidRDefault="008B1672">
      <w:pPr>
        <w:numPr>
          <w:ilvl w:val="0"/>
          <w:numId w:val="7"/>
        </w:numPr>
        <w:ind w:hanging="360"/>
      </w:pPr>
      <w:r>
        <w:t>řešení incidentů / problémů pomocí konfigurace systému a aplikace, nasazení předchozí verze, požadavků na poskytovatele infrastruktury a další zúčastněné strany.</w:t>
      </w:r>
    </w:p>
    <w:p w14:paraId="24C80F4B" w14:textId="77777777" w:rsidR="007B673C" w:rsidRDefault="008B1672">
      <w:pPr>
        <w:numPr>
          <w:ilvl w:val="0"/>
          <w:numId w:val="7"/>
        </w:numPr>
        <w:ind w:hanging="360"/>
      </w:pPr>
      <w:r>
        <w:t>odborná úprava dat v databázích či jiném úložišti s účelem zajištění její správnosti a konzistence,</w:t>
      </w:r>
    </w:p>
    <w:p w14:paraId="29FF85D1" w14:textId="77777777" w:rsidR="007B673C" w:rsidRDefault="008B1672">
      <w:pPr>
        <w:numPr>
          <w:ilvl w:val="0"/>
          <w:numId w:val="7"/>
        </w:numPr>
        <w:ind w:hanging="360"/>
      </w:pPr>
      <w:r>
        <w:t>analýza logu a tvorba doporučení ohledně detekovaného nestandardního chování,</w:t>
      </w:r>
    </w:p>
    <w:p w14:paraId="4ABD6709" w14:textId="77777777" w:rsidR="007B673C" w:rsidRDefault="008B1672">
      <w:pPr>
        <w:numPr>
          <w:ilvl w:val="0"/>
          <w:numId w:val="7"/>
        </w:numPr>
        <w:ind w:hanging="360"/>
      </w:pPr>
      <w:r>
        <w:t>analýza problému a doporučení změnových požadavků a požadavků na navýšení kapacity</w:t>
      </w:r>
      <w:r w:rsidR="00EE5B73">
        <w:t>.</w:t>
      </w:r>
    </w:p>
    <w:p w14:paraId="5F26A261" w14:textId="77777777" w:rsidR="007B673C" w:rsidRDefault="008B1672">
      <w:pPr>
        <w:pStyle w:val="Nadpis2"/>
        <w:contextualSpacing w:val="0"/>
      </w:pPr>
      <w:bookmarkStart w:id="39" w:name="h.i8ta687ttrb7" w:colFirst="0" w:colLast="0"/>
      <w:bookmarkEnd w:id="39"/>
      <w:r>
        <w:lastRenderedPageBreak/>
        <w:t>Úlohy mimo kompetenci služby SUP3 – Expertní podpora</w:t>
      </w:r>
    </w:p>
    <w:p w14:paraId="68304278" w14:textId="77777777" w:rsidR="007B673C" w:rsidRDefault="008B1672">
      <w:pPr>
        <w:contextualSpacing w:val="0"/>
      </w:pPr>
      <w:r>
        <w:t>Kompetence expertní podpory nezahrnují:</w:t>
      </w:r>
    </w:p>
    <w:p w14:paraId="1E72F0A1" w14:textId="77777777" w:rsidR="007B673C" w:rsidRDefault="008B1672">
      <w:pPr>
        <w:numPr>
          <w:ilvl w:val="0"/>
          <w:numId w:val="17"/>
        </w:numPr>
        <w:ind w:hanging="360"/>
      </w:pPr>
      <w:r>
        <w:t xml:space="preserve">Modifikace zdrojových kódů </w:t>
      </w:r>
      <w:r w:rsidR="00EE5B73">
        <w:t xml:space="preserve">směřující ke zhodnocení řešení </w:t>
      </w:r>
      <w:r>
        <w:t>kromě situací, kdy lze modifikaci považovat za konfiguraci.</w:t>
      </w:r>
    </w:p>
    <w:p w14:paraId="43C89B97" w14:textId="53CFAFAB" w:rsidR="007B673C" w:rsidRDefault="008B1672">
      <w:pPr>
        <w:pStyle w:val="Nadpis2"/>
        <w:contextualSpacing w:val="0"/>
      </w:pPr>
      <w:bookmarkStart w:id="40" w:name="h.i2n9y5c6effq" w:colFirst="0" w:colLast="0"/>
      <w:bookmarkEnd w:id="40"/>
      <w:r>
        <w:t>Okna pro plánované odstávky</w:t>
      </w:r>
    </w:p>
    <w:p w14:paraId="0205CA99" w14:textId="77777777" w:rsidR="007B673C" w:rsidRDefault="008B1672">
      <w:pPr>
        <w:contextualSpacing w:val="0"/>
      </w:pPr>
      <w:r>
        <w:t xml:space="preserve">Pokud údržba nebo řešení incidentu kategorie B nebo nižší vyžadují odstávku systému, </w:t>
      </w:r>
      <w:r w:rsidR="00647A76">
        <w:t xml:space="preserve">bude dohodnuta s </w:t>
      </w:r>
      <w:r>
        <w:t xml:space="preserve">2. </w:t>
      </w:r>
      <w:r w:rsidR="00647A76">
        <w:t>ú</w:t>
      </w:r>
      <w:r>
        <w:t>rovn</w:t>
      </w:r>
      <w:r w:rsidR="00647A76">
        <w:t xml:space="preserve">í </w:t>
      </w:r>
      <w:r>
        <w:t>helpdesku.</w:t>
      </w:r>
    </w:p>
    <w:p w14:paraId="333A01C9" w14:textId="77777777" w:rsidR="007B673C" w:rsidRDefault="008B1672">
      <w:pPr>
        <w:pStyle w:val="Nadpis2"/>
        <w:contextualSpacing w:val="0"/>
      </w:pPr>
      <w:bookmarkStart w:id="41" w:name="h.usfj17xo380y" w:colFirst="0" w:colLast="0"/>
      <w:bookmarkEnd w:id="41"/>
      <w:r>
        <w:t>Provozní deník</w:t>
      </w:r>
    </w:p>
    <w:p w14:paraId="53634A52" w14:textId="77777777" w:rsidR="007B673C" w:rsidRDefault="008B1672">
      <w:pPr>
        <w:contextualSpacing w:val="0"/>
      </w:pPr>
      <w:r>
        <w:t>Profylaxe, změny konfigurace apod. budou zapisovány do helpdeskové aplikaci v kategorii “Service Action”.</w:t>
      </w:r>
      <w:r>
        <w:rPr>
          <w:b/>
          <w:sz w:val="28"/>
          <w:szCs w:val="28"/>
          <w:vertAlign w:val="superscript"/>
        </w:rPr>
        <w:footnoteReference w:id="1"/>
      </w:r>
    </w:p>
    <w:p w14:paraId="23271584" w14:textId="77777777" w:rsidR="007B673C" w:rsidRDefault="008B1672" w:rsidP="00970CCF">
      <w:pPr>
        <w:pStyle w:val="Nadpis1"/>
        <w:numPr>
          <w:ilvl w:val="0"/>
          <w:numId w:val="0"/>
        </w:numPr>
        <w:ind w:left="432" w:hanging="432"/>
        <w:contextualSpacing w:val="0"/>
      </w:pPr>
      <w:bookmarkStart w:id="42" w:name="h.lk2odda6urxn" w:colFirst="0" w:colLast="0"/>
      <w:bookmarkEnd w:id="42"/>
      <w:r>
        <w:t xml:space="preserve">Příloha </w:t>
      </w:r>
      <w:r w:rsidR="005E46CC">
        <w:t>3</w:t>
      </w:r>
      <w:r>
        <w:t>: Komunikační schéma</w:t>
      </w:r>
    </w:p>
    <w:p w14:paraId="2D7127BF" w14:textId="77777777" w:rsidR="007B673C" w:rsidRDefault="008B1672">
      <w:pPr>
        <w:pStyle w:val="Nadpis2"/>
        <w:contextualSpacing w:val="0"/>
      </w:pPr>
      <w:bookmarkStart w:id="43" w:name="h.ine15x44wo0g" w:colFirst="0" w:colLast="0"/>
      <w:bookmarkEnd w:id="43"/>
      <w:r>
        <w:t>Strany podílející se na provozu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1665"/>
        <w:gridCol w:w="3795"/>
        <w:gridCol w:w="1545"/>
      </w:tblGrid>
      <w:tr w:rsidR="007B673C" w14:paraId="1A88C419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085E" w14:textId="77777777" w:rsidR="007B673C" w:rsidRDefault="008B1672">
            <w:pPr>
              <w:spacing w:line="240" w:lineRule="auto"/>
              <w:contextualSpacing w:val="0"/>
            </w:pPr>
            <w:r>
              <w:rPr>
                <w:b/>
              </w:rPr>
              <w:t>Úloha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CF4C" w14:textId="77777777" w:rsidR="007B673C" w:rsidRDefault="008B1672">
            <w:pPr>
              <w:spacing w:line="240" w:lineRule="auto"/>
              <w:contextualSpacing w:val="0"/>
            </w:pPr>
            <w:r>
              <w:rPr>
                <w:b/>
              </w:rPr>
              <w:t>Osoba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6595" w14:textId="77777777" w:rsidR="007B673C" w:rsidRDefault="008B1672">
            <w:pPr>
              <w:spacing w:line="240" w:lineRule="auto"/>
              <w:contextualSpacing w:val="0"/>
            </w:pPr>
            <w:r>
              <w:rPr>
                <w:b/>
              </w:rPr>
              <w:t>E-mail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F033" w14:textId="77777777" w:rsidR="007B673C" w:rsidRDefault="008B1672">
            <w:pPr>
              <w:spacing w:line="240" w:lineRule="auto"/>
              <w:contextualSpacing w:val="0"/>
            </w:pPr>
            <w:r>
              <w:rPr>
                <w:b/>
              </w:rPr>
              <w:t>Telefon</w:t>
            </w:r>
          </w:p>
        </w:tc>
      </w:tr>
      <w:tr w:rsidR="007B673C" w14:paraId="3A51EC36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B865" w14:textId="77777777" w:rsidR="007B673C" w:rsidRPr="008D218A" w:rsidRDefault="008B1672" w:rsidP="008A58DB">
            <w:pPr>
              <w:spacing w:line="240" w:lineRule="auto"/>
              <w:contextualSpacing w:val="0"/>
            </w:pPr>
            <w:r w:rsidRPr="002B5940">
              <w:t xml:space="preserve">Eskalační úroveň </w:t>
            </w:r>
            <w:r w:rsidR="008A58DB" w:rsidRPr="002B5940">
              <w:t>ČDIS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AED7" w14:textId="1649D670" w:rsidR="007B673C" w:rsidRPr="008D218A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5820" w14:textId="20231AF5" w:rsidR="007B673C" w:rsidRPr="008D218A" w:rsidRDefault="00EF0576" w:rsidP="00EE5B73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C4BB" w14:textId="1E35F796" w:rsidR="007B673C" w:rsidRDefault="00EF0576">
            <w:pPr>
              <w:spacing w:line="240" w:lineRule="auto"/>
              <w:contextualSpacing w:val="0"/>
            </w:pPr>
            <w:r>
              <w:t> XXX</w:t>
            </w:r>
          </w:p>
        </w:tc>
      </w:tr>
      <w:tr w:rsidR="007B673C" w14:paraId="73CE1699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A8E2" w14:textId="77777777" w:rsidR="007B673C" w:rsidRPr="008D218A" w:rsidRDefault="008B1672">
            <w:pPr>
              <w:spacing w:line="240" w:lineRule="auto"/>
              <w:contextualSpacing w:val="0"/>
            </w:pPr>
            <w:r w:rsidRPr="008D218A">
              <w:t>Helpdesk 2. úrovně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DB10" w14:textId="17680AD7" w:rsidR="007B673C" w:rsidRPr="008D218A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E37B" w14:textId="5BC06E26" w:rsidR="007B673C" w:rsidRPr="008D218A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CA64" w14:textId="607F9536" w:rsidR="007B673C" w:rsidRDefault="00EF0576">
            <w:pPr>
              <w:spacing w:line="240" w:lineRule="auto"/>
              <w:contextualSpacing w:val="0"/>
            </w:pPr>
            <w:r>
              <w:t> XXX</w:t>
            </w:r>
          </w:p>
        </w:tc>
      </w:tr>
      <w:tr w:rsidR="007B673C" w14:paraId="619AF12E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D53C" w14:textId="77777777" w:rsidR="007B673C" w:rsidRPr="008D218A" w:rsidRDefault="008B1672">
            <w:pPr>
              <w:spacing w:line="240" w:lineRule="auto"/>
              <w:contextualSpacing w:val="0"/>
            </w:pPr>
            <w:r w:rsidRPr="008D218A">
              <w:t>Helpdesk 2. úrovně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2DB2" w14:textId="198C3407" w:rsidR="007B673C" w:rsidRPr="008D218A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E9C5" w14:textId="6AF17F75" w:rsidR="007B673C" w:rsidRPr="008D218A" w:rsidRDefault="00EF0576" w:rsidP="00BA6158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F7D1" w14:textId="7D4E38D9" w:rsidR="007B673C" w:rsidRDefault="00EF0576">
            <w:pPr>
              <w:spacing w:line="240" w:lineRule="auto"/>
              <w:contextualSpacing w:val="0"/>
            </w:pPr>
            <w:r>
              <w:t> XXX</w:t>
            </w:r>
          </w:p>
        </w:tc>
      </w:tr>
      <w:tr w:rsidR="007B673C" w14:paraId="67F9DC9A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4CE7" w14:textId="77777777" w:rsidR="007B673C" w:rsidRPr="008D218A" w:rsidRDefault="008B1672">
            <w:pPr>
              <w:spacing w:line="240" w:lineRule="auto"/>
              <w:contextualSpacing w:val="0"/>
            </w:pPr>
            <w:r w:rsidRPr="008D218A">
              <w:t>Helpdesk 3. úrovně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EF91" w14:textId="3CE7D0F9" w:rsidR="007B673C" w:rsidRPr="008D218A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699C" w14:textId="127F258C" w:rsidR="007B673C" w:rsidRPr="008D218A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8101" w14:textId="69575A87" w:rsidR="007B673C" w:rsidRDefault="00EF0576">
            <w:pPr>
              <w:spacing w:line="240" w:lineRule="auto"/>
              <w:contextualSpacing w:val="0"/>
            </w:pPr>
            <w:r>
              <w:t> XXX</w:t>
            </w:r>
          </w:p>
        </w:tc>
      </w:tr>
      <w:tr w:rsidR="007B673C" w14:paraId="568C40C9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E698" w14:textId="77777777" w:rsidR="007B673C" w:rsidRDefault="008B1672">
            <w:pPr>
              <w:spacing w:line="240" w:lineRule="auto"/>
              <w:contextualSpacing w:val="0"/>
            </w:pPr>
            <w:r>
              <w:t>Helpdesk 3. úrovně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4F95" w14:textId="5738CA07" w:rsidR="007B673C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AC12" w14:textId="38AB5858" w:rsidR="007B673C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F711" w14:textId="68D1049B" w:rsidR="007B673C" w:rsidRDefault="00EF0576">
            <w:pPr>
              <w:spacing w:line="240" w:lineRule="auto"/>
              <w:contextualSpacing w:val="0"/>
            </w:pPr>
            <w:r>
              <w:t> XXX</w:t>
            </w:r>
          </w:p>
        </w:tc>
      </w:tr>
      <w:tr w:rsidR="007B673C" w14:paraId="4A0D1D68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315D" w14:textId="77777777" w:rsidR="007B673C" w:rsidRDefault="008B1672">
            <w:pPr>
              <w:spacing w:line="240" w:lineRule="auto"/>
              <w:contextualSpacing w:val="0"/>
            </w:pPr>
            <w:r>
              <w:t>Helpdesk 3. úrovně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AE87" w14:textId="35AA8C58" w:rsidR="007B673C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408B" w14:textId="6AD6E43B" w:rsidR="007B673C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E39F" w14:textId="7BFFBD95" w:rsidR="007B673C" w:rsidRDefault="00EF0576">
            <w:pPr>
              <w:spacing w:line="240" w:lineRule="auto"/>
              <w:contextualSpacing w:val="0"/>
            </w:pPr>
            <w:r>
              <w:t> XXX</w:t>
            </w:r>
          </w:p>
        </w:tc>
      </w:tr>
      <w:tr w:rsidR="007B673C" w14:paraId="55014272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E0608" w14:textId="77777777" w:rsidR="007B673C" w:rsidRDefault="008B1672">
            <w:pPr>
              <w:spacing w:line="240" w:lineRule="auto"/>
              <w:contextualSpacing w:val="0"/>
            </w:pPr>
            <w:r>
              <w:t>Helpdesk 3. úrovně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4649" w14:textId="6287B9F4" w:rsidR="007B673C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2F38" w14:textId="0BF5A374" w:rsidR="007B673C" w:rsidRDefault="00EF0576">
            <w:pPr>
              <w:spacing w:line="240" w:lineRule="auto"/>
              <w:contextualSpacing w:val="0"/>
            </w:pPr>
            <w:r>
              <w:t>XXX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42DF" w14:textId="42965372" w:rsidR="007B673C" w:rsidRDefault="00EF0576">
            <w:pPr>
              <w:spacing w:line="240" w:lineRule="auto"/>
              <w:contextualSpacing w:val="0"/>
            </w:pPr>
            <w:r>
              <w:t> XXX</w:t>
            </w:r>
          </w:p>
        </w:tc>
      </w:tr>
    </w:tbl>
    <w:p w14:paraId="2C5EFCA9" w14:textId="77777777" w:rsidR="007B673C" w:rsidRDefault="007B673C">
      <w:pPr>
        <w:contextualSpacing w:val="0"/>
      </w:pPr>
    </w:p>
    <w:p w14:paraId="530FB2CA" w14:textId="77777777" w:rsidR="007B673C" w:rsidRDefault="008B1672">
      <w:pPr>
        <w:pStyle w:val="Nadpis2"/>
        <w:contextualSpacing w:val="0"/>
      </w:pPr>
      <w:bookmarkStart w:id="44" w:name="h.wv5yf6xvwrkq" w:colFirst="0" w:colLast="0"/>
      <w:bookmarkEnd w:id="44"/>
      <w:r>
        <w:lastRenderedPageBreak/>
        <w:t>Komunikační kanály</w:t>
      </w:r>
    </w:p>
    <w:p w14:paraId="1C4ACF98" w14:textId="77777777" w:rsidR="007B673C" w:rsidRDefault="008B1672">
      <w:pPr>
        <w:pStyle w:val="Nadpis3"/>
        <w:contextualSpacing w:val="0"/>
      </w:pPr>
      <w:bookmarkStart w:id="45" w:name="h.67xb6rulp0dx" w:colFirst="0" w:colLast="0"/>
      <w:bookmarkEnd w:id="45"/>
      <w:r>
        <w:t>Helpdesková aplikace</w:t>
      </w:r>
    </w:p>
    <w:p w14:paraId="7D0AB662" w14:textId="77777777" w:rsidR="007B673C" w:rsidRDefault="008B1672">
      <w:pPr>
        <w:contextualSpacing w:val="0"/>
      </w:pPr>
      <w:r>
        <w:rPr>
          <w:vertAlign w:val="superscript"/>
        </w:rPr>
        <w:footnoteReference w:id="2"/>
      </w:r>
      <w:r>
        <w:t>Helpdesková aplikace je preferovaný způsob komunikace a veškerá komunikace mimo ni do ní musí být opsána.)</w:t>
      </w:r>
    </w:p>
    <w:p w14:paraId="1F03C856" w14:textId="1C0C046C" w:rsidR="007B673C" w:rsidRDefault="008B1672">
      <w:pPr>
        <w:contextualSpacing w:val="0"/>
      </w:pPr>
      <w:r>
        <w:t xml:space="preserve">Helpdesková aplikace je dostupná online na URL: </w:t>
      </w:r>
      <w:r w:rsidR="00EF0576">
        <w:rPr>
          <w:color w:val="1155CC"/>
          <w:u w:val="single"/>
        </w:rPr>
        <w:t>XXX</w:t>
      </w:r>
    </w:p>
    <w:p w14:paraId="6F295319" w14:textId="77777777" w:rsidR="007B673C" w:rsidRDefault="007B673C">
      <w:pPr>
        <w:contextualSpacing w:val="0"/>
      </w:pPr>
    </w:p>
    <w:p w14:paraId="1F65C757" w14:textId="77777777" w:rsidR="007B673C" w:rsidRDefault="008B1672">
      <w:pPr>
        <w:contextualSpacing w:val="0"/>
      </w:pPr>
      <w:r>
        <w:t>Význam polí je následující:</w:t>
      </w:r>
    </w:p>
    <w:tbl>
      <w:tblPr>
        <w:tblStyle w:val="a2"/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B673C" w14:paraId="5CE9DC4E" w14:textId="77777777"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D25C1" w14:textId="77777777" w:rsidR="007B673C" w:rsidRDefault="008B1672">
            <w:pPr>
              <w:ind w:left="60"/>
              <w:contextualSpacing w:val="0"/>
            </w:pPr>
            <w:r>
              <w:rPr>
                <w:b/>
              </w:rPr>
              <w:t>Položka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E2C17" w14:textId="77777777" w:rsidR="007B673C" w:rsidRDefault="008B1672">
            <w:pPr>
              <w:ind w:left="60"/>
              <w:contextualSpacing w:val="0"/>
            </w:pPr>
            <w:r>
              <w:rPr>
                <w:b/>
              </w:rPr>
              <w:t>Význam pro provoz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E3310" w14:textId="77777777" w:rsidR="007B673C" w:rsidRDefault="008B1672">
            <w:pPr>
              <w:ind w:left="60"/>
              <w:contextualSpacing w:val="0"/>
            </w:pPr>
            <w:r>
              <w:rPr>
                <w:b/>
              </w:rPr>
              <w:t>Možné hodnoty / Poznámky</w:t>
            </w:r>
          </w:p>
        </w:tc>
      </w:tr>
      <w:tr w:rsidR="007B673C" w14:paraId="379F0993" w14:textId="77777777"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580F8" w14:textId="77777777" w:rsidR="007B673C" w:rsidRDefault="008B1672">
            <w:pPr>
              <w:ind w:left="60"/>
              <w:contextualSpacing w:val="0"/>
              <w:jc w:val="both"/>
            </w:pPr>
            <w:r>
              <w:t>Tracker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15B65" w14:textId="77777777" w:rsidR="007B673C" w:rsidRDefault="008B1672">
            <w:pPr>
              <w:ind w:left="60"/>
              <w:contextualSpacing w:val="0"/>
            </w:pPr>
            <w:r>
              <w:t>Typ záznamu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C1F77" w14:textId="77777777" w:rsidR="007B673C" w:rsidRDefault="008B1672">
            <w:pPr>
              <w:ind w:left="60"/>
              <w:contextualSpacing w:val="0"/>
            </w:pPr>
            <w:r>
              <w:t>Support: incident</w:t>
            </w:r>
          </w:p>
          <w:p w14:paraId="560FCFAD" w14:textId="77777777" w:rsidR="007B673C" w:rsidRDefault="008B1672">
            <w:pPr>
              <w:ind w:left="60"/>
              <w:contextualSpacing w:val="0"/>
            </w:pPr>
            <w:r>
              <w:t>Service Action: provozní deník</w:t>
            </w:r>
          </w:p>
        </w:tc>
      </w:tr>
      <w:tr w:rsidR="007B673C" w14:paraId="0AC93190" w14:textId="77777777"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F0B31" w14:textId="77777777" w:rsidR="007B673C" w:rsidRPr="002B5940" w:rsidRDefault="008B1672">
            <w:pPr>
              <w:ind w:left="60"/>
              <w:contextualSpacing w:val="0"/>
              <w:jc w:val="both"/>
            </w:pPr>
            <w:r w:rsidRPr="002B5940">
              <w:t>Category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D38E1" w14:textId="77777777" w:rsidR="007B673C" w:rsidRPr="002B5940" w:rsidRDefault="008B1672">
            <w:pPr>
              <w:ind w:left="60"/>
              <w:contextualSpacing w:val="0"/>
            </w:pPr>
            <w:r w:rsidRPr="002B5940">
              <w:t>Komponenta supportu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C0719" w14:textId="77777777" w:rsidR="007B673C" w:rsidRPr="002B5940" w:rsidRDefault="008B1672">
            <w:pPr>
              <w:ind w:left="60"/>
              <w:contextualSpacing w:val="0"/>
              <w:jc w:val="both"/>
            </w:pPr>
            <w:r w:rsidRPr="002B5940">
              <w:t>Pomocné členění incidentů.</w:t>
            </w:r>
          </w:p>
        </w:tc>
      </w:tr>
      <w:tr w:rsidR="007B673C" w14:paraId="25D7B387" w14:textId="77777777"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F0EDE" w14:textId="77777777" w:rsidR="007B673C" w:rsidRPr="0064450D" w:rsidRDefault="008B1672">
            <w:pPr>
              <w:ind w:left="60"/>
              <w:contextualSpacing w:val="0"/>
              <w:jc w:val="both"/>
            </w:pPr>
            <w:r w:rsidRPr="0076230A">
              <w:t>Assignee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A4546" w14:textId="77777777" w:rsidR="007B673C" w:rsidRPr="0076230A" w:rsidRDefault="008B1672">
            <w:pPr>
              <w:ind w:left="60"/>
              <w:contextualSpacing w:val="0"/>
            </w:pPr>
            <w:r w:rsidRPr="0076230A">
              <w:t>Řešitel – osoba nebo skupina aktuálně řešící incident.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0541D" w14:textId="77777777" w:rsidR="007B673C" w:rsidRPr="0076230A" w:rsidRDefault="008B1672" w:rsidP="001F5FA0">
            <w:pPr>
              <w:ind w:left="60"/>
              <w:contextualSpacing w:val="0"/>
            </w:pPr>
            <w:r w:rsidRPr="0076230A">
              <w:t>Je-li incident zadán 2. úrovní helpdesku, řešitel by měl být nastaven na “</w:t>
            </w:r>
            <w:r w:rsidR="00BA6158" w:rsidRPr="002B5940">
              <w:rPr>
                <w:sz w:val="16"/>
                <w:szCs w:val="16"/>
              </w:rPr>
              <w:t xml:space="preserve">CDIS </w:t>
            </w:r>
            <w:r w:rsidRPr="002B5940">
              <w:rPr>
                <w:sz w:val="16"/>
                <w:szCs w:val="16"/>
              </w:rPr>
              <w:t>Support - Orchitech (3rd level)</w:t>
            </w:r>
            <w:r w:rsidRPr="002B5940">
              <w:t>”.</w:t>
            </w:r>
            <w:r w:rsidRPr="0076230A">
              <w:t xml:space="preserve"> Je-li vyžadována součinnost pracovníka 2. úrovně helpdesku, řešitel je nastaven buď na příslušného pracovníka objednatele</w:t>
            </w:r>
            <w:r w:rsidR="0097670A" w:rsidRPr="0076230A">
              <w:t>.</w:t>
            </w:r>
            <w:r w:rsidRPr="0076230A">
              <w:t xml:space="preserve"> </w:t>
            </w:r>
          </w:p>
        </w:tc>
      </w:tr>
      <w:tr w:rsidR="007B673C" w14:paraId="4FF0DB0D" w14:textId="77777777"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0F1776" w14:textId="77777777" w:rsidR="007B673C" w:rsidRDefault="008B1672">
            <w:pPr>
              <w:ind w:left="60"/>
              <w:contextualSpacing w:val="0"/>
              <w:jc w:val="both"/>
            </w:pPr>
            <w:r>
              <w:t>Subject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03E667" w14:textId="77777777" w:rsidR="007B673C" w:rsidRDefault="008B1672">
            <w:pPr>
              <w:ind w:left="60"/>
              <w:contextualSpacing w:val="0"/>
            </w:pPr>
            <w:r>
              <w:t>Název incidentu / servisního zásahu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AAE3C4" w14:textId="77777777" w:rsidR="007B673C" w:rsidRDefault="008B1672">
            <w:pPr>
              <w:ind w:left="60"/>
              <w:contextualSpacing w:val="0"/>
              <w:jc w:val="both"/>
            </w:pPr>
            <w:r>
              <w:t xml:space="preserve"> </w:t>
            </w:r>
          </w:p>
        </w:tc>
      </w:tr>
      <w:tr w:rsidR="007B673C" w14:paraId="2977AAB0" w14:textId="77777777"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105D82" w14:textId="77777777" w:rsidR="007B673C" w:rsidRDefault="008B1672">
            <w:pPr>
              <w:ind w:left="60"/>
              <w:contextualSpacing w:val="0"/>
              <w:jc w:val="both"/>
            </w:pPr>
            <w:r>
              <w:t>Description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E031A0" w14:textId="77777777" w:rsidR="007B673C" w:rsidRDefault="008B1672">
            <w:pPr>
              <w:ind w:left="60"/>
              <w:contextualSpacing w:val="0"/>
            </w:pPr>
            <w:r>
              <w:t>Popis incidentu / servisního zásahu</w:t>
            </w:r>
          </w:p>
        </w:tc>
        <w:tc>
          <w:tcPr>
            <w:tcW w:w="31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C8218" w14:textId="77777777" w:rsidR="007B673C" w:rsidRDefault="008B1672">
            <w:pPr>
              <w:ind w:left="60"/>
              <w:contextualSpacing w:val="0"/>
              <w:jc w:val="both"/>
            </w:pPr>
            <w:r>
              <w:t xml:space="preserve"> </w:t>
            </w:r>
          </w:p>
        </w:tc>
      </w:tr>
    </w:tbl>
    <w:p w14:paraId="6EDBDEDA" w14:textId="77777777" w:rsidR="007B673C" w:rsidRDefault="008B1672">
      <w:pPr>
        <w:contextualSpacing w:val="0"/>
      </w:pPr>
      <w:r>
        <w:t xml:space="preserve"> </w:t>
      </w:r>
    </w:p>
    <w:p w14:paraId="040144E3" w14:textId="77777777" w:rsidR="007B673C" w:rsidRDefault="008B1672">
      <w:pPr>
        <w:contextualSpacing w:val="0"/>
      </w:pPr>
      <w:r>
        <w:t>V rámci komunikace vedené v helpdeskové aplikaci je možné navrhovat a potvrzovat operativní rozhodnutí o provozu aplikace. Tato komunikace se archivuje a má závazný charakter.</w:t>
      </w:r>
    </w:p>
    <w:p w14:paraId="3FBC7D53" w14:textId="77777777" w:rsidR="007B673C" w:rsidRDefault="007B673C">
      <w:pPr>
        <w:contextualSpacing w:val="0"/>
      </w:pPr>
    </w:p>
    <w:p w14:paraId="3D20B038" w14:textId="77777777" w:rsidR="007B673C" w:rsidRDefault="008B1672">
      <w:pPr>
        <w:pStyle w:val="Nadpis3"/>
        <w:contextualSpacing w:val="0"/>
      </w:pPr>
      <w:bookmarkStart w:id="46" w:name="h.v5ob66pqizk8" w:colFirst="0" w:colLast="0"/>
      <w:bookmarkEnd w:id="46"/>
      <w:r>
        <w:t>E-mail</w:t>
      </w:r>
    </w:p>
    <w:p w14:paraId="2A1530BB" w14:textId="21C890EF" w:rsidR="007B673C" w:rsidRDefault="008B1672">
      <w:pPr>
        <w:contextualSpacing w:val="0"/>
      </w:pPr>
      <w:r>
        <w:t xml:space="preserve">E-mailová adresa </w:t>
      </w:r>
      <w:r w:rsidR="00A93771">
        <w:t>3</w:t>
      </w:r>
      <w:r>
        <w:t>. úrovně helpdesku je</w:t>
      </w:r>
      <w:r w:rsidRPr="002B5940">
        <w:t xml:space="preserve"> </w:t>
      </w:r>
      <w:r w:rsidR="00EF0576">
        <w:t>XXX</w:t>
      </w:r>
    </w:p>
    <w:p w14:paraId="09FB4E5A" w14:textId="77777777" w:rsidR="007B673C" w:rsidRDefault="008B1672">
      <w:pPr>
        <w:pStyle w:val="Nadpis3"/>
        <w:contextualSpacing w:val="0"/>
      </w:pPr>
      <w:bookmarkStart w:id="47" w:name="h.ovd3iv48wn6v" w:colFirst="0" w:colLast="0"/>
      <w:bookmarkEnd w:id="47"/>
      <w:r>
        <w:lastRenderedPageBreak/>
        <w:t>Telefon a instant messaging</w:t>
      </w:r>
    </w:p>
    <w:p w14:paraId="08F99310" w14:textId="77777777" w:rsidR="007B673C" w:rsidRDefault="008B1672">
      <w:pPr>
        <w:contextualSpacing w:val="0"/>
      </w:pPr>
      <w:r>
        <w:t>Seznam telefonních a IM kontaktů musí být znám smluvním stranám a tento seznam musí být při změnách aktualizován.</w:t>
      </w:r>
    </w:p>
    <w:p w14:paraId="698B8169" w14:textId="77777777" w:rsidR="007B673C" w:rsidRDefault="008B1672">
      <w:pPr>
        <w:pStyle w:val="Nadpis3"/>
        <w:contextualSpacing w:val="0"/>
      </w:pPr>
      <w:bookmarkStart w:id="48" w:name="h.66xduamh77ym" w:colFirst="0" w:colLast="0"/>
      <w:bookmarkEnd w:id="48"/>
      <w:r>
        <w:rPr>
          <w:color w:val="000000"/>
          <w:sz w:val="28"/>
          <w:szCs w:val="28"/>
        </w:rPr>
        <w:t>Řešení nedostupnosti komunikačního kanálu</w:t>
      </w:r>
    </w:p>
    <w:p w14:paraId="27F0869E" w14:textId="77777777" w:rsidR="007B673C" w:rsidRDefault="008B1672">
      <w:pPr>
        <w:contextualSpacing w:val="0"/>
      </w:pPr>
      <w:r>
        <w:t>Je-li nějaký komunikační kanál pro zadání incidentu nedostupný, ostatní komunikační kanály se použijí jako náhradní podle následujícího schématu.</w:t>
      </w:r>
    </w:p>
    <w:tbl>
      <w:tblPr>
        <w:tblStyle w:val="a3"/>
        <w:tblW w:w="936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820"/>
      </w:tblGrid>
      <w:tr w:rsidR="007B673C" w14:paraId="6D826FA5" w14:textId="77777777">
        <w:tc>
          <w:tcPr>
            <w:tcW w:w="35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91D56" w14:textId="77777777" w:rsidR="007B673C" w:rsidRDefault="008B1672">
            <w:pPr>
              <w:ind w:left="60"/>
              <w:contextualSpacing w:val="0"/>
            </w:pPr>
            <w:r>
              <w:rPr>
                <w:b/>
              </w:rPr>
              <w:t>Nedostupný kanál</w:t>
            </w:r>
          </w:p>
        </w:tc>
        <w:tc>
          <w:tcPr>
            <w:tcW w:w="58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974016" w14:textId="77777777" w:rsidR="007B673C" w:rsidRDefault="008B1672">
            <w:pPr>
              <w:ind w:left="60"/>
              <w:contextualSpacing w:val="0"/>
            </w:pPr>
            <w:r>
              <w:rPr>
                <w:b/>
              </w:rPr>
              <w:t>Náhradní kanál</w:t>
            </w:r>
          </w:p>
        </w:tc>
      </w:tr>
      <w:tr w:rsidR="007B673C" w14:paraId="73E68B31" w14:textId="77777777">
        <w:tc>
          <w:tcPr>
            <w:tcW w:w="35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01FD1C" w14:textId="77777777" w:rsidR="007B673C" w:rsidRDefault="008B1672">
            <w:pPr>
              <w:ind w:left="60"/>
              <w:contextualSpacing w:val="0"/>
              <w:jc w:val="both"/>
            </w:pPr>
            <w:r>
              <w:t>Redmine</w:t>
            </w:r>
          </w:p>
        </w:tc>
        <w:tc>
          <w:tcPr>
            <w:tcW w:w="58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7F1DE" w14:textId="77777777" w:rsidR="007B673C" w:rsidRDefault="008B1672">
            <w:pPr>
              <w:ind w:left="60"/>
              <w:contextualSpacing w:val="0"/>
              <w:jc w:val="both"/>
            </w:pPr>
            <w:r>
              <w:t>Vždy telefon / IM, e-mail – pokud je dostupný.</w:t>
            </w:r>
          </w:p>
        </w:tc>
      </w:tr>
      <w:tr w:rsidR="007B673C" w14:paraId="76371598" w14:textId="77777777">
        <w:tc>
          <w:tcPr>
            <w:tcW w:w="35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6C3D2" w14:textId="77777777" w:rsidR="007B673C" w:rsidRDefault="008B1672">
            <w:pPr>
              <w:ind w:left="60"/>
              <w:contextualSpacing w:val="0"/>
              <w:jc w:val="both"/>
            </w:pPr>
            <w:r>
              <w:t>E-mail</w:t>
            </w:r>
          </w:p>
        </w:tc>
        <w:tc>
          <w:tcPr>
            <w:tcW w:w="58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33437" w14:textId="77777777" w:rsidR="007B673C" w:rsidRDefault="008B1672">
            <w:pPr>
              <w:ind w:left="60"/>
              <w:contextualSpacing w:val="0"/>
              <w:jc w:val="both"/>
            </w:pPr>
            <w:r>
              <w:t>Vždy telefon / IM, Redmine – pokud je dostupný.</w:t>
            </w:r>
          </w:p>
        </w:tc>
      </w:tr>
      <w:tr w:rsidR="007B673C" w14:paraId="6EA3BC31" w14:textId="77777777">
        <w:tc>
          <w:tcPr>
            <w:tcW w:w="35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444C79" w14:textId="77777777" w:rsidR="007B673C" w:rsidRDefault="008B1672">
            <w:pPr>
              <w:ind w:left="60"/>
              <w:contextualSpacing w:val="0"/>
              <w:jc w:val="both"/>
            </w:pPr>
            <w:r>
              <w:t>Telefon</w:t>
            </w:r>
          </w:p>
        </w:tc>
        <w:tc>
          <w:tcPr>
            <w:tcW w:w="582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6994B" w14:textId="77777777" w:rsidR="007B673C" w:rsidRDefault="008B1672">
            <w:pPr>
              <w:ind w:left="60"/>
              <w:contextualSpacing w:val="0"/>
              <w:jc w:val="both"/>
            </w:pPr>
            <w:r>
              <w:t>Redmine nebo e-mail, SMS kterémukoliv zaměstnanci poskytovatele.</w:t>
            </w:r>
          </w:p>
        </w:tc>
      </w:tr>
    </w:tbl>
    <w:p w14:paraId="1A779DDD" w14:textId="77777777" w:rsidR="007B673C" w:rsidRDefault="008B1672">
      <w:pPr>
        <w:pStyle w:val="Nadpis2"/>
        <w:contextualSpacing w:val="0"/>
      </w:pPr>
      <w:bookmarkStart w:id="49" w:name="h.tpt95jvny4fg" w:colFirst="0" w:colLast="0"/>
      <w:bookmarkEnd w:id="49"/>
      <w:r>
        <w:t>Procedura eskalace</w:t>
      </w:r>
    </w:p>
    <w:p w14:paraId="79EFD6B6" w14:textId="77777777" w:rsidR="007B673C" w:rsidRDefault="008B1672">
      <w:pPr>
        <w:contextualSpacing w:val="0"/>
      </w:pPr>
      <w:r>
        <w:t>Řešení incidentů může záviset na součinnosti 2. úrovně helpdesku nebo třetí strany.</w:t>
      </w:r>
    </w:p>
    <w:p w14:paraId="010D0380" w14:textId="77777777" w:rsidR="007B673C" w:rsidRDefault="008B1672">
      <w:pPr>
        <w:numPr>
          <w:ilvl w:val="0"/>
          <w:numId w:val="16"/>
        </w:numPr>
        <w:ind w:hanging="360"/>
      </w:pPr>
      <w:r>
        <w:t>Pokud popsané chování nemůže být reprodukováno na základě dodaného popisu nebo identifikováno z logů a 2. úroveň helpdesku není schopna včas poskytnout podrobnosti, kategorie incidentu může být poskytovatelem snížena. Pokud nejsou dodány potřebné podrobnosti po dobu jednoho týdne nebo déle, incident může být uzavřen bez vyřešení.</w:t>
      </w:r>
    </w:p>
    <w:p w14:paraId="6B4BF0E2" w14:textId="77777777" w:rsidR="007B673C" w:rsidRDefault="008B1672">
      <w:pPr>
        <w:numPr>
          <w:ilvl w:val="0"/>
          <w:numId w:val="16"/>
        </w:numPr>
        <w:ind w:hanging="360"/>
      </w:pPr>
      <w:r>
        <w:t>Pokud incident závisí na třetí straně a ta v přiměřené lhůtě nereaguje, je incident eskalován 2. úrovni helpdesku.</w:t>
      </w:r>
    </w:p>
    <w:p w14:paraId="5B64EE76" w14:textId="77777777" w:rsidR="007B673C" w:rsidRDefault="008B1672" w:rsidP="00970CCF">
      <w:pPr>
        <w:numPr>
          <w:ilvl w:val="0"/>
          <w:numId w:val="16"/>
        </w:numPr>
        <w:ind w:hanging="360"/>
      </w:pPr>
      <w:r>
        <w:t>Pokud řešení incidentu závisí na 2. úrovni helpdesku a ta včas neposkytne potřebnou součinnost, pak</w:t>
      </w:r>
      <w:r w:rsidR="0097670A">
        <w:t xml:space="preserve"> se</w:t>
      </w:r>
      <w:r>
        <w:t xml:space="preserve"> nastaví příznak eskalováno.</w:t>
      </w:r>
    </w:p>
    <w:p w14:paraId="4A1CFA83" w14:textId="77777777" w:rsidR="007B673C" w:rsidRDefault="007B673C">
      <w:pPr>
        <w:contextualSpacing w:val="0"/>
      </w:pPr>
      <w:bookmarkStart w:id="50" w:name="h.vdiqrlvy5q6a" w:colFirst="0" w:colLast="0"/>
      <w:bookmarkEnd w:id="50"/>
    </w:p>
    <w:sectPr w:rsidR="007B673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557CD" w14:textId="77777777" w:rsidR="00C74670" w:rsidRDefault="00C74670">
      <w:pPr>
        <w:spacing w:line="240" w:lineRule="auto"/>
      </w:pPr>
      <w:r>
        <w:separator/>
      </w:r>
    </w:p>
  </w:endnote>
  <w:endnote w:type="continuationSeparator" w:id="0">
    <w:p w14:paraId="3F660BB0" w14:textId="77777777" w:rsidR="00C74670" w:rsidRDefault="00C74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CBBC8" w14:textId="77777777" w:rsidR="00BA6158" w:rsidRDefault="00BA6158">
    <w:pPr>
      <w:contextualSpacing w:val="0"/>
    </w:pPr>
    <w:r>
      <w:fldChar w:fldCharType="begin"/>
    </w:r>
    <w:r>
      <w:instrText>PAGE</w:instrText>
    </w:r>
    <w:r>
      <w:fldChar w:fldCharType="separate"/>
    </w:r>
    <w:r w:rsidR="007A25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25C13" w14:textId="77777777" w:rsidR="00C74670" w:rsidRDefault="00C74670">
      <w:pPr>
        <w:spacing w:line="240" w:lineRule="auto"/>
      </w:pPr>
      <w:r>
        <w:separator/>
      </w:r>
    </w:p>
  </w:footnote>
  <w:footnote w:type="continuationSeparator" w:id="0">
    <w:p w14:paraId="5D7BE0BF" w14:textId="77777777" w:rsidR="00C74670" w:rsidRDefault="00C74670">
      <w:pPr>
        <w:spacing w:line="240" w:lineRule="auto"/>
      </w:pPr>
      <w:r>
        <w:continuationSeparator/>
      </w:r>
    </w:p>
  </w:footnote>
  <w:footnote w:id="1">
    <w:p w14:paraId="3F990478" w14:textId="77777777" w:rsidR="00BA6158" w:rsidRDefault="00BA6158">
      <w:pPr>
        <w:spacing w:line="240" w:lineRule="auto"/>
        <w:contextualSpacing w:val="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Popř. dle zvyklostí Objednatele.</w:t>
      </w:r>
    </w:p>
  </w:footnote>
  <w:footnote w:id="2">
    <w:p w14:paraId="6C4D362C" w14:textId="77777777" w:rsidR="00BA6158" w:rsidRDefault="00BA6158">
      <w:pPr>
        <w:spacing w:line="240" w:lineRule="auto"/>
        <w:contextualSpacing w:val="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Lze dohodnout i použití aplikace objednatele.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CE97C" w14:textId="77777777" w:rsidR="00BA6158" w:rsidRDefault="00BA6158">
    <w:pPr>
      <w:tabs>
        <w:tab w:val="right" w:pos="9330"/>
      </w:tabs>
      <w:ind w:right="30"/>
      <w:contextualSpacing w:val="0"/>
    </w:pPr>
    <w:r>
      <w:tab/>
    </w:r>
  </w:p>
  <w:tbl>
    <w:tblPr>
      <w:tblStyle w:val="a4"/>
      <w:tblW w:w="9498" w:type="dxa"/>
      <w:tblInd w:w="0" w:type="dxa"/>
      <w:tblLayout w:type="fixed"/>
      <w:tblLook w:val="0600" w:firstRow="0" w:lastRow="0" w:firstColumn="0" w:lastColumn="0" w:noHBand="1" w:noVBand="1"/>
    </w:tblPr>
    <w:tblGrid>
      <w:gridCol w:w="2364"/>
      <w:gridCol w:w="7134"/>
    </w:tblGrid>
    <w:tr w:rsidR="00BA6158" w14:paraId="3F3DF20F" w14:textId="77777777" w:rsidTr="00647A92">
      <w:trPr>
        <w:trHeight w:val="1180"/>
      </w:trPr>
      <w:tc>
        <w:tcPr>
          <w:tcW w:w="2364" w:type="dxa"/>
          <w:tcMar>
            <w:left w:w="0" w:type="dxa"/>
            <w:right w:w="0" w:type="dxa"/>
          </w:tcMar>
        </w:tcPr>
        <w:p w14:paraId="6715FA8F" w14:textId="77777777" w:rsidR="00BA6158" w:rsidRDefault="00BA6158">
          <w:pPr>
            <w:tabs>
              <w:tab w:val="right" w:pos="9330"/>
            </w:tabs>
            <w:spacing w:line="240" w:lineRule="auto"/>
            <w:ind w:right="30"/>
            <w:contextualSpacing w:val="0"/>
          </w:pPr>
          <w:r>
            <w:rPr>
              <w:noProof/>
            </w:rPr>
            <w:drawing>
              <wp:inline distT="19050" distB="19050" distL="19050" distR="19050" wp14:anchorId="1FF86686" wp14:editId="1781D9D4">
                <wp:extent cx="1382802" cy="633413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802" cy="6334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4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13A28D9" w14:textId="77777777" w:rsidR="00BA6158" w:rsidRDefault="00BA6158">
          <w:pPr>
            <w:tabs>
              <w:tab w:val="right" w:pos="9330"/>
            </w:tabs>
            <w:spacing w:line="240" w:lineRule="auto"/>
            <w:ind w:right="30"/>
            <w:contextualSpacing w:val="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B8E67DD" wp14:editId="51337EEC">
                <wp:simplePos x="0" y="0"/>
                <wp:positionH relativeFrom="column">
                  <wp:posOffset>1569720</wp:posOffset>
                </wp:positionH>
                <wp:positionV relativeFrom="paragraph">
                  <wp:posOffset>109855</wp:posOffset>
                </wp:positionV>
                <wp:extent cx="3399155" cy="641350"/>
                <wp:effectExtent l="0" t="0" r="4445" b="0"/>
                <wp:wrapThrough wrapText="bothSides">
                  <wp:wrapPolygon edited="0">
                    <wp:start x="0" y="0"/>
                    <wp:lineTo x="0" y="20531"/>
                    <wp:lineTo x="21467" y="20531"/>
                    <wp:lineTo x="21467" y="0"/>
                    <wp:lineTo x="0" y="0"/>
                  </wp:wrapPolygon>
                </wp:wrapThrough>
                <wp:docPr id="3" name="Picture 3" descr="cd_informacni-systemy_clen_skupiny_cd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d_informacni-systemy_clen_skupiny_cd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9155" cy="641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7C1280" w14:textId="77777777" w:rsidR="00BA6158" w:rsidRDefault="00BA6158">
    <w:pPr>
      <w:tabs>
        <w:tab w:val="right" w:pos="9330"/>
      </w:tabs>
      <w:ind w:right="30"/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3EE"/>
    <w:multiLevelType w:val="multilevel"/>
    <w:tmpl w:val="BCB4F0C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096A583D"/>
    <w:multiLevelType w:val="multilevel"/>
    <w:tmpl w:val="C060AE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182572DA"/>
    <w:multiLevelType w:val="multilevel"/>
    <w:tmpl w:val="CE38F8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2A26BAE"/>
    <w:multiLevelType w:val="hybridMultilevel"/>
    <w:tmpl w:val="C436E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512C7"/>
    <w:multiLevelType w:val="multilevel"/>
    <w:tmpl w:val="3C2EFA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326D30B7"/>
    <w:multiLevelType w:val="multilevel"/>
    <w:tmpl w:val="3DCC30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34654119"/>
    <w:multiLevelType w:val="multilevel"/>
    <w:tmpl w:val="E4AA129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gal-Articl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5692EA3"/>
    <w:multiLevelType w:val="hybridMultilevel"/>
    <w:tmpl w:val="C0504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91E82"/>
    <w:multiLevelType w:val="multilevel"/>
    <w:tmpl w:val="CA6E5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3F224F32"/>
    <w:multiLevelType w:val="multilevel"/>
    <w:tmpl w:val="E654B9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0">
    <w:nsid w:val="446F2208"/>
    <w:multiLevelType w:val="multilevel"/>
    <w:tmpl w:val="83921D9E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vertAlign w:val="baseline"/>
      </w:rPr>
    </w:lvl>
  </w:abstractNum>
  <w:abstractNum w:abstractNumId="11">
    <w:nsid w:val="453C6401"/>
    <w:multiLevelType w:val="multilevel"/>
    <w:tmpl w:val="6A70AC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2">
    <w:nsid w:val="45E36008"/>
    <w:multiLevelType w:val="multilevel"/>
    <w:tmpl w:val="AC9EAF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793C34"/>
    <w:multiLevelType w:val="multilevel"/>
    <w:tmpl w:val="9B9654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4A84686D"/>
    <w:multiLevelType w:val="multilevel"/>
    <w:tmpl w:val="E9B8C0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5">
    <w:nsid w:val="56E01583"/>
    <w:multiLevelType w:val="hybridMultilevel"/>
    <w:tmpl w:val="A33A5EC0"/>
    <w:lvl w:ilvl="0" w:tplc="E42288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6E4315A"/>
    <w:multiLevelType w:val="multilevel"/>
    <w:tmpl w:val="135AAE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7">
    <w:nsid w:val="57D12A84"/>
    <w:multiLevelType w:val="hybridMultilevel"/>
    <w:tmpl w:val="384C1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708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A8B4091"/>
    <w:multiLevelType w:val="multilevel"/>
    <w:tmpl w:val="72BCF3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0">
    <w:nsid w:val="5ABC193A"/>
    <w:multiLevelType w:val="multilevel"/>
    <w:tmpl w:val="3D9AB4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5AE41534"/>
    <w:multiLevelType w:val="multilevel"/>
    <w:tmpl w:val="2E5E4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2">
    <w:nsid w:val="5B1E50B9"/>
    <w:multiLevelType w:val="multilevel"/>
    <w:tmpl w:val="336293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3">
    <w:nsid w:val="650C564A"/>
    <w:multiLevelType w:val="multilevel"/>
    <w:tmpl w:val="1A26A1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4">
    <w:nsid w:val="6570538E"/>
    <w:multiLevelType w:val="multilevel"/>
    <w:tmpl w:val="4E56D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0F3230"/>
    <w:multiLevelType w:val="multilevel"/>
    <w:tmpl w:val="4F2E1A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6">
    <w:nsid w:val="6F554D61"/>
    <w:multiLevelType w:val="multilevel"/>
    <w:tmpl w:val="73A62B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18"/>
        <w:szCs w:val="18"/>
      </w:rPr>
    </w:lvl>
    <w:lvl w:ilvl="2">
      <w:start w:val="1"/>
      <w:numFmt w:val="decimal"/>
      <w:pStyle w:val="N3"/>
      <w:lvlText w:val="%1.%2.%3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3">
      <w:start w:val="1"/>
      <w:numFmt w:val="decimal"/>
      <w:pStyle w:val="N4"/>
      <w:lvlText w:val="%3%1.%2.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>
    <w:nsid w:val="755E5EAF"/>
    <w:multiLevelType w:val="multilevel"/>
    <w:tmpl w:val="55CE46F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8">
    <w:nsid w:val="7A9A3EEB"/>
    <w:multiLevelType w:val="multilevel"/>
    <w:tmpl w:val="0DF25C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29">
    <w:nsid w:val="7E152EB8"/>
    <w:multiLevelType w:val="multilevel"/>
    <w:tmpl w:val="F5FED2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23"/>
  </w:num>
  <w:num w:numId="3">
    <w:abstractNumId w:val="1"/>
  </w:num>
  <w:num w:numId="4">
    <w:abstractNumId w:val="21"/>
  </w:num>
  <w:num w:numId="5">
    <w:abstractNumId w:val="16"/>
  </w:num>
  <w:num w:numId="6">
    <w:abstractNumId w:val="0"/>
  </w:num>
  <w:num w:numId="7">
    <w:abstractNumId w:val="14"/>
  </w:num>
  <w:num w:numId="8">
    <w:abstractNumId w:val="25"/>
  </w:num>
  <w:num w:numId="9">
    <w:abstractNumId w:val="4"/>
  </w:num>
  <w:num w:numId="10">
    <w:abstractNumId w:val="27"/>
  </w:num>
  <w:num w:numId="11">
    <w:abstractNumId w:val="5"/>
  </w:num>
  <w:num w:numId="12">
    <w:abstractNumId w:val="19"/>
  </w:num>
  <w:num w:numId="13">
    <w:abstractNumId w:val="10"/>
  </w:num>
  <w:num w:numId="14">
    <w:abstractNumId w:val="13"/>
  </w:num>
  <w:num w:numId="15">
    <w:abstractNumId w:val="11"/>
  </w:num>
  <w:num w:numId="16">
    <w:abstractNumId w:val="28"/>
  </w:num>
  <w:num w:numId="17">
    <w:abstractNumId w:val="22"/>
  </w:num>
  <w:num w:numId="18">
    <w:abstractNumId w:val="24"/>
  </w:num>
  <w:num w:numId="19">
    <w:abstractNumId w:val="6"/>
  </w:num>
  <w:num w:numId="20">
    <w:abstractNumId w:val="2"/>
  </w:num>
  <w:num w:numId="21">
    <w:abstractNumId w:val="18"/>
  </w:num>
  <w:num w:numId="22">
    <w:abstractNumId w:val="8"/>
  </w:num>
  <w:num w:numId="23">
    <w:abstractNumId w:val="20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26"/>
  </w:num>
  <w:num w:numId="39">
    <w:abstractNumId w:val="29"/>
  </w:num>
  <w:num w:numId="40">
    <w:abstractNumId w:val="6"/>
  </w:num>
  <w:num w:numId="41">
    <w:abstractNumId w:val="7"/>
  </w:num>
  <w:num w:numId="42">
    <w:abstractNumId w:val="3"/>
  </w:num>
  <w:num w:numId="43">
    <w:abstractNumId w:val="15"/>
  </w:num>
  <w:num w:numId="44">
    <w:abstractNumId w:val="17"/>
  </w:num>
  <w:num w:numId="45">
    <w:abstractNumId w:val="1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Cizek">
    <w15:presenceInfo w15:providerId="None" w15:userId="Martin Ci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3C"/>
    <w:rsid w:val="00011D0B"/>
    <w:rsid w:val="00083E7B"/>
    <w:rsid w:val="000A4688"/>
    <w:rsid w:val="000B0B0D"/>
    <w:rsid w:val="000D2630"/>
    <w:rsid w:val="000D4C86"/>
    <w:rsid w:val="000E3A8E"/>
    <w:rsid w:val="000F415F"/>
    <w:rsid w:val="00105B4E"/>
    <w:rsid w:val="00106632"/>
    <w:rsid w:val="00111D22"/>
    <w:rsid w:val="00112CC8"/>
    <w:rsid w:val="00115927"/>
    <w:rsid w:val="001208F9"/>
    <w:rsid w:val="001517A9"/>
    <w:rsid w:val="0015441A"/>
    <w:rsid w:val="0017230B"/>
    <w:rsid w:val="0018535C"/>
    <w:rsid w:val="001931EA"/>
    <w:rsid w:val="001B62D3"/>
    <w:rsid w:val="001D4BB4"/>
    <w:rsid w:val="001F5FA0"/>
    <w:rsid w:val="0024160E"/>
    <w:rsid w:val="00245887"/>
    <w:rsid w:val="00293014"/>
    <w:rsid w:val="002B3A1C"/>
    <w:rsid w:val="002B5940"/>
    <w:rsid w:val="002C334E"/>
    <w:rsid w:val="002D7280"/>
    <w:rsid w:val="002E16FD"/>
    <w:rsid w:val="00302C6E"/>
    <w:rsid w:val="00325556"/>
    <w:rsid w:val="00343BF4"/>
    <w:rsid w:val="00345209"/>
    <w:rsid w:val="00352892"/>
    <w:rsid w:val="00395474"/>
    <w:rsid w:val="003B384A"/>
    <w:rsid w:val="003C181F"/>
    <w:rsid w:val="003C5ED0"/>
    <w:rsid w:val="003D7D75"/>
    <w:rsid w:val="003E3C6A"/>
    <w:rsid w:val="003F212A"/>
    <w:rsid w:val="0041520D"/>
    <w:rsid w:val="004220D1"/>
    <w:rsid w:val="004274E4"/>
    <w:rsid w:val="00435B1E"/>
    <w:rsid w:val="00440A11"/>
    <w:rsid w:val="004519B1"/>
    <w:rsid w:val="00454D5E"/>
    <w:rsid w:val="004624FE"/>
    <w:rsid w:val="00463863"/>
    <w:rsid w:val="004710DC"/>
    <w:rsid w:val="00476B08"/>
    <w:rsid w:val="00480779"/>
    <w:rsid w:val="0048491C"/>
    <w:rsid w:val="004A78CB"/>
    <w:rsid w:val="004D24FE"/>
    <w:rsid w:val="00500680"/>
    <w:rsid w:val="00502589"/>
    <w:rsid w:val="00503877"/>
    <w:rsid w:val="005072C7"/>
    <w:rsid w:val="0051187B"/>
    <w:rsid w:val="005123A7"/>
    <w:rsid w:val="00526B18"/>
    <w:rsid w:val="005475E1"/>
    <w:rsid w:val="005537F4"/>
    <w:rsid w:val="00564140"/>
    <w:rsid w:val="005745DF"/>
    <w:rsid w:val="005C0E8F"/>
    <w:rsid w:val="005C2072"/>
    <w:rsid w:val="005C429B"/>
    <w:rsid w:val="005E46CC"/>
    <w:rsid w:val="005F7263"/>
    <w:rsid w:val="0062308E"/>
    <w:rsid w:val="00624729"/>
    <w:rsid w:val="0064450D"/>
    <w:rsid w:val="00647A76"/>
    <w:rsid w:val="00647A92"/>
    <w:rsid w:val="006617EE"/>
    <w:rsid w:val="0066385C"/>
    <w:rsid w:val="00672239"/>
    <w:rsid w:val="00680476"/>
    <w:rsid w:val="006A373A"/>
    <w:rsid w:val="006B7A26"/>
    <w:rsid w:val="006C262B"/>
    <w:rsid w:val="006F6B02"/>
    <w:rsid w:val="00704A54"/>
    <w:rsid w:val="007203BE"/>
    <w:rsid w:val="00744294"/>
    <w:rsid w:val="00755BF5"/>
    <w:rsid w:val="0076230A"/>
    <w:rsid w:val="00783A67"/>
    <w:rsid w:val="007A25BB"/>
    <w:rsid w:val="007B0718"/>
    <w:rsid w:val="007B673C"/>
    <w:rsid w:val="007B6C86"/>
    <w:rsid w:val="007C3AB5"/>
    <w:rsid w:val="007D3814"/>
    <w:rsid w:val="007E3EB6"/>
    <w:rsid w:val="007E56C9"/>
    <w:rsid w:val="008002D6"/>
    <w:rsid w:val="00800E63"/>
    <w:rsid w:val="00810035"/>
    <w:rsid w:val="008548B9"/>
    <w:rsid w:val="00875535"/>
    <w:rsid w:val="008A58DB"/>
    <w:rsid w:val="008A7B1D"/>
    <w:rsid w:val="008B1672"/>
    <w:rsid w:val="008B1C48"/>
    <w:rsid w:val="008C7A20"/>
    <w:rsid w:val="008D218A"/>
    <w:rsid w:val="009026A1"/>
    <w:rsid w:val="009030C3"/>
    <w:rsid w:val="00914F49"/>
    <w:rsid w:val="00926DFE"/>
    <w:rsid w:val="00930615"/>
    <w:rsid w:val="00943A70"/>
    <w:rsid w:val="00954DC5"/>
    <w:rsid w:val="00970CCF"/>
    <w:rsid w:val="009717C8"/>
    <w:rsid w:val="00974210"/>
    <w:rsid w:val="0097670A"/>
    <w:rsid w:val="009B374B"/>
    <w:rsid w:val="009B50F0"/>
    <w:rsid w:val="00A54C4C"/>
    <w:rsid w:val="00A639AD"/>
    <w:rsid w:val="00A854D0"/>
    <w:rsid w:val="00A93771"/>
    <w:rsid w:val="00AA15CE"/>
    <w:rsid w:val="00AA2B2E"/>
    <w:rsid w:val="00AB4739"/>
    <w:rsid w:val="00AB4756"/>
    <w:rsid w:val="00AC114B"/>
    <w:rsid w:val="00AC7221"/>
    <w:rsid w:val="00AF0E5E"/>
    <w:rsid w:val="00B13A32"/>
    <w:rsid w:val="00B35FFC"/>
    <w:rsid w:val="00B55EFF"/>
    <w:rsid w:val="00B66A33"/>
    <w:rsid w:val="00B757BF"/>
    <w:rsid w:val="00BA614F"/>
    <w:rsid w:val="00BA6158"/>
    <w:rsid w:val="00BA7ED5"/>
    <w:rsid w:val="00BC4ADF"/>
    <w:rsid w:val="00BD2AE0"/>
    <w:rsid w:val="00C00B2C"/>
    <w:rsid w:val="00C020AA"/>
    <w:rsid w:val="00C06725"/>
    <w:rsid w:val="00C21C3A"/>
    <w:rsid w:val="00C30C4C"/>
    <w:rsid w:val="00C328E7"/>
    <w:rsid w:val="00C33A81"/>
    <w:rsid w:val="00C74670"/>
    <w:rsid w:val="00C840F9"/>
    <w:rsid w:val="00C85D09"/>
    <w:rsid w:val="00CC324F"/>
    <w:rsid w:val="00CD30AF"/>
    <w:rsid w:val="00CE5373"/>
    <w:rsid w:val="00CF4A1E"/>
    <w:rsid w:val="00D1751A"/>
    <w:rsid w:val="00D21558"/>
    <w:rsid w:val="00D45D43"/>
    <w:rsid w:val="00D46176"/>
    <w:rsid w:val="00D57F1E"/>
    <w:rsid w:val="00D6222B"/>
    <w:rsid w:val="00D75BAE"/>
    <w:rsid w:val="00D804E4"/>
    <w:rsid w:val="00D92FC1"/>
    <w:rsid w:val="00D97736"/>
    <w:rsid w:val="00DA31A8"/>
    <w:rsid w:val="00DC4226"/>
    <w:rsid w:val="00E01A17"/>
    <w:rsid w:val="00E022C7"/>
    <w:rsid w:val="00E040A1"/>
    <w:rsid w:val="00E07A1D"/>
    <w:rsid w:val="00E07F8B"/>
    <w:rsid w:val="00E235BF"/>
    <w:rsid w:val="00E30890"/>
    <w:rsid w:val="00E417F8"/>
    <w:rsid w:val="00E618F9"/>
    <w:rsid w:val="00E66FC3"/>
    <w:rsid w:val="00E74E80"/>
    <w:rsid w:val="00E775C1"/>
    <w:rsid w:val="00E84BA0"/>
    <w:rsid w:val="00ED07C9"/>
    <w:rsid w:val="00EE5B73"/>
    <w:rsid w:val="00EF0576"/>
    <w:rsid w:val="00EF63F0"/>
    <w:rsid w:val="00F03387"/>
    <w:rsid w:val="00F41B66"/>
    <w:rsid w:val="00F44865"/>
    <w:rsid w:val="00F54F99"/>
    <w:rsid w:val="00F72BAE"/>
    <w:rsid w:val="00F74E45"/>
    <w:rsid w:val="00F7625D"/>
    <w:rsid w:val="00F9127F"/>
    <w:rsid w:val="00FE14ED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FF1B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E618F9"/>
    <w:pPr>
      <w:numPr>
        <w:numId w:val="19"/>
      </w:numPr>
      <w:spacing w:before="480" w:after="12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rsid w:val="005537F4"/>
    <w:pPr>
      <w:keepNext/>
      <w:spacing w:before="360" w:after="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618F9"/>
    <w:pPr>
      <w:spacing w:before="280" w:after="80"/>
      <w:outlineLvl w:val="2"/>
    </w:pPr>
    <w:rPr>
      <w:b/>
      <w:color w:val="666666"/>
      <w:sz w:val="24"/>
      <w:szCs w:val="24"/>
    </w:rPr>
  </w:style>
  <w:style w:type="paragraph" w:styleId="Nadpis4">
    <w:name w:val="heading 4"/>
    <w:basedOn w:val="Normln"/>
    <w:next w:val="Normln"/>
    <w:rsid w:val="00E618F9"/>
    <w:pPr>
      <w:numPr>
        <w:ilvl w:val="3"/>
        <w:numId w:val="19"/>
      </w:numPr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"/>
    <w:next w:val="Normln"/>
    <w:rsid w:val="00E618F9"/>
    <w:pPr>
      <w:numPr>
        <w:ilvl w:val="4"/>
        <w:numId w:val="19"/>
      </w:numPr>
      <w:spacing w:before="220" w:after="40"/>
      <w:outlineLvl w:val="4"/>
    </w:pPr>
    <w:rPr>
      <w:b/>
      <w:color w:val="666666"/>
      <w:sz w:val="20"/>
      <w:szCs w:val="20"/>
    </w:rPr>
  </w:style>
  <w:style w:type="paragraph" w:styleId="Nadpis6">
    <w:name w:val="heading 6"/>
    <w:basedOn w:val="Normln"/>
    <w:next w:val="Normln"/>
    <w:rsid w:val="00E618F9"/>
    <w:pPr>
      <w:numPr>
        <w:ilvl w:val="5"/>
        <w:numId w:val="19"/>
      </w:numPr>
      <w:spacing w:before="200" w:after="40"/>
      <w:outlineLvl w:val="5"/>
    </w:pPr>
    <w:rPr>
      <w:i/>
      <w:color w:val="666666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618F9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618F9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618F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7A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A92"/>
  </w:style>
  <w:style w:type="paragraph" w:styleId="Zpat">
    <w:name w:val="footer"/>
    <w:basedOn w:val="Normln"/>
    <w:link w:val="ZpatChar"/>
    <w:uiPriority w:val="99"/>
    <w:unhideWhenUsed/>
    <w:rsid w:val="00647A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A92"/>
  </w:style>
  <w:style w:type="paragraph" w:styleId="Textbubliny">
    <w:name w:val="Balloon Text"/>
    <w:basedOn w:val="Normln"/>
    <w:link w:val="TextbublinyChar"/>
    <w:uiPriority w:val="99"/>
    <w:semiHidden/>
    <w:unhideWhenUsed/>
    <w:rsid w:val="003528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89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8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6222B"/>
    <w:pPr>
      <w:ind w:left="720"/>
    </w:pPr>
  </w:style>
  <w:style w:type="character" w:customStyle="1" w:styleId="Nadpis7Char">
    <w:name w:val="Nadpis 7 Char"/>
    <w:basedOn w:val="Standardnpsmoodstavce"/>
    <w:link w:val="Nadpis7"/>
    <w:uiPriority w:val="9"/>
    <w:rsid w:val="005537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537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537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rsid w:val="009026A1"/>
    <w:pPr>
      <w:suppressAutoHyphens/>
      <w:spacing w:before="58" w:line="240" w:lineRule="auto"/>
      <w:contextualSpacing w:val="0"/>
      <w:jc w:val="both"/>
    </w:pPr>
    <w:rPr>
      <w:rFonts w:eastAsia="DejaVuSans" w:cs="Tahoma"/>
      <w:color w:val="auto"/>
      <w:szCs w:val="24"/>
    </w:rPr>
  </w:style>
  <w:style w:type="paragraph" w:customStyle="1" w:styleId="Legal-Article">
    <w:name w:val="Legal-Article"/>
    <w:basedOn w:val="Normln"/>
    <w:qFormat/>
    <w:rsid w:val="00E618F9"/>
    <w:pPr>
      <w:numPr>
        <w:ilvl w:val="1"/>
        <w:numId w:val="19"/>
      </w:numPr>
    </w:pPr>
  </w:style>
  <w:style w:type="paragraph" w:customStyle="1" w:styleId="HeadingE">
    <w:name w:val="Heading E"/>
    <w:basedOn w:val="Normln"/>
    <w:qFormat/>
    <w:rsid w:val="0018535C"/>
    <w:pPr>
      <w:keepNext/>
    </w:pPr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15441A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3E3C6A"/>
    <w:pPr>
      <w:widowControl/>
      <w:spacing w:line="240" w:lineRule="auto"/>
      <w:contextualSpacing w:val="0"/>
    </w:pPr>
  </w:style>
  <w:style w:type="paragraph" w:customStyle="1" w:styleId="N3">
    <w:name w:val="N3"/>
    <w:basedOn w:val="Normln"/>
    <w:rsid w:val="0066385C"/>
    <w:pPr>
      <w:widowControl/>
      <w:numPr>
        <w:ilvl w:val="2"/>
        <w:numId w:val="38"/>
      </w:numPr>
      <w:spacing w:before="240" w:after="60" w:line="240" w:lineRule="auto"/>
      <w:contextualSpacing w:val="0"/>
      <w:jc w:val="both"/>
    </w:pPr>
    <w:rPr>
      <w:rFonts w:eastAsia="Times New Roman"/>
      <w:color w:val="auto"/>
      <w:sz w:val="18"/>
      <w:szCs w:val="20"/>
    </w:rPr>
  </w:style>
  <w:style w:type="paragraph" w:customStyle="1" w:styleId="N4">
    <w:name w:val="N4"/>
    <w:basedOn w:val="Normln"/>
    <w:rsid w:val="0066385C"/>
    <w:pPr>
      <w:widowControl/>
      <w:numPr>
        <w:ilvl w:val="3"/>
        <w:numId w:val="38"/>
      </w:numPr>
      <w:spacing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E618F9"/>
    <w:pPr>
      <w:numPr>
        <w:numId w:val="19"/>
      </w:numPr>
      <w:spacing w:before="480" w:after="12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rsid w:val="005537F4"/>
    <w:pPr>
      <w:keepNext/>
      <w:spacing w:before="360" w:after="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618F9"/>
    <w:pPr>
      <w:spacing w:before="280" w:after="80"/>
      <w:outlineLvl w:val="2"/>
    </w:pPr>
    <w:rPr>
      <w:b/>
      <w:color w:val="666666"/>
      <w:sz w:val="24"/>
      <w:szCs w:val="24"/>
    </w:rPr>
  </w:style>
  <w:style w:type="paragraph" w:styleId="Nadpis4">
    <w:name w:val="heading 4"/>
    <w:basedOn w:val="Normln"/>
    <w:next w:val="Normln"/>
    <w:rsid w:val="00E618F9"/>
    <w:pPr>
      <w:numPr>
        <w:ilvl w:val="3"/>
        <w:numId w:val="19"/>
      </w:numPr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"/>
    <w:next w:val="Normln"/>
    <w:rsid w:val="00E618F9"/>
    <w:pPr>
      <w:numPr>
        <w:ilvl w:val="4"/>
        <w:numId w:val="19"/>
      </w:numPr>
      <w:spacing w:before="220" w:after="40"/>
      <w:outlineLvl w:val="4"/>
    </w:pPr>
    <w:rPr>
      <w:b/>
      <w:color w:val="666666"/>
      <w:sz w:val="20"/>
      <w:szCs w:val="20"/>
    </w:rPr>
  </w:style>
  <w:style w:type="paragraph" w:styleId="Nadpis6">
    <w:name w:val="heading 6"/>
    <w:basedOn w:val="Normln"/>
    <w:next w:val="Normln"/>
    <w:rsid w:val="00E618F9"/>
    <w:pPr>
      <w:numPr>
        <w:ilvl w:val="5"/>
        <w:numId w:val="19"/>
      </w:numPr>
      <w:spacing w:before="200" w:after="40"/>
      <w:outlineLvl w:val="5"/>
    </w:pPr>
    <w:rPr>
      <w:i/>
      <w:color w:val="666666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618F9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618F9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618F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7A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A92"/>
  </w:style>
  <w:style w:type="paragraph" w:styleId="Zpat">
    <w:name w:val="footer"/>
    <w:basedOn w:val="Normln"/>
    <w:link w:val="ZpatChar"/>
    <w:uiPriority w:val="99"/>
    <w:unhideWhenUsed/>
    <w:rsid w:val="00647A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A92"/>
  </w:style>
  <w:style w:type="paragraph" w:styleId="Textbubliny">
    <w:name w:val="Balloon Text"/>
    <w:basedOn w:val="Normln"/>
    <w:link w:val="TextbublinyChar"/>
    <w:uiPriority w:val="99"/>
    <w:semiHidden/>
    <w:unhideWhenUsed/>
    <w:rsid w:val="003528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89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8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6222B"/>
    <w:pPr>
      <w:ind w:left="720"/>
    </w:pPr>
  </w:style>
  <w:style w:type="character" w:customStyle="1" w:styleId="Nadpis7Char">
    <w:name w:val="Nadpis 7 Char"/>
    <w:basedOn w:val="Standardnpsmoodstavce"/>
    <w:link w:val="Nadpis7"/>
    <w:uiPriority w:val="9"/>
    <w:rsid w:val="005537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537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537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rsid w:val="009026A1"/>
    <w:pPr>
      <w:suppressAutoHyphens/>
      <w:spacing w:before="58" w:line="240" w:lineRule="auto"/>
      <w:contextualSpacing w:val="0"/>
      <w:jc w:val="both"/>
    </w:pPr>
    <w:rPr>
      <w:rFonts w:eastAsia="DejaVuSans" w:cs="Tahoma"/>
      <w:color w:val="auto"/>
      <w:szCs w:val="24"/>
    </w:rPr>
  </w:style>
  <w:style w:type="paragraph" w:customStyle="1" w:styleId="Legal-Article">
    <w:name w:val="Legal-Article"/>
    <w:basedOn w:val="Normln"/>
    <w:qFormat/>
    <w:rsid w:val="00E618F9"/>
    <w:pPr>
      <w:numPr>
        <w:ilvl w:val="1"/>
        <w:numId w:val="19"/>
      </w:numPr>
    </w:pPr>
  </w:style>
  <w:style w:type="paragraph" w:customStyle="1" w:styleId="HeadingE">
    <w:name w:val="Heading E"/>
    <w:basedOn w:val="Normln"/>
    <w:qFormat/>
    <w:rsid w:val="0018535C"/>
    <w:pPr>
      <w:keepNext/>
    </w:pPr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15441A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3E3C6A"/>
    <w:pPr>
      <w:widowControl/>
      <w:spacing w:line="240" w:lineRule="auto"/>
      <w:contextualSpacing w:val="0"/>
    </w:pPr>
  </w:style>
  <w:style w:type="paragraph" w:customStyle="1" w:styleId="N3">
    <w:name w:val="N3"/>
    <w:basedOn w:val="Normln"/>
    <w:rsid w:val="0066385C"/>
    <w:pPr>
      <w:widowControl/>
      <w:numPr>
        <w:ilvl w:val="2"/>
        <w:numId w:val="38"/>
      </w:numPr>
      <w:spacing w:before="240" w:after="60" w:line="240" w:lineRule="auto"/>
      <w:contextualSpacing w:val="0"/>
      <w:jc w:val="both"/>
    </w:pPr>
    <w:rPr>
      <w:rFonts w:eastAsia="Times New Roman"/>
      <w:color w:val="auto"/>
      <w:sz w:val="18"/>
      <w:szCs w:val="20"/>
    </w:rPr>
  </w:style>
  <w:style w:type="paragraph" w:customStyle="1" w:styleId="N4">
    <w:name w:val="N4"/>
    <w:basedOn w:val="Normln"/>
    <w:rsid w:val="0066385C"/>
    <w:pPr>
      <w:widowControl/>
      <w:numPr>
        <w:ilvl w:val="3"/>
        <w:numId w:val="38"/>
      </w:numPr>
      <w:spacing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D277-691E-4590-9037-DC1A6B9F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3686</Words>
  <Characters>21750</Characters>
  <Application>Microsoft Office Word</Application>
  <DocSecurity>0</DocSecurity>
  <Lines>181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Bradáčová Kristýna, Mgr.</cp:lastModifiedBy>
  <cp:revision>2</cp:revision>
  <dcterms:created xsi:type="dcterms:W3CDTF">2017-09-05T14:26:00Z</dcterms:created>
  <dcterms:modified xsi:type="dcterms:W3CDTF">2017-09-15T12:36:00Z</dcterms:modified>
</cp:coreProperties>
</file>