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4590"/>
      </w:tblGrid>
      <w:tr w:rsidR="00C32FF1" w:rsidRPr="0031164B" w14:paraId="21176DD1" w14:textId="7A0C07DC" w:rsidTr="00830D19">
        <w:tc>
          <w:tcPr>
            <w:tcW w:w="2548" w:type="pct"/>
          </w:tcPr>
          <w:p w14:paraId="02701662" w14:textId="77777777" w:rsidR="00C32FF1" w:rsidRPr="006D689E" w:rsidRDefault="00C32FF1" w:rsidP="00C32FF1">
            <w:pPr>
              <w:pStyle w:val="Nzev"/>
              <w:widowControl/>
              <w:adjustRightInd/>
              <w:spacing w:after="360"/>
              <w:rPr>
                <w:bCs w:val="0"/>
              </w:rPr>
            </w:pPr>
            <w:r w:rsidRPr="006D689E">
              <w:t>RÁMCOVÁ SMLOUVA O DODÁVKÁCH PRODUKTŮ A SLUŽBÁCH AFERÉZY CAR T</w:t>
            </w:r>
          </w:p>
        </w:tc>
        <w:tc>
          <w:tcPr>
            <w:tcW w:w="2452" w:type="pct"/>
          </w:tcPr>
          <w:p w14:paraId="3A966D65" w14:textId="60D64E5E" w:rsidR="00C32FF1" w:rsidRPr="0031164B" w:rsidRDefault="00C32FF1" w:rsidP="00C32FF1">
            <w:pPr>
              <w:pStyle w:val="Nzev"/>
              <w:widowControl/>
              <w:adjustRightInd/>
              <w:spacing w:after="360"/>
              <w:rPr>
                <w:bCs w:val="0"/>
                <w:lang w:val="en-GB"/>
              </w:rPr>
            </w:pPr>
            <w:r w:rsidRPr="0031164B">
              <w:rPr>
                <w:bCs w:val="0"/>
                <w:lang w:val="en-GB"/>
              </w:rPr>
              <w:t>CAR T MASTER PRODUCT SUPPLY AND APHERESIS SERVICES AGREEMENT</w:t>
            </w:r>
          </w:p>
        </w:tc>
      </w:tr>
      <w:tr w:rsidR="00C32FF1" w:rsidRPr="0031164B" w14:paraId="2089F1FF" w14:textId="7DEF0C93" w:rsidTr="00830D19">
        <w:tc>
          <w:tcPr>
            <w:tcW w:w="2548" w:type="pct"/>
          </w:tcPr>
          <w:p w14:paraId="1ADCB7F5" w14:textId="105AF307" w:rsidR="00C32FF1" w:rsidRPr="006D689E" w:rsidRDefault="00C32FF1" w:rsidP="00C32FF1">
            <w:pPr>
              <w:pStyle w:val="Zkladntext"/>
              <w:widowControl/>
              <w:adjustRightInd/>
              <w:ind w:firstLine="0"/>
            </w:pPr>
            <w:bookmarkStart w:id="0" w:name="_DV_M2"/>
            <w:bookmarkEnd w:id="0"/>
            <w:r w:rsidRPr="006D689E">
              <w:t xml:space="preserve">Tato </w:t>
            </w:r>
            <w:r w:rsidRPr="006D689E">
              <w:rPr>
                <w:b/>
              </w:rPr>
              <w:t xml:space="preserve">rámcová dohoda o dodávkách produktu CAR-T a službách aferézy </w:t>
            </w:r>
            <w:r w:rsidRPr="006D689E">
              <w:t>(dále jen „</w:t>
            </w:r>
            <w:r w:rsidRPr="006D689E">
              <w:rPr>
                <w:b/>
              </w:rPr>
              <w:t>smlouva</w:t>
            </w:r>
            <w:r w:rsidRPr="006D689E">
              <w:t xml:space="preserve">“) </w:t>
            </w:r>
            <w:r w:rsidR="008D6555" w:rsidRPr="006D0A68">
              <w:t>nabývá platnosti podpisem obou smluvních stran a účinnosti nejdříve dnem zveřejnění v registru smluv dle zákona č. 340/2015 Sb., o registru smluv</w:t>
            </w:r>
            <w:r w:rsidR="008D6555" w:rsidRPr="006D689E" w:rsidDel="008D6555">
              <w:t xml:space="preserve"> </w:t>
            </w:r>
            <w:r w:rsidRPr="006D689E">
              <w:t>(dále jen „</w:t>
            </w:r>
            <w:r w:rsidRPr="006D689E">
              <w:rPr>
                <w:b/>
              </w:rPr>
              <w:t>den účinnosti</w:t>
            </w:r>
            <w:r w:rsidRPr="006D689E">
              <w:t xml:space="preserve">“) mezi společností </w:t>
            </w:r>
            <w:r w:rsidRPr="006D689E">
              <w:rPr>
                <w:b/>
                <w:bCs/>
              </w:rPr>
              <w:t>Celgene International Sàrl</w:t>
            </w:r>
            <w:r w:rsidRPr="006D689E">
              <w:t xml:space="preserve">, švýcarskou společností se sídlem na adrese 1 Route de Perreux, 2017 Boudry, Švýcarsko, dceřinou společností ve 100% vlastnictví společnosti Bristol-Myers Squibb Company, společně se společností </w:t>
            </w:r>
            <w:r w:rsidRPr="006D689E">
              <w:rPr>
                <w:b/>
                <w:bCs/>
              </w:rPr>
              <w:t>Bristol-Myers Squibb spol. s r.o.</w:t>
            </w:r>
            <w:r w:rsidRPr="006D689E">
              <w:t>, se sídlem na adrese Budějovická 778/3, Praha 4, Česká republika (společně dále jen „</w:t>
            </w:r>
            <w:r w:rsidRPr="006D689E">
              <w:rPr>
                <w:b/>
              </w:rPr>
              <w:t>BMS</w:t>
            </w:r>
            <w:r w:rsidRPr="006D689E">
              <w:t xml:space="preserve">“), a </w:t>
            </w:r>
            <w:r w:rsidR="007232E5">
              <w:rPr>
                <w:b/>
              </w:rPr>
              <w:t>Fakultní nemocnice</w:t>
            </w:r>
            <w:r w:rsidR="00000DB9">
              <w:rPr>
                <w:b/>
              </w:rPr>
              <w:t xml:space="preserve"> </w:t>
            </w:r>
            <w:r w:rsidR="00F560B5">
              <w:rPr>
                <w:b/>
              </w:rPr>
              <w:t>Plzeň</w:t>
            </w:r>
            <w:r w:rsidRPr="006D689E">
              <w:t xml:space="preserve">, se sídlem na adrese </w:t>
            </w:r>
            <w:r w:rsidR="009E630F">
              <w:t>Edvarda Beneše 11</w:t>
            </w:r>
            <w:r w:rsidR="0027072C">
              <w:t>28/13, 301 00 Plzeň</w:t>
            </w:r>
            <w:r w:rsidR="00D64266">
              <w:t xml:space="preserve">, </w:t>
            </w:r>
            <w:r w:rsidR="00A57847" w:rsidRPr="00A57847">
              <w:t>Česká republika</w:t>
            </w:r>
            <w:r w:rsidR="00A57847" w:rsidRPr="00A57847" w:rsidDel="00A57847">
              <w:t xml:space="preserve"> </w:t>
            </w:r>
            <w:r w:rsidRPr="006D689E">
              <w:t>(dále jen „</w:t>
            </w:r>
            <w:r w:rsidR="008139CC">
              <w:rPr>
                <w:b/>
                <w:bCs/>
              </w:rPr>
              <w:t>C</w:t>
            </w:r>
            <w:r w:rsidR="00FD1C66" w:rsidRPr="00FD1C66">
              <w:rPr>
                <w:b/>
                <w:bCs/>
              </w:rPr>
              <w:t>entrum</w:t>
            </w:r>
            <w:r w:rsidRPr="006D689E">
              <w:t xml:space="preserve">“).  Společnost BMS a </w:t>
            </w:r>
            <w:r w:rsidR="00385014">
              <w:t>C</w:t>
            </w:r>
            <w:r w:rsidR="00DA2EA2">
              <w:t>entrum</w:t>
            </w:r>
            <w:r w:rsidR="00385014" w:rsidRPr="006D689E">
              <w:t xml:space="preserve"> </w:t>
            </w:r>
            <w:r w:rsidRPr="006D689E">
              <w:t>mohou být v tomto dokumentu označovány jednotlivě jako „</w:t>
            </w:r>
            <w:r w:rsidRPr="006D689E">
              <w:rPr>
                <w:b/>
              </w:rPr>
              <w:t>smluvní strana nebo strana</w:t>
            </w:r>
            <w:r w:rsidRPr="006D689E">
              <w:t>“ a společně jako „</w:t>
            </w:r>
            <w:r w:rsidRPr="006D689E">
              <w:rPr>
                <w:b/>
              </w:rPr>
              <w:t>smluvní strany nebo strany</w:t>
            </w:r>
            <w:r w:rsidRPr="006D689E">
              <w:t xml:space="preserve">“.  </w:t>
            </w:r>
          </w:p>
        </w:tc>
        <w:tc>
          <w:tcPr>
            <w:tcW w:w="2452" w:type="pct"/>
          </w:tcPr>
          <w:p w14:paraId="56C25A50" w14:textId="340B449A" w:rsidR="00C32FF1" w:rsidRPr="0031164B" w:rsidRDefault="00C32FF1" w:rsidP="00C32FF1">
            <w:pPr>
              <w:pStyle w:val="Zkladntext"/>
              <w:widowControl/>
              <w:adjustRightInd/>
              <w:ind w:firstLine="0"/>
              <w:rPr>
                <w:lang w:val="en-GB"/>
              </w:rPr>
            </w:pPr>
            <w:r w:rsidRPr="0031164B">
              <w:rPr>
                <w:lang w:val="en-GB"/>
              </w:rPr>
              <w:t xml:space="preserve">This </w:t>
            </w:r>
            <w:r w:rsidRPr="0031164B">
              <w:rPr>
                <w:b/>
                <w:lang w:val="en-GB"/>
              </w:rPr>
              <w:t xml:space="preserve">CAR-T Master Product Supply and Apheresis Services Agreement </w:t>
            </w:r>
            <w:r w:rsidRPr="0031164B">
              <w:rPr>
                <w:lang w:val="en-GB"/>
              </w:rPr>
              <w:t>(the “</w:t>
            </w:r>
            <w:r w:rsidRPr="0031164B">
              <w:rPr>
                <w:b/>
                <w:lang w:val="en-GB"/>
              </w:rPr>
              <w:t>Agreement</w:t>
            </w:r>
            <w:r w:rsidRPr="0031164B">
              <w:rPr>
                <w:lang w:val="en-GB"/>
              </w:rPr>
              <w:t xml:space="preserve">”) </w:t>
            </w:r>
            <w:r w:rsidR="00E547A2" w:rsidRPr="006D0A68">
              <w:t>becomes valid upon the signature of both contracting parties and takes effect no earlier than the day it is published in the contract register in accordance with Act No. 340/2015 Coll., on the contract register.</w:t>
            </w:r>
            <w:r w:rsidR="00E547A2">
              <w:t xml:space="preserve"> </w:t>
            </w:r>
            <w:r w:rsidRPr="0031164B">
              <w:rPr>
                <w:lang w:val="en-GB"/>
              </w:rPr>
              <w:t>(the “</w:t>
            </w:r>
            <w:r w:rsidRPr="0031164B">
              <w:rPr>
                <w:b/>
                <w:lang w:val="en-GB"/>
              </w:rPr>
              <w:t>Effective Date</w:t>
            </w:r>
            <w:r w:rsidRPr="0031164B">
              <w:rPr>
                <w:lang w:val="en-GB"/>
              </w:rPr>
              <w:t xml:space="preserve">”), by and between </w:t>
            </w:r>
            <w:r w:rsidRPr="0031164B">
              <w:rPr>
                <w:b/>
                <w:bCs/>
                <w:lang w:val="en-GB"/>
              </w:rPr>
              <w:t>Celgene International Sàrl</w:t>
            </w:r>
            <w:r w:rsidRPr="0031164B">
              <w:rPr>
                <w:lang w:val="en-GB"/>
              </w:rPr>
              <w:t xml:space="preserve">, a Swiss company having its principal offices at 1 Route de Perreux, 2017 Boudry, Switzerland, a wholly owned subsidiary of Bristol-Myers Squibb Company, together with, </w:t>
            </w:r>
            <w:r w:rsidRPr="0031164B">
              <w:rPr>
                <w:b/>
                <w:bCs/>
                <w:lang w:val="en-GB"/>
              </w:rPr>
              <w:t>Bristol-Myers Squibb spol. s r.o.</w:t>
            </w:r>
            <w:r w:rsidRPr="0031164B">
              <w:rPr>
                <w:lang w:val="en-GB"/>
              </w:rPr>
              <w:t>, having an address at Budějovická 778/3, Praha 4, Czech Republic (together “</w:t>
            </w:r>
            <w:r w:rsidRPr="0031164B">
              <w:rPr>
                <w:b/>
                <w:lang w:val="en-GB"/>
              </w:rPr>
              <w:t>BMS</w:t>
            </w:r>
            <w:r w:rsidRPr="0031164B">
              <w:rPr>
                <w:lang w:val="en-GB"/>
              </w:rPr>
              <w:t xml:space="preserve">”), and </w:t>
            </w:r>
            <w:r w:rsidR="00000DB9">
              <w:rPr>
                <w:b/>
                <w:lang w:val="en-GB"/>
              </w:rPr>
              <w:t xml:space="preserve">Fakultni nemocnice </w:t>
            </w:r>
            <w:r w:rsidR="009E630F">
              <w:rPr>
                <w:b/>
                <w:lang w:val="en-GB"/>
              </w:rPr>
              <w:t>Plzen</w:t>
            </w:r>
            <w:r w:rsidRPr="0031164B">
              <w:rPr>
                <w:lang w:val="en-GB"/>
              </w:rPr>
              <w:t xml:space="preserve">, located at </w:t>
            </w:r>
            <w:r w:rsidR="0027072C">
              <w:rPr>
                <w:lang w:val="en-GB"/>
              </w:rPr>
              <w:t>Edvarda Benese 1128/13, 301 00 Plzen</w:t>
            </w:r>
            <w:r w:rsidR="00396236" w:rsidRPr="00396236">
              <w:rPr>
                <w:lang w:val="en-GB"/>
              </w:rPr>
              <w:t>, Czech Republic</w:t>
            </w:r>
            <w:r w:rsidR="00396236" w:rsidRPr="00396236" w:rsidDel="00396236">
              <w:rPr>
                <w:lang w:val="en-GB"/>
              </w:rPr>
              <w:t xml:space="preserve"> </w:t>
            </w:r>
            <w:r w:rsidRPr="0031164B">
              <w:rPr>
                <w:lang w:val="en-GB"/>
              </w:rPr>
              <w:t>(“</w:t>
            </w:r>
            <w:r w:rsidRPr="0031164B">
              <w:rPr>
                <w:b/>
                <w:lang w:val="en-GB"/>
              </w:rPr>
              <w:t>Center</w:t>
            </w:r>
            <w:r w:rsidRPr="0031164B">
              <w:rPr>
                <w:lang w:val="en-GB"/>
              </w:rPr>
              <w:t>”).  BMS and Center may be referred to herein individually as a “</w:t>
            </w:r>
            <w:r w:rsidRPr="0031164B">
              <w:rPr>
                <w:b/>
                <w:lang w:val="en-GB"/>
              </w:rPr>
              <w:t>Party</w:t>
            </w:r>
            <w:r w:rsidRPr="0031164B">
              <w:rPr>
                <w:lang w:val="en-GB"/>
              </w:rPr>
              <w:t>” and collectively as the “</w:t>
            </w:r>
            <w:r w:rsidRPr="0031164B">
              <w:rPr>
                <w:b/>
                <w:lang w:val="en-GB"/>
              </w:rPr>
              <w:t>Parties</w:t>
            </w:r>
            <w:r w:rsidRPr="0031164B">
              <w:rPr>
                <w:lang w:val="en-GB"/>
              </w:rPr>
              <w:t xml:space="preserve">.”  </w:t>
            </w:r>
          </w:p>
        </w:tc>
      </w:tr>
      <w:tr w:rsidR="00C32FF1" w:rsidRPr="0031164B" w14:paraId="3E399D30" w14:textId="658AC600" w:rsidTr="00830D19">
        <w:tc>
          <w:tcPr>
            <w:tcW w:w="2548" w:type="pct"/>
          </w:tcPr>
          <w:p w14:paraId="67157BC2" w14:textId="16349054" w:rsidR="00C32FF1" w:rsidRPr="006D689E" w:rsidRDefault="00C32FF1" w:rsidP="00C32FF1">
            <w:pPr>
              <w:pStyle w:val="Zkladntext"/>
              <w:widowControl/>
              <w:adjustRightInd/>
              <w:ind w:firstLine="0"/>
            </w:pPr>
            <w:bookmarkStart w:id="1" w:name="_DV_M3"/>
            <w:bookmarkEnd w:id="1"/>
            <w:r w:rsidRPr="006D689E">
              <w:rPr>
                <w:b/>
              </w:rPr>
              <w:t>VZHLEDEM K TOMU, že</w:t>
            </w:r>
            <w:r w:rsidRPr="006D689E">
              <w:t xml:space="preserve"> </w:t>
            </w:r>
            <w:bookmarkStart w:id="2" w:name="_Hlk12998232"/>
            <w:r w:rsidRPr="006D689E">
              <w:t>BMS má v úmyslu vyrábět a komercializovat určité autologní imunocelulární terapie poté, co BMS nebo její přidružená společnost obdrží od regulačního orgánu povolení k uvedení na trh (dále společně jen „</w:t>
            </w:r>
            <w:r w:rsidRPr="006D689E">
              <w:rPr>
                <w:b/>
              </w:rPr>
              <w:t>produkty</w:t>
            </w:r>
            <w:r w:rsidRPr="006D689E">
              <w:t>“ a každý z nich dále jen „</w:t>
            </w:r>
            <w:r w:rsidRPr="006D689E">
              <w:rPr>
                <w:b/>
              </w:rPr>
              <w:t>produkt</w:t>
            </w:r>
            <w:r w:rsidRPr="006D689E">
              <w:t xml:space="preserve">“), a bude poskytovat produkty zdravotnickým organizacím, které uspokojivě </w:t>
            </w:r>
            <w:r w:rsidR="009A557B">
              <w:t>splnily</w:t>
            </w:r>
            <w:r w:rsidRPr="006D689E">
              <w:t xml:space="preserve"> vstupní </w:t>
            </w:r>
            <w:r w:rsidR="003C170B">
              <w:t>podmínky</w:t>
            </w:r>
            <w:r w:rsidR="003C170B" w:rsidRPr="006D689E">
              <w:t xml:space="preserve"> </w:t>
            </w:r>
            <w:r w:rsidRPr="006D689E">
              <w:t>pro provádění aferézy a objednávání produktů od společnosti BMS k léčbě pacientů zdravotnic</w:t>
            </w:r>
            <w:r w:rsidR="00497C56">
              <w:t>kého zařízení</w:t>
            </w:r>
            <w:r w:rsidRPr="006D689E">
              <w:t xml:space="preserve"> (dále jen „</w:t>
            </w:r>
            <w:r w:rsidRPr="006D689E">
              <w:rPr>
                <w:b/>
              </w:rPr>
              <w:t xml:space="preserve">Kvalifikované </w:t>
            </w:r>
            <w:r w:rsidR="00497C56">
              <w:rPr>
                <w:b/>
              </w:rPr>
              <w:t>centrum</w:t>
            </w:r>
            <w:r w:rsidRPr="006D689E">
              <w:t xml:space="preserve">“); </w:t>
            </w:r>
            <w:bookmarkEnd w:id="2"/>
          </w:p>
        </w:tc>
        <w:tc>
          <w:tcPr>
            <w:tcW w:w="2452" w:type="pct"/>
          </w:tcPr>
          <w:p w14:paraId="17DAD687" w14:textId="221DE132" w:rsidR="00C32FF1" w:rsidRPr="0031164B" w:rsidRDefault="00C32FF1" w:rsidP="00C32FF1">
            <w:pPr>
              <w:pStyle w:val="Zkladntext"/>
              <w:widowControl/>
              <w:adjustRightInd/>
              <w:ind w:firstLine="0"/>
              <w:rPr>
                <w:b/>
                <w:lang w:val="en-GB"/>
              </w:rPr>
            </w:pPr>
            <w:r w:rsidRPr="0031164B">
              <w:rPr>
                <w:b/>
                <w:lang w:val="en-GB"/>
              </w:rPr>
              <w:t>WHEREAS</w:t>
            </w:r>
            <w:r w:rsidRPr="0031164B">
              <w:rPr>
                <w:lang w:val="en-GB"/>
              </w:rPr>
              <w:t>, BMS intends to manufacture and commercialize certain autologous immunocellular therapies after BMS or its Affiliate has received a marketing authorization from the Regulatory Authority (collectively, the “</w:t>
            </w:r>
            <w:r w:rsidRPr="0031164B">
              <w:rPr>
                <w:b/>
                <w:lang w:val="en-GB"/>
              </w:rPr>
              <w:t>Products</w:t>
            </w:r>
            <w:r w:rsidRPr="0031164B">
              <w:rPr>
                <w:lang w:val="en-GB"/>
              </w:rPr>
              <w:t>” and each, a “</w:t>
            </w:r>
            <w:r w:rsidRPr="0031164B">
              <w:rPr>
                <w:b/>
                <w:lang w:val="en-GB"/>
              </w:rPr>
              <w:t>Product</w:t>
            </w:r>
            <w:r w:rsidRPr="0031164B">
              <w:rPr>
                <w:lang w:val="en-GB"/>
              </w:rPr>
              <w:t>”) and shall provide Product to healthcare organizations that have satisfactorily completed the onboarding activities to perform apheresis services and order Product(s) from BMS to treat healthcare organization’s patients (each a “</w:t>
            </w:r>
            <w:r w:rsidRPr="0031164B">
              <w:rPr>
                <w:b/>
                <w:lang w:val="en-GB"/>
              </w:rPr>
              <w:t>Qualified Center</w:t>
            </w:r>
            <w:r w:rsidRPr="0031164B">
              <w:rPr>
                <w:lang w:val="en-GB"/>
              </w:rPr>
              <w:t xml:space="preserve">”); </w:t>
            </w:r>
          </w:p>
        </w:tc>
      </w:tr>
      <w:tr w:rsidR="00C32FF1" w:rsidRPr="0031164B" w14:paraId="7409A3BC" w14:textId="50774240" w:rsidTr="00830D19">
        <w:tc>
          <w:tcPr>
            <w:tcW w:w="2548" w:type="pct"/>
          </w:tcPr>
          <w:p w14:paraId="435020DD" w14:textId="77777777" w:rsidR="00C32FF1" w:rsidRPr="006D689E" w:rsidRDefault="00C32FF1" w:rsidP="00C32FF1">
            <w:pPr>
              <w:pStyle w:val="Zkladntext"/>
              <w:widowControl/>
              <w:adjustRightInd/>
              <w:ind w:firstLine="0"/>
            </w:pPr>
            <w:bookmarkStart w:id="3" w:name="_Hlk10453920"/>
            <w:r w:rsidRPr="006D689E">
              <w:rPr>
                <w:b/>
              </w:rPr>
              <w:t>VZHLEDEM K TOMU, že</w:t>
            </w:r>
            <w:r w:rsidRPr="006D689E">
              <w:t xml:space="preserve"> </w:t>
            </w:r>
            <w:bookmarkStart w:id="4" w:name="_Hlk12998273"/>
            <w:r w:rsidRPr="006D689E">
              <w:t xml:space="preserve">výroba autologních produktů společností BMS vyžaduje odběr mononukleárních buněk od každého pacienta, kterému licencovaný lékař </w:t>
            </w:r>
            <w:r w:rsidRPr="006D689E">
              <w:lastRenderedPageBreak/>
              <w:t>předepíše produkt („</w:t>
            </w:r>
            <w:r w:rsidRPr="006D689E">
              <w:rPr>
                <w:b/>
              </w:rPr>
              <w:t>aferetický nebo aferézní materiál</w:t>
            </w:r>
            <w:r w:rsidRPr="006D689E">
              <w:t xml:space="preserve">“); </w:t>
            </w:r>
            <w:bookmarkEnd w:id="4"/>
          </w:p>
        </w:tc>
        <w:tc>
          <w:tcPr>
            <w:tcW w:w="2452" w:type="pct"/>
          </w:tcPr>
          <w:p w14:paraId="0A35828C" w14:textId="6F54F0F6" w:rsidR="00C32FF1" w:rsidRPr="0031164B" w:rsidRDefault="00C32FF1" w:rsidP="00C32FF1">
            <w:pPr>
              <w:pStyle w:val="Zkladntext"/>
              <w:widowControl/>
              <w:adjustRightInd/>
              <w:ind w:firstLine="0"/>
              <w:rPr>
                <w:b/>
                <w:lang w:val="en-GB"/>
              </w:rPr>
            </w:pPr>
            <w:r w:rsidRPr="0031164B">
              <w:rPr>
                <w:b/>
                <w:lang w:val="en-GB"/>
              </w:rPr>
              <w:lastRenderedPageBreak/>
              <w:t>WHEREAS</w:t>
            </w:r>
            <w:r w:rsidRPr="0031164B">
              <w:rPr>
                <w:lang w:val="en-GB"/>
              </w:rPr>
              <w:t>, BMS’ manufacturing of autologous Products requires the collection of mononuclear cells from each patient prescribed a Product by a licensed healthcare practitioner (the “</w:t>
            </w:r>
            <w:r w:rsidRPr="0031164B">
              <w:rPr>
                <w:b/>
                <w:lang w:val="en-GB"/>
              </w:rPr>
              <w:t>Apheresis Materials</w:t>
            </w:r>
            <w:r w:rsidRPr="0031164B">
              <w:rPr>
                <w:lang w:val="en-GB"/>
              </w:rPr>
              <w:t xml:space="preserve">”); </w:t>
            </w:r>
          </w:p>
        </w:tc>
      </w:tr>
      <w:bookmarkEnd w:id="3"/>
      <w:tr w:rsidR="00C32FF1" w:rsidRPr="0031164B" w14:paraId="6B2EBB20" w14:textId="771614B5" w:rsidTr="00830D19">
        <w:tc>
          <w:tcPr>
            <w:tcW w:w="2548" w:type="pct"/>
          </w:tcPr>
          <w:p w14:paraId="30DB6141" w14:textId="4C08286C" w:rsidR="00C32FF1" w:rsidRPr="006D689E" w:rsidRDefault="00C32FF1" w:rsidP="00C32FF1">
            <w:pPr>
              <w:pStyle w:val="Zkladntext"/>
              <w:widowControl/>
              <w:adjustRightInd/>
              <w:ind w:firstLine="0"/>
            </w:pPr>
            <w:r w:rsidRPr="006D689E">
              <w:rPr>
                <w:b/>
              </w:rPr>
              <w:t>VZHLEDEM K TOMU, že</w:t>
            </w:r>
            <w:r w:rsidRPr="006D689E">
              <w:t xml:space="preserve"> </w:t>
            </w:r>
            <w:r w:rsidR="000B789C">
              <w:t>centrum</w:t>
            </w:r>
            <w:r w:rsidRPr="006D689E">
              <w:t xml:space="preserve"> je zdravotnick</w:t>
            </w:r>
            <w:r w:rsidR="009B07A4">
              <w:t>ým zařízením</w:t>
            </w:r>
            <w:r w:rsidRPr="006D689E">
              <w:t>, kter</w:t>
            </w:r>
            <w:r w:rsidR="009B07A4">
              <w:t>é</w:t>
            </w:r>
            <w:r w:rsidRPr="006D689E">
              <w:t xml:space="preserve"> léčí pacienty, kteří mohou být vhodní pro užití produkt</w:t>
            </w:r>
            <w:r w:rsidR="001314E7">
              <w:t>u</w:t>
            </w:r>
            <w:r w:rsidRPr="006D689E">
              <w:t>, a má odborné znalosti v oblasti získávání lidských buněčných a tkáňových produktů, včetně mononukleárních buněk, prostřednictvím provádění aferézních postupů; a</w:t>
            </w:r>
          </w:p>
        </w:tc>
        <w:tc>
          <w:tcPr>
            <w:tcW w:w="2452" w:type="pct"/>
          </w:tcPr>
          <w:p w14:paraId="25255A84" w14:textId="28ACF73E" w:rsidR="00C32FF1" w:rsidRPr="0031164B" w:rsidRDefault="00C32FF1" w:rsidP="00C32FF1">
            <w:pPr>
              <w:pStyle w:val="Zkladntext"/>
              <w:widowControl/>
              <w:adjustRightInd/>
              <w:ind w:firstLine="0"/>
              <w:rPr>
                <w:b/>
                <w:lang w:val="en-GB"/>
              </w:rPr>
            </w:pPr>
            <w:r w:rsidRPr="0031164B">
              <w:rPr>
                <w:b/>
                <w:lang w:val="en-GB"/>
              </w:rPr>
              <w:t>WHEREAS</w:t>
            </w:r>
            <w:r w:rsidRPr="0031164B">
              <w:rPr>
                <w:lang w:val="en-GB"/>
              </w:rPr>
              <w:t>, Center is a healthcare organization that treats patients who may be appropriate for a Product and has expertise in collecting human cellular and tissue-based product, including mononuclear cells through the performance of apheresis procedures; and</w:t>
            </w:r>
          </w:p>
        </w:tc>
      </w:tr>
      <w:tr w:rsidR="00C32FF1" w:rsidRPr="0031164B" w14:paraId="3E0730E9" w14:textId="3121AAE3" w:rsidTr="00830D19">
        <w:tc>
          <w:tcPr>
            <w:tcW w:w="2548" w:type="pct"/>
          </w:tcPr>
          <w:p w14:paraId="7ACDA385" w14:textId="4B6BE0E6" w:rsidR="00C32FF1" w:rsidRPr="006D689E" w:rsidRDefault="00C32FF1" w:rsidP="00C32FF1">
            <w:pPr>
              <w:pStyle w:val="Zkladntext"/>
              <w:widowControl/>
              <w:adjustRightInd/>
              <w:ind w:firstLine="0"/>
              <w:rPr>
                <w:b/>
                <w:i/>
              </w:rPr>
            </w:pPr>
            <w:r w:rsidRPr="006D689E">
              <w:rPr>
                <w:b/>
              </w:rPr>
              <w:t>VZHLEDEM K TOMU, že</w:t>
            </w:r>
            <w:r w:rsidRPr="006D689E">
              <w:t xml:space="preserve"> si smluvní strany přejí, aby se </w:t>
            </w:r>
            <w:r w:rsidR="009B07A4">
              <w:t>centrum</w:t>
            </w:r>
            <w:r w:rsidRPr="006D689E">
              <w:t xml:space="preserve"> stalo Kvalifikovaným </w:t>
            </w:r>
            <w:r w:rsidR="009E7DDB">
              <w:t>centrem</w:t>
            </w:r>
            <w:r w:rsidRPr="006D689E">
              <w:t xml:space="preserve">, které bude oprávněno léčit své pacienty jedním nebo více produkty, přičemž </w:t>
            </w:r>
            <w:r w:rsidR="009E7DDB">
              <w:t>centrum</w:t>
            </w:r>
            <w:r w:rsidRPr="006D689E">
              <w:t xml:space="preserve"> bude poskytovat společnosti BMS aferetické materiály a společnost BMS bude vyrábět a poskytovat produkt </w:t>
            </w:r>
            <w:r w:rsidR="009E7DDB">
              <w:t>centru</w:t>
            </w:r>
            <w:r w:rsidRPr="006D689E">
              <w:t xml:space="preserve">; </w:t>
            </w:r>
          </w:p>
        </w:tc>
        <w:tc>
          <w:tcPr>
            <w:tcW w:w="2452" w:type="pct"/>
          </w:tcPr>
          <w:p w14:paraId="73A587B9" w14:textId="0E95D254" w:rsidR="00C32FF1" w:rsidRPr="0031164B" w:rsidRDefault="00C32FF1" w:rsidP="00C32FF1">
            <w:pPr>
              <w:pStyle w:val="Zkladntext"/>
              <w:widowControl/>
              <w:adjustRightInd/>
              <w:ind w:firstLine="0"/>
              <w:rPr>
                <w:b/>
                <w:lang w:val="en-GB"/>
              </w:rPr>
            </w:pPr>
            <w:r w:rsidRPr="0031164B">
              <w:rPr>
                <w:b/>
                <w:lang w:val="en-GB"/>
              </w:rPr>
              <w:t>WHEREAS</w:t>
            </w:r>
            <w:r w:rsidRPr="0031164B">
              <w:rPr>
                <w:lang w:val="en-GB"/>
              </w:rPr>
              <w:t xml:space="preserve">, the Parties desire for Center to become a Qualified Center eligible to treat its patients with one or more Products, where Center shall provide Apheresis Materials to BMS and BMS will manufacture and provide the Product to Center; </w:t>
            </w:r>
          </w:p>
        </w:tc>
      </w:tr>
      <w:tr w:rsidR="00C32FF1" w:rsidRPr="0031164B" w14:paraId="6130F28D" w14:textId="40335421" w:rsidTr="00830D19">
        <w:tc>
          <w:tcPr>
            <w:tcW w:w="2548" w:type="pct"/>
          </w:tcPr>
          <w:p w14:paraId="34EC1D68" w14:textId="77777777" w:rsidR="00C32FF1" w:rsidRPr="006D689E" w:rsidRDefault="00C32FF1" w:rsidP="00C32FF1">
            <w:pPr>
              <w:pStyle w:val="Zkladntext"/>
              <w:widowControl/>
              <w:adjustRightInd/>
              <w:ind w:firstLine="0"/>
            </w:pPr>
            <w:bookmarkStart w:id="5" w:name="_DV_M4"/>
            <w:bookmarkStart w:id="6" w:name="_DV_M6"/>
            <w:bookmarkStart w:id="7" w:name="_DV_M7"/>
            <w:bookmarkStart w:id="8" w:name="_DV_M8"/>
            <w:bookmarkStart w:id="9" w:name="_DV_M9"/>
            <w:bookmarkEnd w:id="5"/>
            <w:bookmarkEnd w:id="6"/>
            <w:bookmarkEnd w:id="7"/>
            <w:bookmarkEnd w:id="8"/>
            <w:bookmarkEnd w:id="9"/>
            <w:r w:rsidRPr="006D689E">
              <w:rPr>
                <w:b/>
              </w:rPr>
              <w:t>SMLUVNÍ STRANY SE PROTO</w:t>
            </w:r>
            <w:r w:rsidRPr="006D689E">
              <w:t xml:space="preserve"> s ohledem na vzájemné závazky a dohody obsažené v této smlouvě dohodly takto:</w:t>
            </w:r>
          </w:p>
        </w:tc>
        <w:tc>
          <w:tcPr>
            <w:tcW w:w="2452" w:type="pct"/>
          </w:tcPr>
          <w:p w14:paraId="0C2F4A5C" w14:textId="24B29AF6" w:rsidR="00C32FF1" w:rsidRPr="0031164B" w:rsidRDefault="00C32FF1" w:rsidP="00C32FF1">
            <w:pPr>
              <w:pStyle w:val="Zkladntext"/>
              <w:widowControl/>
              <w:adjustRightInd/>
              <w:ind w:firstLine="0"/>
              <w:rPr>
                <w:b/>
                <w:lang w:val="en-GB"/>
              </w:rPr>
            </w:pPr>
            <w:r w:rsidRPr="0031164B">
              <w:rPr>
                <w:b/>
                <w:lang w:val="en-GB"/>
              </w:rPr>
              <w:t>NOW, THEREFORE</w:t>
            </w:r>
            <w:r w:rsidRPr="0031164B">
              <w:rPr>
                <w:lang w:val="en-GB"/>
              </w:rPr>
              <w:t>, in consideration of the mutual covenants and agreements contained in this Agreement, the Parties agree as follows:</w:t>
            </w:r>
          </w:p>
        </w:tc>
      </w:tr>
      <w:tr w:rsidR="00C32FF1" w:rsidRPr="0031164B" w14:paraId="022EA393" w14:textId="16018C50" w:rsidTr="00830D19">
        <w:tc>
          <w:tcPr>
            <w:tcW w:w="2548" w:type="pct"/>
          </w:tcPr>
          <w:p w14:paraId="2DD5E7E9" w14:textId="77777777" w:rsidR="00C32FF1" w:rsidRPr="006D689E" w:rsidRDefault="00C32FF1" w:rsidP="00C32FF1">
            <w:pPr>
              <w:pStyle w:val="Legal1L1"/>
              <w:widowControl/>
              <w:numPr>
                <w:ilvl w:val="0"/>
                <w:numId w:val="1"/>
              </w:numPr>
              <w:tabs>
                <w:tab w:val="left" w:pos="1440"/>
              </w:tabs>
              <w:adjustRightInd/>
              <w:ind w:left="0" w:firstLine="0"/>
              <w:outlineLvl w:val="9"/>
            </w:pPr>
            <w:r w:rsidRPr="006D689E">
              <w:rPr>
                <w:b/>
                <w:u w:val="none"/>
              </w:rPr>
              <w:t>DEFINICE</w:t>
            </w:r>
          </w:p>
        </w:tc>
        <w:tc>
          <w:tcPr>
            <w:tcW w:w="2452" w:type="pct"/>
          </w:tcPr>
          <w:p w14:paraId="54708BF0" w14:textId="72EF9CEA" w:rsidR="00C32FF1" w:rsidRPr="0031164B" w:rsidRDefault="00C32FF1" w:rsidP="00CD4205">
            <w:pPr>
              <w:pStyle w:val="Legal1L1"/>
              <w:widowControl/>
              <w:numPr>
                <w:ilvl w:val="0"/>
                <w:numId w:val="22"/>
              </w:numPr>
              <w:tabs>
                <w:tab w:val="left" w:pos="1440"/>
              </w:tabs>
              <w:adjustRightInd/>
              <w:outlineLvl w:val="9"/>
              <w:rPr>
                <w:b/>
                <w:u w:val="none"/>
                <w:lang w:val="en-GB"/>
              </w:rPr>
            </w:pPr>
            <w:r w:rsidRPr="0031164B">
              <w:rPr>
                <w:b/>
                <w:u w:val="none"/>
                <w:lang w:val="en-GB"/>
              </w:rPr>
              <w:t>DEFINITIONS</w:t>
            </w:r>
          </w:p>
        </w:tc>
      </w:tr>
      <w:tr w:rsidR="00C32FF1" w:rsidRPr="0031164B" w14:paraId="5FD31C9E" w14:textId="54B77819" w:rsidTr="00830D19">
        <w:tc>
          <w:tcPr>
            <w:tcW w:w="2548" w:type="pct"/>
          </w:tcPr>
          <w:p w14:paraId="5245EE48" w14:textId="77777777" w:rsidR="00C32FF1" w:rsidRPr="006D689E" w:rsidRDefault="00C32FF1" w:rsidP="00C32FF1">
            <w:pPr>
              <w:pStyle w:val="Legal1L2"/>
              <w:ind w:left="0"/>
              <w:rPr>
                <w:rFonts w:eastAsia="Times New Roman"/>
                <w:w w:val="100"/>
                <w:sz w:val="24"/>
                <w:szCs w:val="24"/>
                <w:u w:val="single"/>
              </w:rPr>
            </w:pPr>
            <w:bookmarkStart w:id="10" w:name="_Ref39069685"/>
            <w:bookmarkStart w:id="11" w:name="_Hlk38441380"/>
            <w:r w:rsidRPr="006D689E">
              <w:rPr>
                <w:w w:val="100"/>
                <w:sz w:val="24"/>
                <w:szCs w:val="24"/>
                <w:u w:val="single"/>
              </w:rPr>
              <w:t>Definice pojmů</w:t>
            </w:r>
            <w:bookmarkEnd w:id="10"/>
            <w:r w:rsidRPr="006D689E">
              <w:rPr>
                <w:w w:val="100"/>
                <w:sz w:val="24"/>
                <w:szCs w:val="24"/>
                <w:u w:val="single"/>
              </w:rPr>
              <w:t xml:space="preserve"> </w:t>
            </w:r>
          </w:p>
        </w:tc>
        <w:tc>
          <w:tcPr>
            <w:tcW w:w="2452" w:type="pct"/>
          </w:tcPr>
          <w:p w14:paraId="1D8748C0" w14:textId="6D63BD22" w:rsidR="00C32FF1" w:rsidRPr="0031164B" w:rsidRDefault="00C32FF1" w:rsidP="00CD4205">
            <w:pPr>
              <w:pStyle w:val="Legal1L2"/>
              <w:numPr>
                <w:ilvl w:val="1"/>
                <w:numId w:val="23"/>
              </w:numPr>
              <w:rPr>
                <w:rFonts w:eastAsia="Times New Roman"/>
                <w:w w:val="100"/>
                <w:sz w:val="24"/>
                <w:szCs w:val="24"/>
                <w:u w:val="single"/>
                <w:lang w:val="en-GB"/>
              </w:rPr>
            </w:pPr>
            <w:r w:rsidRPr="0031164B">
              <w:rPr>
                <w:w w:val="100"/>
                <w:sz w:val="24"/>
                <w:szCs w:val="24"/>
                <w:u w:val="single"/>
                <w:lang w:val="en-GB"/>
              </w:rPr>
              <w:t xml:space="preserve">Defined Terms </w:t>
            </w:r>
          </w:p>
        </w:tc>
      </w:tr>
      <w:tr w:rsidR="00C32FF1" w:rsidRPr="0031164B" w14:paraId="64192B8F" w14:textId="6BA3BB66" w:rsidTr="00830D19">
        <w:tc>
          <w:tcPr>
            <w:tcW w:w="2548" w:type="pct"/>
          </w:tcPr>
          <w:p w14:paraId="40FDCFC9" w14:textId="77777777" w:rsidR="00C32FF1" w:rsidRPr="006D689E" w:rsidRDefault="00C32FF1" w:rsidP="00C32FF1">
            <w:pPr>
              <w:pStyle w:val="HeadingBody2"/>
              <w:spacing w:after="240" w:line="240" w:lineRule="auto"/>
              <w:ind w:right="0"/>
              <w:jc w:val="both"/>
              <w:rPr>
                <w:rFonts w:eastAsia="Times New Roman"/>
                <w:w w:val="100"/>
                <w:lang w:eastAsia="ja-JP"/>
              </w:rPr>
            </w:pPr>
            <w:bookmarkStart w:id="12" w:name="_Hlk38441393"/>
            <w:bookmarkEnd w:id="11"/>
            <w:r w:rsidRPr="006D689E">
              <w:rPr>
                <w:rFonts w:eastAsia="Times New Roman"/>
                <w:w w:val="100"/>
                <w:lang w:eastAsia="ja-JP"/>
              </w:rPr>
              <w:t xml:space="preserve"> Následující slova a výrazy použité v této smlouvě mají následující význam, ať už jsou použity v jednotném nebo množném čísle:</w:t>
            </w:r>
          </w:p>
        </w:tc>
        <w:tc>
          <w:tcPr>
            <w:tcW w:w="2452" w:type="pct"/>
          </w:tcPr>
          <w:p w14:paraId="035930B1" w14:textId="265BB292" w:rsidR="00C32FF1" w:rsidRPr="0031164B" w:rsidRDefault="00C32FF1" w:rsidP="00C32FF1">
            <w:pPr>
              <w:pStyle w:val="HeadingBody2"/>
              <w:spacing w:after="240" w:line="240" w:lineRule="auto"/>
              <w:ind w:right="0"/>
              <w:jc w:val="both"/>
              <w:rPr>
                <w:rFonts w:eastAsia="Times New Roman"/>
                <w:w w:val="100"/>
                <w:lang w:val="en-GB" w:eastAsia="ja-JP"/>
              </w:rPr>
            </w:pPr>
            <w:r w:rsidRPr="001314E7">
              <w:rPr>
                <w:rFonts w:eastAsia="Times New Roman"/>
                <w:w w:val="100"/>
                <w:lang w:eastAsia="ja-JP"/>
              </w:rPr>
              <w:t xml:space="preserve"> </w:t>
            </w:r>
            <w:r w:rsidRPr="0031164B">
              <w:rPr>
                <w:rFonts w:eastAsia="Times New Roman"/>
                <w:w w:val="100"/>
                <w:lang w:val="en-GB" w:eastAsia="ja-JP"/>
              </w:rPr>
              <w:t>As used in this Agreement, the following words and phrases will have the following meanings, whether used in the singular or plural:</w:t>
            </w:r>
          </w:p>
        </w:tc>
      </w:tr>
      <w:tr w:rsidR="00C32FF1" w:rsidRPr="0031164B" w14:paraId="4F03C10C" w14:textId="16E66B7B" w:rsidTr="00830D19">
        <w:tc>
          <w:tcPr>
            <w:tcW w:w="2548" w:type="pct"/>
          </w:tcPr>
          <w:p w14:paraId="34A8E91D" w14:textId="77777777" w:rsidR="00C32FF1" w:rsidRPr="006D689E" w:rsidRDefault="00C32FF1" w:rsidP="00C32FF1">
            <w:pPr>
              <w:jc w:val="both"/>
            </w:pPr>
            <w:r w:rsidRPr="006D689E">
              <w:t>„</w:t>
            </w:r>
            <w:r w:rsidRPr="006D689E">
              <w:rPr>
                <w:b/>
              </w:rPr>
              <w:t>Přidružená společnost</w:t>
            </w:r>
            <w:r w:rsidRPr="006D689E">
              <w:t>“ znamená ve vztahu ke kterékoli ze smluvních stran jakoukoli společnost nebo jiný subjekt, který přímo nebo nepřímo ovládá smluvní stranu této smlouvy, je jí ovládán nebo je s ní pod společnou kontrolou. „Ovládáním“ se rozumí pravomoc přímo nebo nepřímo jmenovat většinu členů představenstva nebo jinak řídit či ovlivňovat řízení nebo politiku takové společnosti nebo subjektu, ať už prostřednictvím spoluvlastnictví, smlouvy nebo jinak.</w:t>
            </w:r>
          </w:p>
        </w:tc>
        <w:tc>
          <w:tcPr>
            <w:tcW w:w="2452" w:type="pct"/>
          </w:tcPr>
          <w:p w14:paraId="20B61431" w14:textId="26DE5033" w:rsidR="00C32FF1" w:rsidRPr="0031164B" w:rsidRDefault="00C32FF1" w:rsidP="00C32FF1">
            <w:pPr>
              <w:jc w:val="both"/>
              <w:rPr>
                <w:lang w:val="en-GB"/>
              </w:rPr>
            </w:pPr>
            <w:r w:rsidRPr="0031164B">
              <w:rPr>
                <w:lang w:val="en-GB"/>
              </w:rPr>
              <w:t>“</w:t>
            </w:r>
            <w:r w:rsidRPr="0031164B">
              <w:rPr>
                <w:b/>
                <w:lang w:val="en-GB"/>
              </w:rPr>
              <w:t>Affiliate</w:t>
            </w:r>
            <w:r w:rsidRPr="0031164B">
              <w:rPr>
                <w:lang w:val="en-GB"/>
              </w:rPr>
              <w:t>” means with respect to either Party, any company or other entity directly or indirectly controlling, controlled by or under common control with a Party to this Agreement. “Control” shall mean the power to directly or indirectly, appoint a majority of the directors, or to otherwise direct or cause the direction of the management or polices of such company or entity whether through shared ownership, by contract or otherwise.</w:t>
            </w:r>
          </w:p>
        </w:tc>
      </w:tr>
      <w:tr w:rsidR="00C32FF1" w:rsidRPr="0031164B" w14:paraId="12E4101D" w14:textId="570F45F0" w:rsidTr="00830D19">
        <w:tc>
          <w:tcPr>
            <w:tcW w:w="2548" w:type="pct"/>
          </w:tcPr>
          <w:p w14:paraId="0ECE140E" w14:textId="049FA9C1" w:rsidR="00C32FF1" w:rsidRPr="006D689E" w:rsidRDefault="00C32FF1" w:rsidP="00C32FF1">
            <w:pPr>
              <w:widowControl/>
              <w:spacing w:line="264" w:lineRule="auto"/>
              <w:contextualSpacing/>
              <w:jc w:val="both"/>
            </w:pPr>
            <w:r w:rsidRPr="006D689E">
              <w:rPr>
                <w:b/>
              </w:rPr>
              <w:t>„Platné právo</w:t>
            </w:r>
            <w:r w:rsidRPr="006D689E">
              <w:t xml:space="preserve">“ znamená veškeré mezinárodní, evropské a vnitrostátní právní předpisy, nařízení a vyhlášky, v platném znění, které se </w:t>
            </w:r>
            <w:r w:rsidRPr="006D689E">
              <w:lastRenderedPageBreak/>
              <w:t>vztahují na plnění a/nebo povinnosti smluvních stran podle této smlouvy, mimo jiné včetně: (i) nařízení EU 2016/679 („</w:t>
            </w:r>
            <w:r w:rsidRPr="006D689E">
              <w:rPr>
                <w:b/>
              </w:rPr>
              <w:t>GDPR</w:t>
            </w:r>
            <w:r w:rsidRPr="006D689E">
              <w:t xml:space="preserve">“) a veškeré související vnitrostátní právní předpisy země, kde se </w:t>
            </w:r>
            <w:r w:rsidR="00412977">
              <w:t>Centru</w:t>
            </w:r>
            <w:r w:rsidR="00F35A7B">
              <w:t>m</w:t>
            </w:r>
            <w:r w:rsidR="00412977" w:rsidRPr="006D689E">
              <w:t xml:space="preserve"> </w:t>
            </w:r>
            <w:r w:rsidRPr="006D689E">
              <w:t>nachází, týkající se ochrany soukromí, ochrany údajů a/nebo bezpečnosti osobních zdravotních údajů; (ii) platné správné výrobní postupy („</w:t>
            </w:r>
            <w:r w:rsidRPr="006D689E">
              <w:rPr>
                <w:b/>
              </w:rPr>
              <w:t>SVP</w:t>
            </w:r>
            <w:r w:rsidRPr="006D689E">
              <w:t>“), které se vztahují na výrobu produktů prováděnou společností BMS; (iii) nařízení EU č. 1394/2007 o léčivých přípravcích pro moderní terapii („</w:t>
            </w:r>
            <w:r w:rsidRPr="006D689E">
              <w:rPr>
                <w:b/>
              </w:rPr>
              <w:t>Nařízení ATMP</w:t>
            </w:r>
            <w:r w:rsidRPr="006D689E">
              <w:t>“); (iv) směrnice 2004/23/ES o stanovení jakostních a bezpečnostních norem pro darování, odběr, vyšetřování, zpracování, konzervaci, skladování a distribuci lidských tkání a buněk („Evropská směrnice o tkáních a buňkách“) a její prováděcí směrnice; (v) zákon č. 296/2008 Sb., o zajištění jakosti a bezpečnosti lidských tkání a buněk určených k použití u člověka a o změně souvisejících zákonů (zákon o lidských tkáních a buňkách), ve znění pozdějších předpisů.</w:t>
            </w:r>
          </w:p>
        </w:tc>
        <w:tc>
          <w:tcPr>
            <w:tcW w:w="2452" w:type="pct"/>
          </w:tcPr>
          <w:p w14:paraId="7FFAF042" w14:textId="39B7811B" w:rsidR="00C32FF1" w:rsidRPr="0031164B" w:rsidRDefault="00C32FF1" w:rsidP="00C32FF1">
            <w:pPr>
              <w:widowControl/>
              <w:spacing w:line="264" w:lineRule="auto"/>
              <w:contextualSpacing/>
              <w:jc w:val="both"/>
              <w:rPr>
                <w:b/>
                <w:lang w:val="en-GB"/>
              </w:rPr>
            </w:pPr>
            <w:r w:rsidRPr="0031164B">
              <w:rPr>
                <w:b/>
                <w:lang w:val="en-GB"/>
              </w:rPr>
              <w:lastRenderedPageBreak/>
              <w:t>“Applicable Law</w:t>
            </w:r>
            <w:r w:rsidRPr="0031164B">
              <w:rPr>
                <w:lang w:val="en-GB"/>
              </w:rPr>
              <w:t xml:space="preserve">” means all international, European and national legislation, regulations and ordinances, as may be amended from time </w:t>
            </w:r>
            <w:r w:rsidRPr="0031164B">
              <w:rPr>
                <w:lang w:val="en-GB"/>
              </w:rPr>
              <w:lastRenderedPageBreak/>
              <w:t>to time, applicable to the Parties’ performance and/or obligations hereunder, including but not limited to: (i) EU Regulation 2016/679 (“</w:t>
            </w:r>
            <w:r w:rsidRPr="0031164B">
              <w:rPr>
                <w:b/>
                <w:lang w:val="en-GB"/>
              </w:rPr>
              <w:t>GDPR</w:t>
            </w:r>
            <w:r w:rsidRPr="0031164B">
              <w:rPr>
                <w:lang w:val="en-GB"/>
              </w:rPr>
              <w:t>”) and any associated national law of the country where the Center is located relating to the privacy, data protection and/or security of personal health data; (ii) current Good Manufacturing Practices (“</w:t>
            </w:r>
            <w:r w:rsidRPr="0031164B">
              <w:rPr>
                <w:b/>
                <w:lang w:val="en-GB"/>
              </w:rPr>
              <w:t>GMPs</w:t>
            </w:r>
            <w:r w:rsidRPr="0031164B">
              <w:rPr>
                <w:lang w:val="en-GB"/>
              </w:rPr>
              <w:t>”), applicable to the manufacturing of Products performed by BMS; (iii) the EU Regulation 1394/2007 on advanced therapy medicinal products  (“</w:t>
            </w:r>
            <w:r w:rsidRPr="0031164B">
              <w:rPr>
                <w:b/>
                <w:lang w:val="en-GB"/>
              </w:rPr>
              <w:t>ATMP Regulation</w:t>
            </w:r>
            <w:r w:rsidRPr="0031164B">
              <w:rPr>
                <w:lang w:val="en-GB"/>
              </w:rPr>
              <w:t>”); (iv) Directive 2004/23/EC on setting standards of quality and safety for the donation, procurement, testing, processing, preservation, storage and distribution of human tissues and cells (“European Tissues and Cells Directive”) and its Implementing Directives; (v)  Act No. 296/2008 Sb., on Safeguarding the Quality and Safety of Human Tissues and Cells Intended for Use in Man and on Amendments to Related Acts (Act on Human Tissues and Cells), as amended.</w:t>
            </w:r>
          </w:p>
        </w:tc>
      </w:tr>
      <w:tr w:rsidR="00C32FF1" w:rsidRPr="0031164B" w14:paraId="016AB80D" w14:textId="3A4401B6" w:rsidTr="00830D19">
        <w:tc>
          <w:tcPr>
            <w:tcW w:w="2548" w:type="pct"/>
          </w:tcPr>
          <w:p w14:paraId="34782D32" w14:textId="7C400E8D" w:rsidR="00C32FF1" w:rsidRPr="006D689E" w:rsidRDefault="00C32FF1" w:rsidP="00C32FF1">
            <w:pPr>
              <w:pStyle w:val="Style1"/>
              <w:numPr>
                <w:ilvl w:val="0"/>
                <w:numId w:val="0"/>
              </w:numPr>
              <w:rPr>
                <w:rFonts w:eastAsia="Times New Roman"/>
                <w:w w:val="100"/>
              </w:rPr>
            </w:pPr>
            <w:r w:rsidRPr="006D689E">
              <w:rPr>
                <w:b/>
                <w:bCs/>
                <w:w w:val="100"/>
              </w:rPr>
              <w:lastRenderedPageBreak/>
              <w:t>„Systémy BMS“</w:t>
            </w:r>
            <w:r w:rsidRPr="006D689E">
              <w:rPr>
                <w:w w:val="100"/>
              </w:rPr>
              <w:t xml:space="preserve"> znamenají jakýkoli elektronický systém spravovaný společností BMS a zpřístupněný </w:t>
            </w:r>
            <w:r w:rsidR="00A519DB">
              <w:rPr>
                <w:w w:val="100"/>
              </w:rPr>
              <w:t>C</w:t>
            </w:r>
            <w:r w:rsidR="00544E76">
              <w:rPr>
                <w:w w:val="100"/>
              </w:rPr>
              <w:t>entru</w:t>
            </w:r>
            <w:r w:rsidRPr="006D689E">
              <w:rPr>
                <w:w w:val="100"/>
              </w:rPr>
              <w:t xml:space="preserve"> a případně dalším třetím stranám zapojeným do procesu výroby produktu BMS za účelem sdílení a předávání informací týkajících se provádění aferézních služeb a dodávek produktu. </w:t>
            </w:r>
          </w:p>
        </w:tc>
        <w:tc>
          <w:tcPr>
            <w:tcW w:w="2452" w:type="pct"/>
          </w:tcPr>
          <w:p w14:paraId="5E026846" w14:textId="7A818407" w:rsidR="00C32FF1" w:rsidRPr="0031164B" w:rsidRDefault="00C32FF1" w:rsidP="00C32FF1">
            <w:pPr>
              <w:pStyle w:val="Style1"/>
              <w:numPr>
                <w:ilvl w:val="0"/>
                <w:numId w:val="0"/>
              </w:numPr>
              <w:rPr>
                <w:rFonts w:eastAsia="Times New Roman"/>
                <w:b/>
                <w:bCs/>
                <w:w w:val="100"/>
                <w:lang w:val="en-GB"/>
              </w:rPr>
            </w:pPr>
            <w:r w:rsidRPr="0031164B">
              <w:rPr>
                <w:b/>
                <w:bCs/>
                <w:w w:val="100"/>
                <w:lang w:val="en-GB"/>
              </w:rPr>
              <w:t>“BMS Systems”</w:t>
            </w:r>
            <w:r w:rsidRPr="0031164B">
              <w:rPr>
                <w:w w:val="100"/>
                <w:lang w:val="en-GB"/>
              </w:rPr>
              <w:t xml:space="preserve"> means any electronic system maintained by BMS and made available to the Center and, where applicable, other third parties involved in the BMS Product manufacturing process, for the purpose of sharing and communicating information relating to the performance of the Apheresis Services and Product Delivery. </w:t>
            </w:r>
          </w:p>
        </w:tc>
      </w:tr>
      <w:tr w:rsidR="00C32FF1" w:rsidRPr="0031164B" w14:paraId="49E12562" w14:textId="1BEA606B" w:rsidTr="00830D19">
        <w:tc>
          <w:tcPr>
            <w:tcW w:w="2548" w:type="pct"/>
          </w:tcPr>
          <w:p w14:paraId="762378E0" w14:textId="407B3554" w:rsidR="00C32FF1" w:rsidRPr="006D689E" w:rsidRDefault="00C32FF1" w:rsidP="0031164B">
            <w:pPr>
              <w:pStyle w:val="Style1"/>
              <w:numPr>
                <w:ilvl w:val="0"/>
                <w:numId w:val="0"/>
              </w:numPr>
              <w:tabs>
                <w:tab w:val="left" w:pos="720"/>
              </w:tabs>
              <w:outlineLvl w:val="9"/>
              <w:rPr>
                <w:rFonts w:eastAsia="Times New Roman"/>
                <w:w w:val="100"/>
              </w:rPr>
            </w:pPr>
            <w:r w:rsidRPr="006D689E">
              <w:rPr>
                <w:b/>
                <w:w w:val="100"/>
              </w:rPr>
              <w:t xml:space="preserve"> „Portál“</w:t>
            </w:r>
            <w:r w:rsidRPr="006D689E">
              <w:rPr>
                <w:w w:val="100"/>
              </w:rPr>
              <w:t xml:space="preserve"> znamená systém spravovaný společností BMS a zpřístupněný </w:t>
            </w:r>
            <w:r w:rsidR="00E51966">
              <w:rPr>
                <w:w w:val="100"/>
              </w:rPr>
              <w:t>Centru</w:t>
            </w:r>
            <w:r w:rsidR="00E51966" w:rsidRPr="006D689E">
              <w:rPr>
                <w:w w:val="100"/>
              </w:rPr>
              <w:t xml:space="preserve"> </w:t>
            </w:r>
            <w:r w:rsidRPr="006D689E">
              <w:rPr>
                <w:w w:val="100"/>
              </w:rPr>
              <w:t xml:space="preserve">za účelem sdílení informací mezi smluvními stranami, které umožní léčbu pacienta produktem, mimo jiné včetně registrace pacienta, vyzvednutí aferetických materiálů a dodání produktu. </w:t>
            </w:r>
          </w:p>
        </w:tc>
        <w:tc>
          <w:tcPr>
            <w:tcW w:w="2452" w:type="pct"/>
          </w:tcPr>
          <w:p w14:paraId="09819C6D" w14:textId="55B2FF8C" w:rsidR="00C32FF1" w:rsidRPr="0031164B" w:rsidRDefault="00C32FF1" w:rsidP="00C32FF1">
            <w:pPr>
              <w:pStyle w:val="Style1"/>
              <w:numPr>
                <w:ilvl w:val="0"/>
                <w:numId w:val="0"/>
              </w:numPr>
              <w:tabs>
                <w:tab w:val="left" w:pos="720"/>
              </w:tabs>
              <w:rPr>
                <w:rFonts w:eastAsia="Times New Roman"/>
                <w:b/>
                <w:w w:val="100"/>
                <w:lang w:val="en-GB"/>
              </w:rPr>
            </w:pPr>
            <w:r w:rsidRPr="001314E7">
              <w:rPr>
                <w:b/>
                <w:w w:val="100"/>
              </w:rPr>
              <w:t xml:space="preserve"> </w:t>
            </w:r>
            <w:r w:rsidRPr="0031164B">
              <w:rPr>
                <w:b/>
                <w:w w:val="100"/>
                <w:lang w:val="en-GB"/>
              </w:rPr>
              <w:t>“Portal”</w:t>
            </w:r>
            <w:r w:rsidRPr="0031164B">
              <w:rPr>
                <w:w w:val="100"/>
                <w:lang w:val="en-GB"/>
              </w:rPr>
              <w:t xml:space="preserve"> means a system maintained by BMS and made available to Center for the purpose of sharing of information between the Parties to enable treatment of patient with Product, including, but not limited to, patient enrollment, apheresis pick up, and Product Delivery. </w:t>
            </w:r>
          </w:p>
        </w:tc>
      </w:tr>
      <w:tr w:rsidR="00C32FF1" w:rsidRPr="0031164B" w14:paraId="5F12D827" w14:textId="4EB36DA5" w:rsidTr="00830D19">
        <w:tc>
          <w:tcPr>
            <w:tcW w:w="2548" w:type="pct"/>
          </w:tcPr>
          <w:p w14:paraId="5D63F74B" w14:textId="5A20D563" w:rsidR="00C32FF1" w:rsidRPr="006D689E" w:rsidRDefault="00C32FF1" w:rsidP="00C32FF1">
            <w:pPr>
              <w:pStyle w:val="Style1"/>
              <w:numPr>
                <w:ilvl w:val="0"/>
                <w:numId w:val="0"/>
              </w:numPr>
              <w:tabs>
                <w:tab w:val="left" w:pos="720"/>
              </w:tabs>
              <w:rPr>
                <w:rFonts w:eastAsia="Times New Roman"/>
                <w:w w:val="100"/>
              </w:rPr>
            </w:pPr>
            <w:r w:rsidRPr="006D689E">
              <w:rPr>
                <w:w w:val="100"/>
              </w:rPr>
              <w:t xml:space="preserve"> </w:t>
            </w:r>
            <w:r w:rsidRPr="006D689E">
              <w:rPr>
                <w:b/>
                <w:w w:val="100"/>
              </w:rPr>
              <w:t xml:space="preserve">„Regulační orgán“ </w:t>
            </w:r>
            <w:r w:rsidRPr="006D689E">
              <w:rPr>
                <w:w w:val="100"/>
              </w:rPr>
              <w:t xml:space="preserve">znamená jakýkoli vládní nebo regulační orgán, úřad, agenturu nebo subjekt, který reguluje, řídí nebo kontroluje </w:t>
            </w:r>
            <w:r w:rsidRPr="006D689E">
              <w:rPr>
                <w:w w:val="100"/>
              </w:rPr>
              <w:lastRenderedPageBreak/>
              <w:t xml:space="preserve">komercializaci, výrobu, prodej, distribuci, předepisování, podávání, používání a úhradu </w:t>
            </w:r>
            <w:r w:rsidR="009B044F">
              <w:rPr>
                <w:w w:val="100"/>
              </w:rPr>
              <w:t>klinicky prověřeného</w:t>
            </w:r>
            <w:r w:rsidR="009B044F" w:rsidRPr="006D689E">
              <w:rPr>
                <w:w w:val="100"/>
              </w:rPr>
              <w:t xml:space="preserve"> </w:t>
            </w:r>
            <w:r w:rsidRPr="006D689E">
              <w:rPr>
                <w:w w:val="100"/>
              </w:rPr>
              <w:t xml:space="preserve">léčivého přípravku. </w:t>
            </w:r>
          </w:p>
        </w:tc>
        <w:tc>
          <w:tcPr>
            <w:tcW w:w="2452" w:type="pct"/>
          </w:tcPr>
          <w:p w14:paraId="5482218A" w14:textId="4F027334" w:rsidR="00C32FF1" w:rsidRPr="0031164B" w:rsidRDefault="00C32FF1" w:rsidP="00C32FF1">
            <w:pPr>
              <w:pStyle w:val="Style1"/>
              <w:numPr>
                <w:ilvl w:val="0"/>
                <w:numId w:val="0"/>
              </w:numPr>
              <w:tabs>
                <w:tab w:val="left" w:pos="720"/>
              </w:tabs>
              <w:rPr>
                <w:rFonts w:eastAsia="Times New Roman"/>
                <w:w w:val="100"/>
                <w:lang w:val="en-GB"/>
              </w:rPr>
            </w:pPr>
            <w:r w:rsidRPr="001314E7">
              <w:rPr>
                <w:w w:val="100"/>
              </w:rPr>
              <w:lastRenderedPageBreak/>
              <w:t xml:space="preserve"> </w:t>
            </w:r>
            <w:r w:rsidRPr="0031164B">
              <w:rPr>
                <w:b/>
                <w:w w:val="100"/>
                <w:lang w:val="en-GB"/>
              </w:rPr>
              <w:t xml:space="preserve">“Regulatory Authority” </w:t>
            </w:r>
            <w:r w:rsidRPr="0031164B">
              <w:rPr>
                <w:w w:val="100"/>
                <w:lang w:val="en-GB"/>
              </w:rPr>
              <w:t xml:space="preserve">means any governmental or regulatory body, agency authority or entity which regulates, directs or </w:t>
            </w:r>
            <w:r w:rsidRPr="0031164B">
              <w:rPr>
                <w:w w:val="100"/>
                <w:lang w:val="en-GB"/>
              </w:rPr>
              <w:lastRenderedPageBreak/>
              <w:t xml:space="preserve">controls the commercialization, manufacture, sale, distribution, prescription, administration, use, and reimbursement of Advanced Therapeutic Medicinal Product. </w:t>
            </w:r>
          </w:p>
        </w:tc>
      </w:tr>
      <w:tr w:rsidR="00C32FF1" w:rsidRPr="0031164B" w14:paraId="71673F4A" w14:textId="7F0F524D" w:rsidTr="00830D19">
        <w:tc>
          <w:tcPr>
            <w:tcW w:w="2548" w:type="pct"/>
          </w:tcPr>
          <w:p w14:paraId="70FB3D30" w14:textId="38A71CF1" w:rsidR="00C32FF1" w:rsidRPr="006D689E" w:rsidRDefault="00C32FF1" w:rsidP="00C32FF1">
            <w:pPr>
              <w:pStyle w:val="Style1"/>
              <w:numPr>
                <w:ilvl w:val="0"/>
                <w:numId w:val="0"/>
              </w:numPr>
              <w:tabs>
                <w:tab w:val="left" w:pos="720"/>
              </w:tabs>
              <w:rPr>
                <w:rFonts w:eastAsia="Times New Roman"/>
                <w:w w:val="100"/>
              </w:rPr>
            </w:pPr>
            <w:r w:rsidRPr="006D689E">
              <w:rPr>
                <w:w w:val="100"/>
              </w:rPr>
              <w:lastRenderedPageBreak/>
              <w:t>„</w:t>
            </w:r>
            <w:r w:rsidRPr="006D689E">
              <w:rPr>
                <w:b/>
                <w:w w:val="100"/>
              </w:rPr>
              <w:t>Třetí stranou</w:t>
            </w:r>
            <w:r w:rsidRPr="006D689E">
              <w:rPr>
                <w:w w:val="100"/>
              </w:rPr>
              <w:t>“ nebo „</w:t>
            </w:r>
            <w:r w:rsidRPr="006D689E">
              <w:rPr>
                <w:b/>
                <w:w w:val="100"/>
              </w:rPr>
              <w:t>třetími stranami</w:t>
            </w:r>
            <w:r w:rsidRPr="006D689E">
              <w:rPr>
                <w:w w:val="100"/>
              </w:rPr>
              <w:t xml:space="preserve">“ se rozumí jakákoli osoba nebo subjekt, podle okolností jiný než </w:t>
            </w:r>
            <w:r w:rsidR="003874C2">
              <w:rPr>
                <w:w w:val="100"/>
              </w:rPr>
              <w:t>C</w:t>
            </w:r>
            <w:r w:rsidR="00E737A4">
              <w:rPr>
                <w:w w:val="100"/>
              </w:rPr>
              <w:t>entrum</w:t>
            </w:r>
            <w:r w:rsidRPr="006D689E">
              <w:rPr>
                <w:w w:val="100"/>
              </w:rPr>
              <w:t xml:space="preserve"> nebo BMS nebo kterákoli z jejich příslušných přidružených společností.</w:t>
            </w:r>
          </w:p>
        </w:tc>
        <w:tc>
          <w:tcPr>
            <w:tcW w:w="2452" w:type="pct"/>
          </w:tcPr>
          <w:p w14:paraId="09D55D18" w14:textId="2C0A6776" w:rsidR="00C32FF1" w:rsidRPr="0031164B" w:rsidRDefault="00C32FF1" w:rsidP="00C32FF1">
            <w:pPr>
              <w:pStyle w:val="Style1"/>
              <w:numPr>
                <w:ilvl w:val="0"/>
                <w:numId w:val="0"/>
              </w:numPr>
              <w:tabs>
                <w:tab w:val="left" w:pos="720"/>
              </w:tabs>
              <w:rPr>
                <w:rFonts w:eastAsia="Times New Roman"/>
                <w:w w:val="100"/>
                <w:lang w:val="en-GB"/>
              </w:rPr>
            </w:pPr>
            <w:r w:rsidRPr="0031164B">
              <w:rPr>
                <w:w w:val="100"/>
                <w:lang w:val="en-GB"/>
              </w:rPr>
              <w:t>“</w:t>
            </w:r>
            <w:r w:rsidRPr="0031164B">
              <w:rPr>
                <w:b/>
                <w:w w:val="100"/>
                <w:lang w:val="en-GB"/>
              </w:rPr>
              <w:t>Third Party</w:t>
            </w:r>
            <w:r w:rsidRPr="0031164B">
              <w:rPr>
                <w:w w:val="100"/>
                <w:lang w:val="en-GB"/>
              </w:rPr>
              <w:t>” or “</w:t>
            </w:r>
            <w:r w:rsidRPr="0031164B">
              <w:rPr>
                <w:b/>
                <w:w w:val="100"/>
                <w:lang w:val="en-GB"/>
              </w:rPr>
              <w:t>Third Parties</w:t>
            </w:r>
            <w:r w:rsidRPr="0031164B">
              <w:rPr>
                <w:w w:val="100"/>
                <w:lang w:val="en-GB"/>
              </w:rPr>
              <w:t>” means any person or entity, as applicable, other than Center or BMS or any of their respective Affiliates.</w:t>
            </w:r>
          </w:p>
        </w:tc>
      </w:tr>
      <w:tr w:rsidR="00C32FF1" w:rsidRPr="0031164B" w14:paraId="47E2915D" w14:textId="7ECCD5EF" w:rsidTr="00830D19">
        <w:tc>
          <w:tcPr>
            <w:tcW w:w="2548" w:type="pct"/>
          </w:tcPr>
          <w:p w14:paraId="20F3E69B" w14:textId="77777777"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t>Další definice</w:t>
            </w:r>
          </w:p>
        </w:tc>
        <w:tc>
          <w:tcPr>
            <w:tcW w:w="2452" w:type="pct"/>
          </w:tcPr>
          <w:p w14:paraId="13382465" w14:textId="262FDDFB" w:rsidR="00C32FF1" w:rsidRPr="0031164B" w:rsidRDefault="00C32FF1" w:rsidP="00CD4205">
            <w:pPr>
              <w:pStyle w:val="Legal1L2"/>
              <w:numPr>
                <w:ilvl w:val="1"/>
                <w:numId w:val="24"/>
              </w:numPr>
              <w:rPr>
                <w:rFonts w:eastAsia="Times New Roman"/>
                <w:w w:val="100"/>
                <w:lang w:val="en-GB"/>
              </w:rPr>
            </w:pPr>
            <w:r w:rsidRPr="0031164B">
              <w:rPr>
                <w:w w:val="100"/>
                <w:lang w:val="en-GB"/>
              </w:rPr>
              <w:t>Additional Definitions</w:t>
            </w:r>
          </w:p>
        </w:tc>
      </w:tr>
      <w:tr w:rsidR="00C32FF1" w:rsidRPr="0031164B" w14:paraId="53394333" w14:textId="7A0F9723" w:rsidTr="00830D19">
        <w:tc>
          <w:tcPr>
            <w:tcW w:w="2548" w:type="pct"/>
          </w:tcPr>
          <w:p w14:paraId="59EF7A72" w14:textId="0D828203" w:rsidR="00C32FF1" w:rsidRPr="006D689E" w:rsidRDefault="00C32FF1" w:rsidP="00C32FF1">
            <w:pPr>
              <w:pStyle w:val="Zkladntext"/>
              <w:ind w:firstLine="0"/>
            </w:pPr>
            <w:r w:rsidRPr="006D689E">
              <w:t xml:space="preserve">Pojmy, které nejsou definovány v oddíle </w:t>
            </w:r>
            <w:r w:rsidRPr="006D689E">
              <w:fldChar w:fldCharType="begin" w:fldLock="1"/>
            </w:r>
            <w:r w:rsidRPr="006D689E">
              <w:instrText xml:space="preserve"> REF _Ref39069685 \r \h  \* MERGEFORMAT </w:instrText>
            </w:r>
            <w:r w:rsidRPr="006D689E">
              <w:fldChar w:fldCharType="separate"/>
            </w:r>
            <w:r w:rsidR="00816D6D">
              <w:t>1.1</w:t>
            </w:r>
            <w:r w:rsidRPr="006D689E">
              <w:fldChar w:fldCharType="end"/>
            </w:r>
            <w:r w:rsidRPr="006D689E">
              <w:t xml:space="preserve">, mají význam, který je těmto pojmům přiřazen v příslušných oddílech této smlouvy. </w:t>
            </w:r>
          </w:p>
        </w:tc>
        <w:tc>
          <w:tcPr>
            <w:tcW w:w="2452" w:type="pct"/>
          </w:tcPr>
          <w:p w14:paraId="432612B9" w14:textId="58B9ECEC" w:rsidR="00C32FF1" w:rsidRPr="0031164B" w:rsidRDefault="00C32FF1" w:rsidP="00C32FF1">
            <w:pPr>
              <w:pStyle w:val="Zkladntext"/>
              <w:ind w:firstLine="0"/>
              <w:rPr>
                <w:lang w:val="en-GB"/>
              </w:rPr>
            </w:pPr>
            <w:r w:rsidRPr="0031164B">
              <w:rPr>
                <w:lang w:val="en-GB"/>
              </w:rPr>
              <w:t xml:space="preserve">Terms not defined in Section </w:t>
            </w:r>
            <w:r w:rsidRPr="0031164B">
              <w:rPr>
                <w:lang w:val="en-GB"/>
              </w:rPr>
              <w:fldChar w:fldCharType="begin" w:fldLock="1"/>
            </w:r>
            <w:r w:rsidRPr="0031164B">
              <w:rPr>
                <w:lang w:val="en-GB"/>
              </w:rPr>
              <w:instrText xml:space="preserve"> REF _Ref39069685 \r \h  \* MERGEFORMAT </w:instrText>
            </w:r>
            <w:r w:rsidRPr="0031164B">
              <w:rPr>
                <w:lang w:val="en-GB"/>
              </w:rPr>
            </w:r>
            <w:r w:rsidRPr="0031164B">
              <w:rPr>
                <w:lang w:val="en-GB"/>
              </w:rPr>
              <w:fldChar w:fldCharType="separate"/>
            </w:r>
            <w:r w:rsidR="00816D6D">
              <w:rPr>
                <w:lang w:val="en-GB"/>
              </w:rPr>
              <w:t>1.1</w:t>
            </w:r>
            <w:r w:rsidRPr="0031164B">
              <w:rPr>
                <w:lang w:val="en-GB"/>
              </w:rPr>
              <w:fldChar w:fldCharType="end"/>
            </w:r>
            <w:r w:rsidRPr="0031164B">
              <w:rPr>
                <w:lang w:val="en-GB"/>
              </w:rPr>
              <w:t xml:space="preserve"> shall have the meanings ascribed to such terms in the applicable sections of this Agreement. </w:t>
            </w:r>
          </w:p>
        </w:tc>
      </w:tr>
      <w:tr w:rsidR="00C32FF1" w:rsidRPr="0031164B" w14:paraId="1A9B8712" w14:textId="42D18FC1" w:rsidTr="00830D19">
        <w:tc>
          <w:tcPr>
            <w:tcW w:w="2548" w:type="pct"/>
          </w:tcPr>
          <w:p w14:paraId="56D3E8EC" w14:textId="77777777" w:rsidR="00C32FF1" w:rsidRPr="006D689E" w:rsidRDefault="00C32FF1" w:rsidP="00C32FF1">
            <w:pPr>
              <w:pStyle w:val="Legal1L1"/>
              <w:keepNext/>
              <w:widowControl/>
              <w:numPr>
                <w:ilvl w:val="0"/>
                <w:numId w:val="1"/>
              </w:numPr>
              <w:tabs>
                <w:tab w:val="left" w:pos="1440"/>
              </w:tabs>
              <w:adjustRightInd/>
              <w:ind w:left="0" w:firstLine="0"/>
              <w:outlineLvl w:val="9"/>
              <w:rPr>
                <w:b/>
                <w:u w:val="none"/>
              </w:rPr>
            </w:pPr>
            <w:bookmarkStart w:id="13" w:name="_DV_M10"/>
            <w:bookmarkStart w:id="14" w:name="_DV_M122"/>
            <w:bookmarkStart w:id="15" w:name="_DV_M68"/>
            <w:bookmarkStart w:id="16" w:name="_DV_M69"/>
            <w:bookmarkStart w:id="17" w:name="_DV_M154"/>
            <w:bookmarkStart w:id="18" w:name="_DV_M165"/>
            <w:bookmarkStart w:id="19" w:name="_DV_M174"/>
            <w:bookmarkStart w:id="20" w:name="_Toc256000000"/>
            <w:bookmarkStart w:id="21" w:name="_Toc6233975"/>
            <w:bookmarkStart w:id="22" w:name="_Toc6234297"/>
            <w:bookmarkEnd w:id="12"/>
            <w:bookmarkEnd w:id="13"/>
            <w:bookmarkEnd w:id="14"/>
            <w:bookmarkEnd w:id="15"/>
            <w:bookmarkEnd w:id="16"/>
            <w:bookmarkEnd w:id="17"/>
            <w:bookmarkEnd w:id="18"/>
            <w:bookmarkEnd w:id="19"/>
            <w:r w:rsidRPr="006D689E">
              <w:rPr>
                <w:b/>
                <w:u w:val="none"/>
              </w:rPr>
              <w:lastRenderedPageBreak/>
              <w:t>ROZSAH SMLOUVY</w:t>
            </w:r>
            <w:bookmarkEnd w:id="20"/>
            <w:bookmarkEnd w:id="21"/>
            <w:bookmarkEnd w:id="22"/>
            <w:r w:rsidRPr="006D689E">
              <w:rPr>
                <w:b/>
                <w:u w:val="none"/>
              </w:rPr>
              <w:t xml:space="preserve"> </w:t>
            </w:r>
          </w:p>
        </w:tc>
        <w:tc>
          <w:tcPr>
            <w:tcW w:w="2452" w:type="pct"/>
          </w:tcPr>
          <w:p w14:paraId="7C84AB9D" w14:textId="29AE92B2" w:rsidR="00C32FF1" w:rsidRPr="0031164B" w:rsidRDefault="00C32FF1" w:rsidP="00CD4205">
            <w:pPr>
              <w:pStyle w:val="Legal1L1"/>
              <w:keepNext/>
              <w:widowControl/>
              <w:numPr>
                <w:ilvl w:val="0"/>
                <w:numId w:val="25"/>
              </w:numPr>
              <w:tabs>
                <w:tab w:val="left" w:pos="1440"/>
              </w:tabs>
              <w:adjustRightInd/>
              <w:outlineLvl w:val="9"/>
              <w:rPr>
                <w:b/>
                <w:u w:val="none"/>
                <w:lang w:val="en-GB"/>
              </w:rPr>
            </w:pPr>
            <w:r w:rsidRPr="0031164B">
              <w:rPr>
                <w:b/>
                <w:u w:val="none"/>
                <w:lang w:val="en-GB"/>
              </w:rPr>
              <w:t xml:space="preserve">SCOPE OF THE AGREEMENT </w:t>
            </w:r>
          </w:p>
        </w:tc>
      </w:tr>
      <w:tr w:rsidR="00C32FF1" w:rsidRPr="0031164B" w14:paraId="28499B5C" w14:textId="2BAC47EA" w:rsidTr="00830D19">
        <w:tc>
          <w:tcPr>
            <w:tcW w:w="2548" w:type="pct"/>
          </w:tcPr>
          <w:p w14:paraId="5B996F24" w14:textId="1BD396EE" w:rsidR="00C32FF1" w:rsidRPr="006D689E" w:rsidRDefault="00C32FF1" w:rsidP="00C32FF1">
            <w:pPr>
              <w:pStyle w:val="Legal1L2"/>
              <w:keepNext/>
              <w:ind w:left="0"/>
              <w:rPr>
                <w:rFonts w:eastAsia="Times New Roman"/>
                <w:w w:val="100"/>
                <w:sz w:val="24"/>
                <w:szCs w:val="24"/>
              </w:rPr>
            </w:pPr>
            <w:bookmarkStart w:id="23" w:name="_Toc6234298"/>
            <w:bookmarkStart w:id="24" w:name="_Toc6233976"/>
            <w:bookmarkStart w:id="25" w:name="_Toc256000001"/>
            <w:r w:rsidRPr="006D689E">
              <w:rPr>
                <w:w w:val="100"/>
                <w:sz w:val="24"/>
                <w:szCs w:val="24"/>
                <w:u w:val="single"/>
              </w:rPr>
              <w:t>ROZSAH</w:t>
            </w:r>
            <w:bookmarkEnd w:id="23"/>
            <w:bookmarkEnd w:id="24"/>
            <w:bookmarkEnd w:id="25"/>
            <w:r w:rsidRPr="006D689E">
              <w:rPr>
                <w:w w:val="100"/>
                <w:sz w:val="24"/>
                <w:szCs w:val="24"/>
                <w:u w:val="single"/>
              </w:rPr>
              <w:t>.</w:t>
            </w:r>
            <w:r w:rsidRPr="006D689E">
              <w:rPr>
                <w:w w:val="100"/>
                <w:sz w:val="24"/>
                <w:szCs w:val="24"/>
              </w:rPr>
              <w:t xml:space="preserve"> V souladu s touto smlouvou může </w:t>
            </w:r>
            <w:r w:rsidR="009E629D">
              <w:rPr>
                <w:w w:val="100"/>
                <w:sz w:val="24"/>
                <w:szCs w:val="24"/>
              </w:rPr>
              <w:t>Centrum</w:t>
            </w:r>
            <w:r w:rsidR="009E629D" w:rsidRPr="006D689E">
              <w:rPr>
                <w:w w:val="100"/>
                <w:sz w:val="24"/>
                <w:szCs w:val="24"/>
              </w:rPr>
              <w:t xml:space="preserve"> </w:t>
            </w:r>
            <w:r w:rsidRPr="006D689E">
              <w:rPr>
                <w:w w:val="100"/>
                <w:sz w:val="24"/>
                <w:szCs w:val="24"/>
              </w:rPr>
              <w:t xml:space="preserve">objednávat produkty od </w:t>
            </w:r>
            <w:r w:rsidRPr="006D689E">
              <w:rPr>
                <w:w w:val="100"/>
              </w:rPr>
              <w:t>společnosti BMS</w:t>
            </w:r>
            <w:r w:rsidRPr="006D689E">
              <w:rPr>
                <w:w w:val="100"/>
                <w:sz w:val="24"/>
                <w:szCs w:val="24"/>
              </w:rPr>
              <w:t xml:space="preserve"> a v souvislosti s takovou objednávkou (objednávkami) bude poskytovat společnosti BMS služby aferézy (jak je definováno níže), které společnosti </w:t>
            </w:r>
            <w:r w:rsidRPr="006D689E">
              <w:rPr>
                <w:w w:val="100"/>
              </w:rPr>
              <w:t xml:space="preserve">BMS umožní </w:t>
            </w:r>
            <w:r w:rsidRPr="006D689E">
              <w:rPr>
                <w:w w:val="100"/>
                <w:sz w:val="24"/>
                <w:szCs w:val="24"/>
              </w:rPr>
              <w:t xml:space="preserve"> výrobu produktů</w:t>
            </w:r>
            <w:r w:rsidRPr="006D689E">
              <w:rPr>
                <w:w w:val="100"/>
              </w:rPr>
              <w:t>.</w:t>
            </w:r>
            <w:r w:rsidRPr="006D689E">
              <w:rPr>
                <w:w w:val="100"/>
                <w:sz w:val="24"/>
                <w:szCs w:val="24"/>
              </w:rPr>
              <w:t xml:space="preserve">  Služby aferézy pro každý produkt budou prováděny na základě této smlouvy a podepsaného prohlášení o pracovní činnosti pro každý produkt (dále jen </w:t>
            </w:r>
            <w:r w:rsidRPr="006D689E">
              <w:rPr>
                <w:b/>
                <w:w w:val="100"/>
                <w:sz w:val="24"/>
                <w:szCs w:val="24"/>
              </w:rPr>
              <w:t>„prohlášení o pracovní činnosti</w:t>
            </w:r>
            <w:r w:rsidRPr="006D689E">
              <w:rPr>
                <w:w w:val="100"/>
                <w:sz w:val="24"/>
                <w:szCs w:val="24"/>
              </w:rPr>
              <w:t xml:space="preserve">“).  Žádný produkt nebude předmětem této smlouvy, dokud (i) Strany neuzavřou pro takový produkt prohlášení o pracovní činnosti ve formě přiložené k této smlouvě jako Příloha A; (ii) </w:t>
            </w:r>
            <w:r w:rsidRPr="006D689E">
              <w:rPr>
                <w:w w:val="100"/>
              </w:rPr>
              <w:t>BMS</w:t>
            </w:r>
            <w:r w:rsidRPr="006D689E">
              <w:rPr>
                <w:w w:val="100"/>
                <w:sz w:val="24"/>
                <w:szCs w:val="24"/>
              </w:rPr>
              <w:t xml:space="preserve"> nebo její přidružená společnost nezíská od Regulačního orgánu povolení k uvádění na trh a prodeji takového produktu a od Licenčního orgánu licenci k výrobě; a (iii) středisko nesplní kvalifikační požadavky na aferetické služby v souladu se smlouvou o kvalitě podepsanou mezi </w:t>
            </w:r>
            <w:r w:rsidRPr="006D689E">
              <w:rPr>
                <w:w w:val="100"/>
              </w:rPr>
              <w:t>BMS</w:t>
            </w:r>
            <w:r w:rsidRPr="006D689E">
              <w:rPr>
                <w:w w:val="100"/>
                <w:sz w:val="24"/>
                <w:szCs w:val="24"/>
              </w:rPr>
              <w:t xml:space="preserve"> nebo její Přidruženou společností a </w:t>
            </w:r>
            <w:r w:rsidR="00021BE1">
              <w:rPr>
                <w:w w:val="100"/>
                <w:sz w:val="24"/>
                <w:szCs w:val="24"/>
              </w:rPr>
              <w:t>Centrem</w:t>
            </w:r>
            <w:r w:rsidRPr="006D689E">
              <w:rPr>
                <w:w w:val="100"/>
                <w:sz w:val="24"/>
                <w:szCs w:val="24"/>
              </w:rPr>
              <w:t xml:space="preserve">, jak je uvedeno v Příloze B přiložené k této smlouvě a začleněné do ní tímto odkazem. (dále jen </w:t>
            </w:r>
            <w:r w:rsidRPr="006D689E">
              <w:rPr>
                <w:b/>
                <w:w w:val="100"/>
                <w:sz w:val="24"/>
                <w:szCs w:val="24"/>
              </w:rPr>
              <w:t>„smlouva o kvalitě</w:t>
            </w:r>
            <w:r w:rsidRPr="006D689E">
              <w:rPr>
                <w:w w:val="100"/>
                <w:sz w:val="24"/>
                <w:szCs w:val="24"/>
              </w:rPr>
              <w:t>“).</w:t>
            </w:r>
          </w:p>
        </w:tc>
        <w:tc>
          <w:tcPr>
            <w:tcW w:w="2452" w:type="pct"/>
          </w:tcPr>
          <w:p w14:paraId="0B4FB447" w14:textId="293E8B56" w:rsidR="00C32FF1" w:rsidRPr="0031164B" w:rsidRDefault="00C32FF1" w:rsidP="00CD4205">
            <w:pPr>
              <w:pStyle w:val="Legal1L2"/>
              <w:keepNext/>
              <w:numPr>
                <w:ilvl w:val="1"/>
                <w:numId w:val="26"/>
              </w:numPr>
              <w:ind w:left="-10" w:firstLine="190"/>
              <w:rPr>
                <w:rFonts w:eastAsia="Times New Roman"/>
                <w:w w:val="100"/>
                <w:sz w:val="24"/>
                <w:szCs w:val="24"/>
                <w:u w:val="single"/>
                <w:lang w:val="en-GB"/>
              </w:rPr>
            </w:pPr>
            <w:r w:rsidRPr="0031164B">
              <w:rPr>
                <w:w w:val="100"/>
                <w:sz w:val="24"/>
                <w:szCs w:val="24"/>
                <w:u w:val="single"/>
                <w:lang w:val="en-GB"/>
              </w:rPr>
              <w:t>Scope.</w:t>
            </w:r>
            <w:r w:rsidRPr="0031164B">
              <w:rPr>
                <w:w w:val="100"/>
                <w:sz w:val="24"/>
                <w:szCs w:val="24"/>
                <w:lang w:val="en-GB"/>
              </w:rPr>
              <w:t xml:space="preserve"> Pursuant to this Agreement, Center may place orders for Products from </w:t>
            </w:r>
            <w:r w:rsidRPr="0031164B">
              <w:rPr>
                <w:w w:val="100"/>
                <w:lang w:val="en-GB"/>
              </w:rPr>
              <w:t>BMS</w:t>
            </w:r>
            <w:r w:rsidRPr="0031164B">
              <w:rPr>
                <w:w w:val="100"/>
                <w:sz w:val="24"/>
                <w:szCs w:val="24"/>
                <w:lang w:val="en-GB"/>
              </w:rPr>
              <w:t xml:space="preserve"> and in connection with such order(s), will provide Apheresis Services (as defined below) to BMS to enable </w:t>
            </w:r>
            <w:r w:rsidRPr="0031164B">
              <w:rPr>
                <w:w w:val="100"/>
                <w:lang w:val="en-GB"/>
              </w:rPr>
              <w:t>BMS</w:t>
            </w:r>
            <w:r w:rsidRPr="0031164B">
              <w:rPr>
                <w:w w:val="100"/>
                <w:sz w:val="24"/>
                <w:szCs w:val="24"/>
                <w:lang w:val="en-GB"/>
              </w:rPr>
              <w:t xml:space="preserve"> to manufacture the Products.  The Apheresis Services with respect to each Product will be performed pursuant to this Agreement and an executed Statement of Work for each Product (each, a </w:t>
            </w:r>
            <w:r w:rsidRPr="0031164B">
              <w:rPr>
                <w:b/>
                <w:w w:val="100"/>
                <w:sz w:val="24"/>
                <w:szCs w:val="24"/>
                <w:lang w:val="en-GB"/>
              </w:rPr>
              <w:t>“Statement of Work”</w:t>
            </w:r>
            <w:r w:rsidRPr="0031164B">
              <w:rPr>
                <w:w w:val="100"/>
                <w:sz w:val="24"/>
                <w:szCs w:val="24"/>
                <w:lang w:val="en-GB"/>
              </w:rPr>
              <w:t xml:space="preserve">).  No Product will be the subject of this Agreement until (i) the Parties have executed a Statement of Work substantially in the form attached hereto as Attachment A for such Product; (ii) </w:t>
            </w:r>
            <w:r w:rsidRPr="0031164B">
              <w:rPr>
                <w:w w:val="100"/>
                <w:lang w:val="en-GB"/>
              </w:rPr>
              <w:t>BMS</w:t>
            </w:r>
            <w:r w:rsidRPr="0031164B">
              <w:rPr>
                <w:w w:val="100"/>
                <w:sz w:val="24"/>
                <w:szCs w:val="24"/>
                <w:lang w:val="en-GB"/>
              </w:rPr>
              <w:t xml:space="preserve"> or its Affiliate has been granted the marketing authorization by the Regulatory Authority  to market and sell such Product, and the manufacturing license by the licensing authority; and (iii) Center has completed Apheresis Services qualification requirements, in accordance with the Quality Agreement signed between </w:t>
            </w:r>
            <w:r w:rsidRPr="0031164B">
              <w:rPr>
                <w:w w:val="100"/>
                <w:lang w:val="en-GB"/>
              </w:rPr>
              <w:t>BMS</w:t>
            </w:r>
            <w:r w:rsidRPr="0031164B">
              <w:rPr>
                <w:w w:val="100"/>
                <w:sz w:val="24"/>
                <w:szCs w:val="24"/>
                <w:lang w:val="en-GB"/>
              </w:rPr>
              <w:t xml:space="preserve"> or its Affiliate and Center, as set forth in Attachment B attached hereto and incorporated herein by this reference. (the </w:t>
            </w:r>
            <w:r w:rsidRPr="0031164B">
              <w:rPr>
                <w:b/>
                <w:w w:val="100"/>
                <w:sz w:val="24"/>
                <w:szCs w:val="24"/>
                <w:lang w:val="en-GB"/>
              </w:rPr>
              <w:t>“Quality Agreement</w:t>
            </w:r>
            <w:r w:rsidRPr="0031164B">
              <w:rPr>
                <w:w w:val="100"/>
                <w:sz w:val="24"/>
                <w:szCs w:val="24"/>
                <w:lang w:val="en-GB"/>
              </w:rPr>
              <w:t>”).</w:t>
            </w:r>
          </w:p>
        </w:tc>
      </w:tr>
      <w:tr w:rsidR="00C32FF1" w:rsidRPr="0031164B" w14:paraId="044FBB9D" w14:textId="6ECBD98C" w:rsidTr="00830D19">
        <w:tc>
          <w:tcPr>
            <w:tcW w:w="2548" w:type="pct"/>
          </w:tcPr>
          <w:p w14:paraId="2AD9E5C0" w14:textId="6373110D" w:rsidR="00C32FF1" w:rsidRPr="006D689E" w:rsidRDefault="00C32FF1" w:rsidP="00615B72">
            <w:pPr>
              <w:pStyle w:val="Legal1L2"/>
              <w:numPr>
                <w:ilvl w:val="0"/>
                <w:numId w:val="0"/>
              </w:numPr>
              <w:ind w:left="720"/>
              <w:rPr>
                <w:rFonts w:eastAsia="Times New Roman"/>
                <w:w w:val="100"/>
                <w:sz w:val="24"/>
                <w:szCs w:val="24"/>
              </w:rPr>
            </w:pPr>
            <w:bookmarkStart w:id="26" w:name="_DV_M175"/>
            <w:bookmarkStart w:id="27" w:name="_Toc256000002"/>
            <w:bookmarkStart w:id="28" w:name="_Toc6233977"/>
            <w:bookmarkStart w:id="29" w:name="_Toc6234299"/>
            <w:bookmarkEnd w:id="26"/>
          </w:p>
        </w:tc>
        <w:tc>
          <w:tcPr>
            <w:tcW w:w="2452" w:type="pct"/>
          </w:tcPr>
          <w:p w14:paraId="1D65BC95" w14:textId="31170B11" w:rsidR="00C32FF1" w:rsidRPr="0031164B" w:rsidRDefault="00C32FF1" w:rsidP="00615B72">
            <w:pPr>
              <w:pStyle w:val="Legal1L2"/>
              <w:numPr>
                <w:ilvl w:val="0"/>
                <w:numId w:val="0"/>
              </w:numPr>
              <w:ind w:left="557"/>
              <w:rPr>
                <w:rFonts w:eastAsia="Times New Roman"/>
                <w:w w:val="100"/>
                <w:sz w:val="24"/>
                <w:szCs w:val="24"/>
                <w:u w:val="single"/>
                <w:lang w:val="en-GB"/>
              </w:rPr>
            </w:pPr>
          </w:p>
        </w:tc>
      </w:tr>
      <w:tr w:rsidR="00C32FF1" w:rsidRPr="0031164B" w14:paraId="1C23FD0D" w14:textId="21D00DBD" w:rsidTr="00830D19">
        <w:tc>
          <w:tcPr>
            <w:tcW w:w="2548" w:type="pct"/>
          </w:tcPr>
          <w:p w14:paraId="01DD26BE" w14:textId="3C5B5B32" w:rsidR="00C32FF1" w:rsidRPr="006D689E" w:rsidRDefault="00C32FF1" w:rsidP="00C32FF1">
            <w:pPr>
              <w:pStyle w:val="Legal1L2"/>
              <w:ind w:left="0"/>
              <w:rPr>
                <w:rFonts w:eastAsia="Times New Roman"/>
                <w:w w:val="100"/>
                <w:sz w:val="24"/>
                <w:szCs w:val="24"/>
              </w:rPr>
            </w:pPr>
            <w:r w:rsidRPr="006D689E">
              <w:rPr>
                <w:w w:val="100"/>
                <w:sz w:val="24"/>
                <w:szCs w:val="24"/>
                <w:u w:val="single"/>
              </w:rPr>
              <w:t>Prohlášení o pracovní činnost</w:t>
            </w:r>
            <w:bookmarkStart w:id="30" w:name="_DV_M176"/>
            <w:bookmarkEnd w:id="27"/>
            <w:bookmarkEnd w:id="28"/>
            <w:bookmarkEnd w:id="29"/>
            <w:bookmarkEnd w:id="30"/>
            <w:r w:rsidRPr="006D689E">
              <w:rPr>
                <w:w w:val="100"/>
                <w:sz w:val="24"/>
                <w:szCs w:val="24"/>
                <w:u w:val="single"/>
              </w:rPr>
              <w:t>i.</w:t>
            </w:r>
            <w:r w:rsidRPr="006D689E">
              <w:rPr>
                <w:w w:val="100"/>
                <w:sz w:val="24"/>
                <w:szCs w:val="24"/>
              </w:rPr>
              <w:t xml:space="preserve"> Každé podepsané prohlášení o pracovní činnosti je součástí této smlouvy a povinnosti smluvních stran stanovené ve všech prohlášeních se řídí podmínkami této smlouvy a podmínkami uvedenými v takovém prohlášení.  V rozsahu, v jakém jsou podmínky v prohlášení o pracovní činnosti v rozporu s podmínkami této smlouvy, mají přednost podmínky této smlouvy, pokud takové prohlášení o pracovní činnosti výslovně neuvádí záměr nahradit tuto smlouv</w:t>
            </w:r>
            <w:r w:rsidR="0002465B">
              <w:rPr>
                <w:w w:val="100"/>
                <w:sz w:val="24"/>
                <w:szCs w:val="24"/>
              </w:rPr>
              <w:t>u</w:t>
            </w:r>
            <w:r w:rsidRPr="006D689E">
              <w:rPr>
                <w:w w:val="100"/>
                <w:sz w:val="24"/>
                <w:szCs w:val="24"/>
              </w:rPr>
              <w:t xml:space="preserve"> v konkrétní záležitosti.</w:t>
            </w:r>
          </w:p>
        </w:tc>
        <w:tc>
          <w:tcPr>
            <w:tcW w:w="2452" w:type="pct"/>
          </w:tcPr>
          <w:p w14:paraId="45ABC116" w14:textId="5E49BF03" w:rsidR="00C32FF1" w:rsidRPr="0031164B" w:rsidRDefault="00C0303E" w:rsidP="00615B72">
            <w:pPr>
              <w:pStyle w:val="Legal1L2"/>
              <w:numPr>
                <w:ilvl w:val="0"/>
                <w:numId w:val="0"/>
              </w:numPr>
              <w:ind w:left="699"/>
              <w:rPr>
                <w:rFonts w:eastAsia="Times New Roman"/>
                <w:w w:val="100"/>
                <w:sz w:val="24"/>
                <w:szCs w:val="24"/>
                <w:u w:val="single"/>
                <w:lang w:val="en-GB"/>
              </w:rPr>
            </w:pPr>
            <w:r>
              <w:rPr>
                <w:w w:val="100"/>
                <w:sz w:val="24"/>
                <w:szCs w:val="24"/>
                <w:u w:val="single"/>
                <w:lang w:val="en-GB"/>
              </w:rPr>
              <w:t xml:space="preserve">2.2 </w:t>
            </w:r>
            <w:r w:rsidR="00C32FF1" w:rsidRPr="0031164B">
              <w:rPr>
                <w:w w:val="100"/>
                <w:sz w:val="24"/>
                <w:szCs w:val="24"/>
                <w:u w:val="single"/>
                <w:lang w:val="en-GB"/>
              </w:rPr>
              <w:t>Statements of Work</w:t>
            </w:r>
            <w:r w:rsidR="00C32FF1" w:rsidRPr="0031164B">
              <w:rPr>
                <w:w w:val="100"/>
                <w:sz w:val="24"/>
                <w:szCs w:val="24"/>
                <w:lang w:val="en-GB"/>
              </w:rPr>
              <w:t>. Each executed Statement of Work shall be incorporated into this Agreement and the Parties’ obligations set forth under all Statements of Work will be subject to the terms and conditions of this Agreement and those set forth in that Statement of Work.  To the extent any terms in a Statement of Work conflict with the terms in this Agreement, the terms of this Agreement shall prevail unless such Statement of Work expressly specifies an intent to supersede this Agreement on a specific matter.</w:t>
            </w:r>
          </w:p>
        </w:tc>
      </w:tr>
      <w:tr w:rsidR="00C32FF1" w:rsidRPr="0031164B" w14:paraId="08DEE2AA" w14:textId="530E3783" w:rsidTr="00830D19">
        <w:tc>
          <w:tcPr>
            <w:tcW w:w="2548" w:type="pct"/>
          </w:tcPr>
          <w:p w14:paraId="2BAF8DC7" w14:textId="2D0E7F93" w:rsidR="00C32FF1" w:rsidRPr="006D689E" w:rsidRDefault="00C32FF1" w:rsidP="00C32FF1">
            <w:pPr>
              <w:pStyle w:val="Legal1L2"/>
              <w:ind w:left="0"/>
              <w:rPr>
                <w:rFonts w:eastAsia="Times New Roman"/>
                <w:w w:val="100"/>
                <w:sz w:val="24"/>
                <w:szCs w:val="24"/>
              </w:rPr>
            </w:pPr>
            <w:bookmarkStart w:id="31" w:name="_Toc6234300"/>
            <w:bookmarkStart w:id="32" w:name="_Toc6233978"/>
            <w:bookmarkStart w:id="33" w:name="_Toc256000003"/>
            <w:bookmarkStart w:id="34" w:name="_Hlk10130637"/>
            <w:r w:rsidRPr="006D689E">
              <w:rPr>
                <w:w w:val="100"/>
                <w:sz w:val="24"/>
                <w:szCs w:val="24"/>
                <w:u w:val="single"/>
              </w:rPr>
              <w:lastRenderedPageBreak/>
              <w:t>Změny této smlouvy</w:t>
            </w:r>
            <w:bookmarkEnd w:id="31"/>
            <w:bookmarkEnd w:id="32"/>
            <w:bookmarkEnd w:id="33"/>
            <w:r w:rsidRPr="006D689E">
              <w:rPr>
                <w:w w:val="100"/>
                <w:sz w:val="24"/>
                <w:szCs w:val="24"/>
                <w:u w:val="single"/>
              </w:rPr>
              <w:t xml:space="preserve"> nebo prohlášení o pracovní činnosti</w:t>
            </w:r>
            <w:bookmarkStart w:id="35" w:name="_Hlk13000090"/>
            <w:r w:rsidRPr="006D689E">
              <w:rPr>
                <w:w w:val="100"/>
                <w:sz w:val="24"/>
                <w:szCs w:val="24"/>
              </w:rPr>
              <w:t xml:space="preserve">. Není-li v této smlouvě uvedeno jinak, změny této smlouvy nebo jakéhokoli provedeného prohlášení o pracovní činnosti lze provést pouze na základě vzájemné písemné dohody smluvních stran.  Bez ohledu na výše uvedené může společnost </w:t>
            </w:r>
            <w:r w:rsidRPr="006D689E">
              <w:rPr>
                <w:w w:val="100"/>
              </w:rPr>
              <w:t>BMS</w:t>
            </w:r>
            <w:r w:rsidRPr="006D689E">
              <w:rPr>
                <w:w w:val="100"/>
                <w:sz w:val="24"/>
                <w:szCs w:val="24"/>
              </w:rPr>
              <w:t xml:space="preserve"> čas od času změnit postup odběru </w:t>
            </w:r>
            <w:r w:rsidR="002E0DA5">
              <w:rPr>
                <w:w w:val="100"/>
                <w:sz w:val="24"/>
                <w:szCs w:val="24"/>
              </w:rPr>
              <w:t xml:space="preserve">dospělých </w:t>
            </w:r>
            <w:r w:rsidRPr="006D689E">
              <w:rPr>
                <w:w w:val="100"/>
              </w:rPr>
              <w:t xml:space="preserve">MNC </w:t>
            </w:r>
            <w:r w:rsidR="00525C08">
              <w:rPr>
                <w:w w:val="100"/>
              </w:rPr>
              <w:t>v</w:t>
            </w:r>
            <w:r w:rsidRPr="006D689E">
              <w:rPr>
                <w:w w:val="100"/>
              </w:rPr>
              <w:t xml:space="preserve"> Evrop</w:t>
            </w:r>
            <w:r w:rsidR="00525C08">
              <w:rPr>
                <w:w w:val="100"/>
              </w:rPr>
              <w:t>ě</w:t>
            </w:r>
            <w:r w:rsidRPr="006D689E">
              <w:rPr>
                <w:w w:val="100"/>
              </w:rPr>
              <w:t xml:space="preserve"> </w:t>
            </w:r>
            <w:r w:rsidRPr="006D689E">
              <w:rPr>
                <w:w w:val="100"/>
                <w:sz w:val="24"/>
                <w:szCs w:val="24"/>
              </w:rPr>
              <w:t>, který je součástí této smlouvy a je tímto začleněn odkazem („</w:t>
            </w:r>
            <w:r w:rsidRPr="006D689E">
              <w:rPr>
                <w:b/>
                <w:w w:val="100"/>
                <w:sz w:val="24"/>
                <w:szCs w:val="24"/>
              </w:rPr>
              <w:t>postup komerčního odběru</w:t>
            </w:r>
            <w:r w:rsidRPr="006D689E">
              <w:rPr>
                <w:w w:val="100"/>
                <w:sz w:val="24"/>
                <w:szCs w:val="24"/>
              </w:rPr>
              <w:t>“), nebo podmínky pro přípravek s chimérickým antigenním receptorem T-buněk, které jsou připojeny k této smlouvě jako příloha C („</w:t>
            </w:r>
            <w:r w:rsidRPr="006D689E">
              <w:rPr>
                <w:b/>
                <w:w w:val="100"/>
                <w:sz w:val="24"/>
                <w:szCs w:val="24"/>
              </w:rPr>
              <w:t>podmínky</w:t>
            </w:r>
            <w:r w:rsidRPr="006D689E">
              <w:rPr>
                <w:w w:val="100"/>
                <w:sz w:val="24"/>
                <w:szCs w:val="24"/>
              </w:rPr>
              <w:t xml:space="preserve">“), aniž by se měnila tato smlouva, a pokud to povolují vnitrostátní právní předpisy země, v níž </w:t>
            </w:r>
            <w:r w:rsidR="00BA1CCA">
              <w:rPr>
                <w:w w:val="100"/>
                <w:sz w:val="24"/>
                <w:szCs w:val="24"/>
              </w:rPr>
              <w:t>s</w:t>
            </w:r>
            <w:r w:rsidRPr="006D689E">
              <w:rPr>
                <w:w w:val="100"/>
                <w:sz w:val="24"/>
                <w:szCs w:val="24"/>
              </w:rPr>
              <w:t xml:space="preserve">e </w:t>
            </w:r>
            <w:r w:rsidR="00F7636F">
              <w:rPr>
                <w:w w:val="100"/>
                <w:sz w:val="24"/>
                <w:szCs w:val="24"/>
              </w:rPr>
              <w:t>C</w:t>
            </w:r>
            <w:r w:rsidR="00AE20E3">
              <w:rPr>
                <w:w w:val="100"/>
                <w:sz w:val="24"/>
                <w:szCs w:val="24"/>
              </w:rPr>
              <w:t>en</w:t>
            </w:r>
            <w:r w:rsidR="00BA1CCA">
              <w:rPr>
                <w:w w:val="100"/>
                <w:sz w:val="24"/>
                <w:szCs w:val="24"/>
              </w:rPr>
              <w:t>tr</w:t>
            </w:r>
            <w:r w:rsidR="00AE20E3">
              <w:rPr>
                <w:w w:val="100"/>
                <w:sz w:val="24"/>
                <w:szCs w:val="24"/>
              </w:rPr>
              <w:t>um</w:t>
            </w:r>
            <w:r w:rsidR="00AE20E3" w:rsidRPr="006D689E">
              <w:rPr>
                <w:w w:val="100"/>
                <w:sz w:val="24"/>
                <w:szCs w:val="24"/>
              </w:rPr>
              <w:t xml:space="preserve"> </w:t>
            </w:r>
            <w:r w:rsidR="00BA1CCA">
              <w:rPr>
                <w:w w:val="100"/>
                <w:sz w:val="24"/>
                <w:szCs w:val="24"/>
              </w:rPr>
              <w:t>nachází</w:t>
            </w:r>
            <w:r w:rsidRPr="006D689E">
              <w:rPr>
                <w:w w:val="100"/>
                <w:sz w:val="24"/>
                <w:szCs w:val="24"/>
              </w:rPr>
              <w:t xml:space="preserve">, aniž by bylo nutné jakékoli schválení </w:t>
            </w:r>
            <w:r w:rsidR="00F7636F">
              <w:rPr>
                <w:w w:val="100"/>
                <w:sz w:val="24"/>
                <w:szCs w:val="24"/>
              </w:rPr>
              <w:t>Centra</w:t>
            </w:r>
            <w:r w:rsidRPr="006D689E">
              <w:rPr>
                <w:w w:val="100"/>
                <w:sz w:val="24"/>
                <w:szCs w:val="24"/>
              </w:rPr>
              <w:t xml:space="preserve">. Za tímto účelem </w:t>
            </w:r>
            <w:r w:rsidRPr="006D689E">
              <w:rPr>
                <w:w w:val="100"/>
              </w:rPr>
              <w:t>společnost BMS</w:t>
            </w:r>
            <w:r w:rsidRPr="006D689E">
              <w:rPr>
                <w:w w:val="100"/>
                <w:sz w:val="24"/>
                <w:szCs w:val="24"/>
              </w:rPr>
              <w:t xml:space="preserve"> oznámí </w:t>
            </w:r>
            <w:r w:rsidR="00F7636F">
              <w:rPr>
                <w:w w:val="100"/>
                <w:sz w:val="24"/>
                <w:szCs w:val="24"/>
              </w:rPr>
              <w:t>Centru</w:t>
            </w:r>
            <w:r w:rsidRPr="006D689E">
              <w:rPr>
                <w:w w:val="100"/>
                <w:sz w:val="24"/>
                <w:szCs w:val="24"/>
              </w:rPr>
              <w:t xml:space="preserve"> třicet (30) dnů předem veškeré aktualizace postupu komerčního odběru a tyto aktualizace se provedou způsobem stanoveným ve smlouvě o kvalitě. </w:t>
            </w:r>
            <w:r w:rsidRPr="006D689E">
              <w:rPr>
                <w:w w:val="100"/>
              </w:rPr>
              <w:t>Společnost BMS</w:t>
            </w:r>
            <w:r w:rsidRPr="006D689E">
              <w:rPr>
                <w:w w:val="100"/>
                <w:sz w:val="24"/>
                <w:szCs w:val="24"/>
              </w:rPr>
              <w:t xml:space="preserve"> oznámí </w:t>
            </w:r>
            <w:r w:rsidR="00C91F06">
              <w:rPr>
                <w:w w:val="100"/>
                <w:sz w:val="24"/>
                <w:szCs w:val="24"/>
              </w:rPr>
              <w:t>Centru</w:t>
            </w:r>
            <w:r w:rsidRPr="006D689E">
              <w:rPr>
                <w:w w:val="100"/>
                <w:sz w:val="24"/>
                <w:szCs w:val="24"/>
              </w:rPr>
              <w:t xml:space="preserve"> třicet (30) dnů předem veškeré aktualizace podmínek a poskytne mu aktualizovanou kopii těchto podmínek. </w:t>
            </w:r>
            <w:bookmarkStart w:id="36" w:name="_Hlk13408238"/>
            <w:r w:rsidRPr="006D689E">
              <w:rPr>
                <w:w w:val="100"/>
                <w:sz w:val="24"/>
                <w:szCs w:val="24"/>
              </w:rPr>
              <w:t>Jakákoli taková změna (změny) postupu komerčního odběru nebo podmínek se bude (budou) vztahovat na nové objednávky produktů (jak je definováno níže) a nebude (nebudou) se vztahovat zpětně na jakékoli probíhající nebo minulé objednávky produktů.</w:t>
            </w:r>
            <w:bookmarkStart w:id="37" w:name="_Ref72309441"/>
            <w:bookmarkEnd w:id="35"/>
            <w:bookmarkEnd w:id="36"/>
          </w:p>
        </w:tc>
        <w:tc>
          <w:tcPr>
            <w:tcW w:w="2452" w:type="pct"/>
          </w:tcPr>
          <w:p w14:paraId="6374748E" w14:textId="3AA2FFDF" w:rsidR="00C32FF1" w:rsidRPr="0031164B" w:rsidRDefault="00C0303E" w:rsidP="00615B72">
            <w:pPr>
              <w:pStyle w:val="Legal1L2"/>
              <w:numPr>
                <w:ilvl w:val="0"/>
                <w:numId w:val="0"/>
              </w:numPr>
              <w:ind w:firstLine="180"/>
              <w:rPr>
                <w:rFonts w:eastAsia="Times New Roman"/>
                <w:w w:val="100"/>
                <w:sz w:val="24"/>
                <w:szCs w:val="24"/>
                <w:u w:val="single"/>
                <w:lang w:val="en-GB"/>
              </w:rPr>
            </w:pPr>
            <w:r>
              <w:rPr>
                <w:w w:val="100"/>
                <w:sz w:val="24"/>
                <w:szCs w:val="24"/>
                <w:u w:val="single"/>
                <w:lang w:val="en-GB"/>
              </w:rPr>
              <w:t xml:space="preserve">2.3 </w:t>
            </w:r>
            <w:r w:rsidR="00C32FF1" w:rsidRPr="0031164B">
              <w:rPr>
                <w:w w:val="100"/>
                <w:sz w:val="24"/>
                <w:szCs w:val="24"/>
                <w:u w:val="single"/>
                <w:lang w:val="en-GB"/>
              </w:rPr>
              <w:t>Changes to this Agreement or a Statement of Work</w:t>
            </w:r>
            <w:r w:rsidR="00C32FF1" w:rsidRPr="0031164B">
              <w:rPr>
                <w:w w:val="100"/>
                <w:sz w:val="24"/>
                <w:szCs w:val="24"/>
                <w:lang w:val="en-GB"/>
              </w:rPr>
              <w:t xml:space="preserve">. Unless specified otherwise herein, amendments to this Agreement or to any executed Statement of Work may only be made by written mutual agreement of the Parties.  Notwithstanding the foregoing, </w:t>
            </w:r>
            <w:r w:rsidR="00C32FF1" w:rsidRPr="0031164B">
              <w:rPr>
                <w:w w:val="100"/>
                <w:lang w:val="en-GB"/>
              </w:rPr>
              <w:t>BMS</w:t>
            </w:r>
            <w:r w:rsidR="00C32FF1" w:rsidRPr="0031164B">
              <w:rPr>
                <w:w w:val="100"/>
                <w:sz w:val="24"/>
                <w:szCs w:val="24"/>
                <w:lang w:val="en-GB"/>
              </w:rPr>
              <w:t xml:space="preserve"> may from time to time amend </w:t>
            </w:r>
            <w:r w:rsidR="00C32FF1" w:rsidRPr="0031164B">
              <w:rPr>
                <w:w w:val="100"/>
                <w:lang w:val="en-GB"/>
              </w:rPr>
              <w:t>BMS’</w:t>
            </w:r>
            <w:r w:rsidR="00C32FF1" w:rsidRPr="0031164B">
              <w:rPr>
                <w:w w:val="100"/>
                <w:sz w:val="24"/>
                <w:szCs w:val="24"/>
                <w:lang w:val="en-GB"/>
              </w:rPr>
              <w:t xml:space="preserve"> Adult MNC Collection Procedure Europe, which forms part of this Agreement and is hereby incorporated by reference (the “</w:t>
            </w:r>
            <w:r w:rsidR="00C32FF1" w:rsidRPr="0031164B">
              <w:rPr>
                <w:b/>
                <w:w w:val="100"/>
                <w:sz w:val="24"/>
                <w:szCs w:val="24"/>
                <w:lang w:val="en-GB"/>
              </w:rPr>
              <w:t>Commercial Collection Procedure</w:t>
            </w:r>
            <w:r w:rsidR="00C32FF1" w:rsidRPr="0031164B">
              <w:rPr>
                <w:w w:val="100"/>
                <w:sz w:val="24"/>
                <w:szCs w:val="24"/>
                <w:lang w:val="en-GB"/>
              </w:rPr>
              <w:t>”), or the Chimeric Antigen Receptor T-Cell Product Terms and Conditions attached hereto as Attachment C (the “</w:t>
            </w:r>
            <w:r w:rsidR="00C32FF1" w:rsidRPr="0031164B">
              <w:rPr>
                <w:b/>
                <w:w w:val="100"/>
                <w:sz w:val="24"/>
                <w:szCs w:val="24"/>
                <w:lang w:val="en-GB"/>
              </w:rPr>
              <w:t>Terms and Conditions</w:t>
            </w:r>
            <w:r w:rsidR="00C32FF1" w:rsidRPr="0031164B">
              <w:rPr>
                <w:w w:val="100"/>
                <w:sz w:val="24"/>
                <w:szCs w:val="24"/>
                <w:lang w:val="en-GB"/>
              </w:rPr>
              <w:t xml:space="preserve">”) without amending this Agreement and, in so far as permitted by the national law of the country in which Center is established, without requiring any approval from the Center. For that purpose, </w:t>
            </w:r>
            <w:r w:rsidR="00C32FF1" w:rsidRPr="0031164B">
              <w:rPr>
                <w:w w:val="100"/>
                <w:lang w:val="en-GB"/>
              </w:rPr>
              <w:t>BMS</w:t>
            </w:r>
            <w:r w:rsidR="00C32FF1" w:rsidRPr="0031164B">
              <w:rPr>
                <w:w w:val="100"/>
                <w:sz w:val="24"/>
                <w:szCs w:val="24"/>
                <w:lang w:val="en-GB"/>
              </w:rPr>
              <w:t xml:space="preserve"> shall provide Center a thirty (30) day notice of any updates to the Commercial Collection Procedure and such updates shall be handled as set forth in the Quality Agreement. </w:t>
            </w:r>
            <w:r w:rsidR="00C32FF1" w:rsidRPr="0031164B">
              <w:rPr>
                <w:w w:val="100"/>
                <w:lang w:val="en-GB"/>
              </w:rPr>
              <w:t>BMS</w:t>
            </w:r>
            <w:r w:rsidR="00C32FF1" w:rsidRPr="0031164B">
              <w:rPr>
                <w:w w:val="100"/>
                <w:sz w:val="24"/>
                <w:szCs w:val="24"/>
                <w:lang w:val="en-GB"/>
              </w:rPr>
              <w:t xml:space="preserve"> shall provide Center a thirty (30) day notice of any updates to the Terms and Conditions as well as an updated copy of the Terms and Conditions. Any such amendment(s) to the Commercial Collection Procedure or Terms and Conditions will apply prospectively to new Product Orders (as defined below) and will not apply retroactively to any in-process or past Product Orders.</w:t>
            </w:r>
          </w:p>
        </w:tc>
      </w:tr>
      <w:bookmarkEnd w:id="34"/>
      <w:tr w:rsidR="00C32FF1" w:rsidRPr="0031164B" w14:paraId="434AE82D" w14:textId="24E667FA" w:rsidTr="00830D19">
        <w:tc>
          <w:tcPr>
            <w:tcW w:w="2548" w:type="pct"/>
          </w:tcPr>
          <w:p w14:paraId="69AA3F4A" w14:textId="2040FFE6" w:rsidR="00C32FF1" w:rsidRPr="006D689E" w:rsidRDefault="00C32FF1" w:rsidP="00C32FF1">
            <w:pPr>
              <w:pStyle w:val="Legal1L1"/>
              <w:widowControl/>
              <w:numPr>
                <w:ilvl w:val="0"/>
                <w:numId w:val="1"/>
              </w:numPr>
              <w:tabs>
                <w:tab w:val="left" w:pos="1440"/>
              </w:tabs>
              <w:adjustRightInd/>
              <w:ind w:left="0" w:firstLine="0"/>
              <w:outlineLvl w:val="9"/>
              <w:rPr>
                <w:b/>
                <w:u w:val="none"/>
              </w:rPr>
            </w:pPr>
            <w:r w:rsidRPr="006D689E">
              <w:rPr>
                <w:b/>
                <w:u w:val="none"/>
              </w:rPr>
              <w:t xml:space="preserve">SUBDODÁVKY A KVALIFIKACE – </w:t>
            </w:r>
            <w:r w:rsidR="006E7C98">
              <w:rPr>
                <w:b/>
                <w:u w:val="none"/>
              </w:rPr>
              <w:t>CENTRUM</w:t>
            </w:r>
          </w:p>
        </w:tc>
        <w:tc>
          <w:tcPr>
            <w:tcW w:w="2452" w:type="pct"/>
          </w:tcPr>
          <w:p w14:paraId="362FA6AE" w14:textId="17D2228E" w:rsidR="00C32FF1" w:rsidRPr="0031164B" w:rsidRDefault="00C32FF1" w:rsidP="00CD4205">
            <w:pPr>
              <w:pStyle w:val="Legal1L1"/>
              <w:widowControl/>
              <w:numPr>
                <w:ilvl w:val="0"/>
                <w:numId w:val="30"/>
              </w:numPr>
              <w:tabs>
                <w:tab w:val="clear" w:pos="720"/>
              </w:tabs>
              <w:adjustRightInd/>
              <w:ind w:left="699" w:hanging="699"/>
              <w:outlineLvl w:val="9"/>
              <w:rPr>
                <w:b/>
                <w:u w:val="none"/>
                <w:lang w:val="en-GB"/>
              </w:rPr>
            </w:pPr>
            <w:r w:rsidRPr="0031164B">
              <w:rPr>
                <w:b/>
                <w:u w:val="none"/>
                <w:lang w:val="en-GB"/>
              </w:rPr>
              <w:t>CENTER SUBCONTRACTING AND QUALIFICATION</w:t>
            </w:r>
          </w:p>
        </w:tc>
      </w:tr>
      <w:tr w:rsidR="00C32FF1" w:rsidRPr="0031164B" w14:paraId="17024A48" w14:textId="51EDD82E" w:rsidTr="00830D19">
        <w:tc>
          <w:tcPr>
            <w:tcW w:w="2548" w:type="pct"/>
          </w:tcPr>
          <w:p w14:paraId="2BB9EE93" w14:textId="36DC3961" w:rsidR="00C32FF1" w:rsidRPr="006D689E" w:rsidRDefault="00C32FF1" w:rsidP="00C32FF1">
            <w:pPr>
              <w:pStyle w:val="Legal1L2"/>
              <w:ind w:left="0"/>
              <w:rPr>
                <w:rFonts w:eastAsia="Times New Roman"/>
                <w:w w:val="100"/>
                <w:sz w:val="24"/>
                <w:szCs w:val="24"/>
              </w:rPr>
            </w:pPr>
            <w:r w:rsidRPr="006D689E">
              <w:rPr>
                <w:w w:val="100"/>
                <w:sz w:val="24"/>
                <w:szCs w:val="24"/>
                <w:u w:val="single"/>
              </w:rPr>
              <w:t>Subdodávky</w:t>
            </w:r>
            <w:r w:rsidR="006B7478">
              <w:rPr>
                <w:w w:val="100"/>
                <w:sz w:val="24"/>
                <w:szCs w:val="24"/>
                <w:u w:val="single"/>
              </w:rPr>
              <w:t>.</w:t>
            </w:r>
            <w:r w:rsidRPr="006D689E">
              <w:rPr>
                <w:w w:val="100"/>
                <w:sz w:val="24"/>
                <w:szCs w:val="24"/>
              </w:rPr>
              <w:t xml:space="preserve"> </w:t>
            </w:r>
            <w:r w:rsidR="00C522F0">
              <w:rPr>
                <w:w w:val="100"/>
                <w:sz w:val="24"/>
                <w:szCs w:val="24"/>
              </w:rPr>
              <w:t>Centrum</w:t>
            </w:r>
            <w:r w:rsidR="00C522F0" w:rsidRPr="006D689E">
              <w:rPr>
                <w:w w:val="100"/>
                <w:sz w:val="24"/>
                <w:szCs w:val="24"/>
              </w:rPr>
              <w:t xml:space="preserve"> </w:t>
            </w:r>
            <w:r w:rsidRPr="006D689E">
              <w:rPr>
                <w:w w:val="100"/>
                <w:sz w:val="24"/>
                <w:szCs w:val="24"/>
              </w:rPr>
              <w:t xml:space="preserve">nesmí zadat subdodavatelům žádné ze svých povinností vyplývajících z této smlouvy ani povolit třetí straně, aby manipulovala s aferézním materiálem nebo produktem nebo je skladovala, pokud taková třetí strana a služby, které bude provádět, nejsou předem písemně schváleny </w:t>
            </w:r>
            <w:r w:rsidRPr="006D689E">
              <w:rPr>
                <w:w w:val="100"/>
              </w:rPr>
              <w:t>společností BMS</w:t>
            </w:r>
            <w:r w:rsidRPr="006D689E">
              <w:rPr>
                <w:w w:val="100"/>
                <w:sz w:val="24"/>
                <w:szCs w:val="24"/>
              </w:rPr>
              <w:t xml:space="preserve"> („</w:t>
            </w:r>
            <w:r w:rsidRPr="006D689E">
              <w:rPr>
                <w:b/>
                <w:w w:val="100"/>
                <w:sz w:val="24"/>
                <w:szCs w:val="24"/>
              </w:rPr>
              <w:t>schválený subdodavatel</w:t>
            </w:r>
            <w:r w:rsidRPr="006D689E">
              <w:rPr>
                <w:w w:val="100"/>
                <w:sz w:val="24"/>
                <w:szCs w:val="24"/>
              </w:rPr>
              <w:t>“</w:t>
            </w:r>
            <w:r w:rsidRPr="006D689E">
              <w:rPr>
                <w:w w:val="100"/>
              </w:rPr>
              <w:t>).</w:t>
            </w:r>
            <w:r w:rsidRPr="006D689E">
              <w:rPr>
                <w:w w:val="100"/>
                <w:sz w:val="24"/>
                <w:szCs w:val="24"/>
              </w:rPr>
              <w:t xml:space="preserve">  </w:t>
            </w:r>
            <w:r w:rsidRPr="006D689E">
              <w:rPr>
                <w:w w:val="100"/>
              </w:rPr>
              <w:t xml:space="preserve">V </w:t>
            </w:r>
            <w:r w:rsidRPr="006D689E">
              <w:rPr>
                <w:w w:val="100"/>
                <w:sz w:val="24"/>
                <w:szCs w:val="24"/>
              </w:rPr>
              <w:t xml:space="preserve">případě, že </w:t>
            </w:r>
            <w:r w:rsidRPr="006D689E">
              <w:rPr>
                <w:w w:val="100"/>
              </w:rPr>
              <w:t>společnost BMS</w:t>
            </w:r>
            <w:r w:rsidRPr="006D689E">
              <w:rPr>
                <w:w w:val="100"/>
                <w:sz w:val="24"/>
                <w:szCs w:val="24"/>
              </w:rPr>
              <w:t xml:space="preserve"> písemně schválí, aby </w:t>
            </w:r>
            <w:r w:rsidR="00E57EC2">
              <w:rPr>
                <w:w w:val="100"/>
                <w:sz w:val="24"/>
                <w:szCs w:val="24"/>
              </w:rPr>
              <w:t>Centrum</w:t>
            </w:r>
            <w:r w:rsidRPr="006D689E">
              <w:rPr>
                <w:w w:val="100"/>
                <w:sz w:val="24"/>
                <w:szCs w:val="24"/>
              </w:rPr>
              <w:t xml:space="preserve"> zadalo některou ze svých povinností podle této smlouvy </w:t>
            </w:r>
            <w:r w:rsidRPr="006D689E">
              <w:rPr>
                <w:w w:val="100"/>
                <w:sz w:val="24"/>
                <w:szCs w:val="24"/>
              </w:rPr>
              <w:lastRenderedPageBreak/>
              <w:t xml:space="preserve">subdodavateli, </w:t>
            </w:r>
            <w:r w:rsidR="00E57EC2">
              <w:rPr>
                <w:w w:val="100"/>
                <w:sz w:val="24"/>
                <w:szCs w:val="24"/>
              </w:rPr>
              <w:t>Centrum</w:t>
            </w:r>
            <w:r w:rsidRPr="006D689E">
              <w:rPr>
                <w:w w:val="100"/>
                <w:sz w:val="24"/>
                <w:szCs w:val="24"/>
              </w:rPr>
              <w:t xml:space="preserve"> zaručuje, že převezme plnou odpovědnost za plnění schváleného subdodavatele, dodržování a/nebo porušování všech podmínek této smlouvy a příslušného prohlášení o pracovní činnosti, které se na </w:t>
            </w:r>
            <w:r w:rsidR="00CA65BB">
              <w:rPr>
                <w:w w:val="100"/>
                <w:sz w:val="24"/>
                <w:szCs w:val="24"/>
              </w:rPr>
              <w:t>Centrum</w:t>
            </w:r>
            <w:r w:rsidRPr="006D689E">
              <w:rPr>
                <w:w w:val="100"/>
                <w:sz w:val="24"/>
                <w:szCs w:val="24"/>
              </w:rPr>
              <w:t xml:space="preserve"> vztahují, včetně zajištění toho, aby schválení subdodavatelé chránili důvěrné informace (jak jsou definovány v oddíle </w:t>
            </w:r>
            <w:r w:rsidRPr="006D689E">
              <w:rPr>
                <w:rFonts w:eastAsia="Times New Roman"/>
                <w:w w:val="100"/>
                <w:sz w:val="24"/>
                <w:szCs w:val="24"/>
              </w:rPr>
              <w:fldChar w:fldCharType="begin" w:fldLock="1"/>
            </w:r>
            <w:r w:rsidRPr="006D689E">
              <w:rPr>
                <w:rFonts w:eastAsia="Times New Roman"/>
                <w:w w:val="100"/>
                <w:sz w:val="24"/>
                <w:szCs w:val="24"/>
              </w:rPr>
              <w:instrText xml:space="preserve"> REF _Ref39127152 \r \h  \* MERGEFORMAT </w:instrText>
            </w:r>
            <w:r w:rsidRPr="006D689E">
              <w:rPr>
                <w:rFonts w:eastAsia="Times New Roman"/>
                <w:w w:val="100"/>
                <w:sz w:val="24"/>
                <w:szCs w:val="24"/>
              </w:rPr>
            </w:r>
            <w:r w:rsidRPr="006D689E">
              <w:rPr>
                <w:rFonts w:eastAsia="Times New Roman"/>
                <w:w w:val="100"/>
                <w:sz w:val="24"/>
                <w:szCs w:val="24"/>
              </w:rPr>
              <w:fldChar w:fldCharType="separate"/>
            </w:r>
            <w:r w:rsidR="00816D6D">
              <w:rPr>
                <w:rFonts w:eastAsia="Times New Roman"/>
                <w:w w:val="100"/>
                <w:sz w:val="24"/>
                <w:szCs w:val="24"/>
              </w:rPr>
              <w:t>11</w:t>
            </w:r>
            <w:r w:rsidRPr="006D689E">
              <w:rPr>
                <w:rFonts w:eastAsia="Times New Roman"/>
                <w:w w:val="100"/>
                <w:sz w:val="24"/>
                <w:szCs w:val="24"/>
              </w:rPr>
              <w:fldChar w:fldCharType="end"/>
            </w:r>
            <w:r w:rsidRPr="006D689E">
              <w:rPr>
                <w:w w:val="100"/>
                <w:sz w:val="24"/>
                <w:szCs w:val="24"/>
              </w:rPr>
              <w:t xml:space="preserve">) způsobem, který je v souladu s povinnostmi </w:t>
            </w:r>
            <w:r w:rsidR="00F1060A">
              <w:rPr>
                <w:w w:val="100"/>
                <w:sz w:val="24"/>
                <w:szCs w:val="24"/>
              </w:rPr>
              <w:t>Centra</w:t>
            </w:r>
            <w:r w:rsidRPr="006D689E">
              <w:rPr>
                <w:w w:val="100"/>
                <w:sz w:val="24"/>
                <w:szCs w:val="24"/>
              </w:rPr>
              <w:t xml:space="preserve"> podle podmínek této smlouvy.</w:t>
            </w:r>
          </w:p>
        </w:tc>
        <w:tc>
          <w:tcPr>
            <w:tcW w:w="2452" w:type="pct"/>
          </w:tcPr>
          <w:p w14:paraId="2C8B3521" w14:textId="345C4CD1" w:rsidR="00C32FF1" w:rsidRPr="0031164B" w:rsidRDefault="00C32FF1" w:rsidP="00CD4205">
            <w:pPr>
              <w:pStyle w:val="Legal1L2"/>
              <w:numPr>
                <w:ilvl w:val="1"/>
                <w:numId w:val="31"/>
              </w:numPr>
              <w:ind w:left="0" w:firstLine="180"/>
              <w:rPr>
                <w:rFonts w:eastAsia="Times New Roman"/>
                <w:w w:val="100"/>
                <w:sz w:val="24"/>
                <w:szCs w:val="24"/>
                <w:u w:val="single"/>
                <w:lang w:val="en-GB"/>
              </w:rPr>
            </w:pPr>
            <w:r w:rsidRPr="0031164B">
              <w:rPr>
                <w:w w:val="100"/>
                <w:sz w:val="24"/>
                <w:szCs w:val="24"/>
                <w:u w:val="single"/>
                <w:lang w:val="en-GB"/>
              </w:rPr>
              <w:lastRenderedPageBreak/>
              <w:t>Subcontracting.</w:t>
            </w:r>
            <w:r w:rsidRPr="0031164B">
              <w:rPr>
                <w:w w:val="100"/>
                <w:sz w:val="24"/>
                <w:szCs w:val="24"/>
                <w:lang w:val="en-GB"/>
              </w:rPr>
              <w:t xml:space="preserve"> Center may not subcontract any of its performance obligations under this Agreement or permit a third party to handle or store Apheresis Materials or Product unless such third party and the Services they shall perform is approved in advance in writing by </w:t>
            </w:r>
            <w:r w:rsidRPr="0031164B">
              <w:rPr>
                <w:w w:val="100"/>
                <w:lang w:val="en-GB"/>
              </w:rPr>
              <w:t>BMS</w:t>
            </w:r>
            <w:r w:rsidRPr="0031164B">
              <w:rPr>
                <w:w w:val="100"/>
                <w:sz w:val="24"/>
                <w:szCs w:val="24"/>
                <w:lang w:val="en-GB"/>
              </w:rPr>
              <w:t xml:space="preserve"> (an “</w:t>
            </w:r>
            <w:r w:rsidRPr="0031164B">
              <w:rPr>
                <w:b/>
                <w:w w:val="100"/>
                <w:sz w:val="24"/>
                <w:szCs w:val="24"/>
                <w:lang w:val="en-GB"/>
              </w:rPr>
              <w:t>Approved Subcontractor</w:t>
            </w:r>
            <w:r w:rsidRPr="0031164B">
              <w:rPr>
                <w:w w:val="100"/>
                <w:sz w:val="24"/>
                <w:szCs w:val="24"/>
                <w:lang w:val="en-GB"/>
              </w:rPr>
              <w:t xml:space="preserve">”).  In the event </w:t>
            </w:r>
            <w:r w:rsidRPr="0031164B">
              <w:rPr>
                <w:w w:val="100"/>
                <w:lang w:val="en-GB"/>
              </w:rPr>
              <w:t>BMS</w:t>
            </w:r>
            <w:r w:rsidRPr="0031164B">
              <w:rPr>
                <w:w w:val="100"/>
                <w:sz w:val="24"/>
                <w:szCs w:val="24"/>
                <w:lang w:val="en-GB"/>
              </w:rPr>
              <w:t xml:space="preserve"> provides approval in writing for Center to subcontract any of its obligations hereunder, Center warrants that it will take </w:t>
            </w:r>
            <w:r w:rsidRPr="0031164B">
              <w:rPr>
                <w:w w:val="100"/>
                <w:sz w:val="24"/>
                <w:szCs w:val="24"/>
                <w:lang w:val="en-GB"/>
              </w:rPr>
              <w:lastRenderedPageBreak/>
              <w:t xml:space="preserve">full liability for the performance of the Approved Subcontractor, the compliance and/or breach by such Approved Subcontractor with all of the terms of this Agreement and applicable Statement of Work, that apply to Center, including ensuring Approved Subcontractors protect Confidential Information (as defined in Section </w:t>
            </w:r>
            <w:r w:rsidRPr="0031164B">
              <w:rPr>
                <w:rFonts w:eastAsia="Times New Roman"/>
                <w:w w:val="100"/>
                <w:sz w:val="24"/>
                <w:szCs w:val="24"/>
                <w:lang w:val="en-GB"/>
              </w:rPr>
              <w:fldChar w:fldCharType="begin" w:fldLock="1"/>
            </w:r>
            <w:r w:rsidRPr="0031164B">
              <w:rPr>
                <w:rFonts w:eastAsia="Times New Roman"/>
                <w:w w:val="100"/>
                <w:sz w:val="24"/>
                <w:szCs w:val="24"/>
                <w:lang w:val="en-GB"/>
              </w:rPr>
              <w:instrText xml:space="preserve"> REF _Ref39127152 \r \h  \* MERGEFORMAT </w:instrText>
            </w:r>
            <w:r w:rsidRPr="0031164B">
              <w:rPr>
                <w:rFonts w:eastAsia="Times New Roman"/>
                <w:w w:val="100"/>
                <w:sz w:val="24"/>
                <w:szCs w:val="24"/>
                <w:lang w:val="en-GB"/>
              </w:rPr>
            </w:r>
            <w:r w:rsidRPr="0031164B">
              <w:rPr>
                <w:rFonts w:eastAsia="Times New Roman"/>
                <w:w w:val="100"/>
                <w:sz w:val="24"/>
                <w:szCs w:val="24"/>
                <w:lang w:val="en-GB"/>
              </w:rPr>
              <w:fldChar w:fldCharType="separate"/>
            </w:r>
            <w:r w:rsidR="00816D6D">
              <w:rPr>
                <w:rFonts w:eastAsia="Times New Roman"/>
                <w:w w:val="100"/>
                <w:sz w:val="24"/>
                <w:szCs w:val="24"/>
                <w:lang w:val="en-GB"/>
              </w:rPr>
              <w:t>11</w:t>
            </w:r>
            <w:r w:rsidRPr="0031164B">
              <w:rPr>
                <w:rFonts w:eastAsia="Times New Roman"/>
                <w:w w:val="100"/>
                <w:sz w:val="24"/>
                <w:szCs w:val="24"/>
                <w:lang w:val="en-GB"/>
              </w:rPr>
              <w:fldChar w:fldCharType="end"/>
            </w:r>
            <w:r w:rsidRPr="0031164B">
              <w:rPr>
                <w:w w:val="100"/>
                <w:sz w:val="24"/>
                <w:szCs w:val="24"/>
                <w:lang w:val="en-GB"/>
              </w:rPr>
              <w:t>) in a manner consistent with Center’s obligations under the terms of this Agreement.</w:t>
            </w:r>
          </w:p>
        </w:tc>
      </w:tr>
      <w:tr w:rsidR="00C32FF1" w:rsidRPr="0031164B" w14:paraId="60201294" w14:textId="338B82C1" w:rsidTr="00830D19">
        <w:tc>
          <w:tcPr>
            <w:tcW w:w="2548" w:type="pct"/>
          </w:tcPr>
          <w:p w14:paraId="7FA10A96" w14:textId="626D998B" w:rsidR="00C32FF1" w:rsidRPr="006D689E" w:rsidRDefault="00C32FF1" w:rsidP="00C32FF1">
            <w:pPr>
              <w:pStyle w:val="Legal1L2"/>
              <w:ind w:left="0"/>
              <w:rPr>
                <w:rFonts w:eastAsia="Times New Roman"/>
                <w:w w:val="100"/>
                <w:sz w:val="24"/>
                <w:szCs w:val="24"/>
                <w:u w:val="single"/>
              </w:rPr>
            </w:pPr>
            <w:bookmarkStart w:id="38" w:name="_Ref39069759"/>
            <w:r w:rsidRPr="006D689E">
              <w:rPr>
                <w:w w:val="100"/>
                <w:sz w:val="24"/>
                <w:szCs w:val="24"/>
                <w:u w:val="single"/>
              </w:rPr>
              <w:lastRenderedPageBreak/>
              <w:t xml:space="preserve">Kvalifikace </w:t>
            </w:r>
            <w:r w:rsidR="00B12B9B">
              <w:rPr>
                <w:w w:val="100"/>
                <w:sz w:val="24"/>
                <w:szCs w:val="24"/>
                <w:u w:val="single"/>
              </w:rPr>
              <w:t>Centra</w:t>
            </w:r>
            <w:bookmarkEnd w:id="38"/>
          </w:p>
        </w:tc>
        <w:tc>
          <w:tcPr>
            <w:tcW w:w="2452" w:type="pct"/>
          </w:tcPr>
          <w:p w14:paraId="0A2402CE" w14:textId="3AC52A30" w:rsidR="00C32FF1" w:rsidRPr="0031164B" w:rsidRDefault="00C32FF1" w:rsidP="00CD4205">
            <w:pPr>
              <w:pStyle w:val="Legal1L2"/>
              <w:numPr>
                <w:ilvl w:val="1"/>
                <w:numId w:val="32"/>
              </w:numPr>
              <w:rPr>
                <w:rFonts w:eastAsia="Times New Roman"/>
                <w:w w:val="100"/>
                <w:sz w:val="24"/>
                <w:szCs w:val="24"/>
                <w:u w:val="single"/>
                <w:lang w:val="en-GB"/>
              </w:rPr>
            </w:pPr>
            <w:r w:rsidRPr="0031164B">
              <w:rPr>
                <w:w w:val="100"/>
                <w:sz w:val="24"/>
                <w:szCs w:val="24"/>
                <w:u w:val="single"/>
                <w:lang w:val="en-GB"/>
              </w:rPr>
              <w:t>Center Qualification</w:t>
            </w:r>
          </w:p>
        </w:tc>
      </w:tr>
      <w:tr w:rsidR="00C32FF1" w:rsidRPr="0031164B" w14:paraId="3FE6A764" w14:textId="798F5F4B" w:rsidTr="00830D19">
        <w:tc>
          <w:tcPr>
            <w:tcW w:w="2548" w:type="pct"/>
          </w:tcPr>
          <w:p w14:paraId="49759BCB" w14:textId="41EDB8E9" w:rsidR="00C32FF1" w:rsidRPr="006D689E" w:rsidRDefault="00B12B9B" w:rsidP="00C32FF1">
            <w:pPr>
              <w:pStyle w:val="Legal1L2"/>
              <w:numPr>
                <w:ilvl w:val="2"/>
                <w:numId w:val="1"/>
              </w:numPr>
              <w:ind w:left="0"/>
              <w:rPr>
                <w:rFonts w:eastAsia="Times New Roman"/>
                <w:w w:val="100"/>
                <w:sz w:val="24"/>
                <w:szCs w:val="24"/>
              </w:rPr>
            </w:pPr>
            <w:r>
              <w:rPr>
                <w:w w:val="100"/>
                <w:sz w:val="24"/>
                <w:szCs w:val="24"/>
              </w:rPr>
              <w:t>Centrum</w:t>
            </w:r>
            <w:r w:rsidR="00C32FF1" w:rsidRPr="006D689E">
              <w:rPr>
                <w:w w:val="100"/>
                <w:sz w:val="24"/>
                <w:szCs w:val="24"/>
              </w:rPr>
              <w:t xml:space="preserve"> a schválení subdodavatelé budou muset dokončit  vstupní proces společnosti BMS, jak jej definuje </w:t>
            </w:r>
            <w:r w:rsidR="00C32FF1" w:rsidRPr="006D689E">
              <w:rPr>
                <w:w w:val="100"/>
              </w:rPr>
              <w:t>společnost BMS,</w:t>
            </w:r>
            <w:r w:rsidR="00C32FF1" w:rsidRPr="006D689E">
              <w:rPr>
                <w:w w:val="100"/>
                <w:sz w:val="24"/>
                <w:szCs w:val="24"/>
              </w:rPr>
              <w:t xml:space="preserve"> který bude zahrnovat získání certifikace, registrace nebo povolení příslušného orgánu k provádění aferézy materiálů. </w:t>
            </w:r>
            <w:r w:rsidR="00C32FF1" w:rsidRPr="006D689E">
              <w:rPr>
                <w:w w:val="100"/>
              </w:rPr>
              <w:t>Společnost BMS</w:t>
            </w:r>
            <w:r w:rsidR="00C32FF1" w:rsidRPr="006D689E">
              <w:rPr>
                <w:w w:val="100"/>
                <w:sz w:val="24"/>
                <w:szCs w:val="24"/>
              </w:rPr>
              <w:t xml:space="preserve"> může k provádění aferézních služeb podle této smlouvy pověřit jedno nebo více odběrných míst </w:t>
            </w:r>
            <w:r w:rsidR="005710DD">
              <w:rPr>
                <w:w w:val="100"/>
                <w:sz w:val="24"/>
                <w:szCs w:val="24"/>
              </w:rPr>
              <w:t>Centra</w:t>
            </w:r>
            <w:r w:rsidR="00C32FF1" w:rsidRPr="006D689E">
              <w:rPr>
                <w:w w:val="100"/>
                <w:sz w:val="24"/>
                <w:szCs w:val="24"/>
              </w:rPr>
              <w:t xml:space="preserve"> (dále jen „</w:t>
            </w:r>
            <w:r w:rsidR="00C32FF1" w:rsidRPr="006D689E">
              <w:rPr>
                <w:b/>
                <w:bCs/>
                <w:w w:val="100"/>
                <w:sz w:val="24"/>
                <w:szCs w:val="24"/>
              </w:rPr>
              <w:t>odběrné místo</w:t>
            </w:r>
            <w:r w:rsidR="00C32FF1" w:rsidRPr="006D689E">
              <w:rPr>
                <w:w w:val="100"/>
                <w:sz w:val="24"/>
                <w:szCs w:val="24"/>
              </w:rPr>
              <w:t>“</w:t>
            </w:r>
            <w:r w:rsidR="00C32FF1" w:rsidRPr="006D689E">
              <w:rPr>
                <w:w w:val="100"/>
              </w:rPr>
              <w:t>).</w:t>
            </w:r>
            <w:r w:rsidR="00C32FF1" w:rsidRPr="006D689E">
              <w:rPr>
                <w:w w:val="100"/>
                <w:sz w:val="24"/>
                <w:szCs w:val="24"/>
              </w:rPr>
              <w:t xml:space="preserve">  Odběrná místa budou uvedena v příslušném prohlášení o pracovní činnosti. Po uspokojivém dokončení vstupních činností </w:t>
            </w:r>
            <w:r w:rsidR="007C56AC">
              <w:rPr>
                <w:w w:val="100"/>
                <w:sz w:val="24"/>
                <w:szCs w:val="24"/>
              </w:rPr>
              <w:t>Centra</w:t>
            </w:r>
            <w:r w:rsidR="00C32FF1" w:rsidRPr="006D689E">
              <w:rPr>
                <w:w w:val="100"/>
                <w:sz w:val="24"/>
                <w:szCs w:val="24"/>
              </w:rPr>
              <w:t xml:space="preserve">, včetně  schválení </w:t>
            </w:r>
            <w:r w:rsidR="001A64C4">
              <w:rPr>
                <w:w w:val="100"/>
                <w:sz w:val="24"/>
                <w:szCs w:val="24"/>
              </w:rPr>
              <w:t>Centra</w:t>
            </w:r>
            <w:r w:rsidR="00C32FF1" w:rsidRPr="006D689E">
              <w:rPr>
                <w:w w:val="100"/>
                <w:sz w:val="24"/>
                <w:szCs w:val="24"/>
              </w:rPr>
              <w:t xml:space="preserve"> společností BMS jako vhodného poskytovatele aferézních služeb, jak určí </w:t>
            </w:r>
            <w:r w:rsidR="00C32FF1" w:rsidRPr="006D689E">
              <w:rPr>
                <w:w w:val="100"/>
              </w:rPr>
              <w:t>společnost BMS podle vlastního</w:t>
            </w:r>
            <w:r w:rsidR="00C32FF1" w:rsidRPr="006D689E">
              <w:rPr>
                <w:w w:val="100"/>
                <w:sz w:val="24"/>
                <w:szCs w:val="24"/>
              </w:rPr>
              <w:t xml:space="preserve"> uvážení </w:t>
            </w:r>
            <w:r w:rsidR="00C32FF1" w:rsidRPr="006D689E">
              <w:rPr>
                <w:w w:val="100"/>
              </w:rPr>
              <w:t>, společnost BMS</w:t>
            </w:r>
            <w:r w:rsidR="00C32FF1" w:rsidRPr="006D689E">
              <w:rPr>
                <w:w w:val="100"/>
                <w:sz w:val="24"/>
                <w:szCs w:val="24"/>
              </w:rPr>
              <w:t xml:space="preserve"> oznámí </w:t>
            </w:r>
            <w:r w:rsidR="00D85D89">
              <w:rPr>
                <w:w w:val="100"/>
                <w:sz w:val="24"/>
                <w:szCs w:val="24"/>
              </w:rPr>
              <w:t>Centru</w:t>
            </w:r>
            <w:r w:rsidR="00C32FF1" w:rsidRPr="006D689E">
              <w:rPr>
                <w:w w:val="100"/>
                <w:sz w:val="24"/>
                <w:szCs w:val="24"/>
              </w:rPr>
              <w:t xml:space="preserve">, že je považováno za Kvalifikované </w:t>
            </w:r>
            <w:r w:rsidR="00D85D89">
              <w:rPr>
                <w:w w:val="100"/>
                <w:sz w:val="24"/>
                <w:szCs w:val="24"/>
              </w:rPr>
              <w:t>centrum</w:t>
            </w:r>
            <w:r w:rsidR="00C32FF1" w:rsidRPr="006D689E">
              <w:rPr>
                <w:w w:val="100"/>
                <w:sz w:val="24"/>
                <w:szCs w:val="24"/>
              </w:rPr>
              <w:t xml:space="preserve">, které si může objednat produkt(y) od </w:t>
            </w:r>
            <w:r w:rsidR="00C32FF1" w:rsidRPr="006D689E">
              <w:rPr>
                <w:w w:val="100"/>
              </w:rPr>
              <w:t>společnosti BMS</w:t>
            </w:r>
            <w:r w:rsidR="00C32FF1" w:rsidRPr="006D689E">
              <w:rPr>
                <w:w w:val="100"/>
                <w:sz w:val="24"/>
                <w:szCs w:val="24"/>
              </w:rPr>
              <w:t xml:space="preserve">. </w:t>
            </w:r>
          </w:p>
        </w:tc>
        <w:tc>
          <w:tcPr>
            <w:tcW w:w="2452" w:type="pct"/>
          </w:tcPr>
          <w:p w14:paraId="0C47C313" w14:textId="38F03B4B" w:rsidR="00C32FF1" w:rsidRPr="0031164B" w:rsidRDefault="00C32FF1" w:rsidP="00CD4205">
            <w:pPr>
              <w:pStyle w:val="Legal1L2"/>
              <w:numPr>
                <w:ilvl w:val="2"/>
                <w:numId w:val="33"/>
              </w:numPr>
              <w:ind w:left="0"/>
              <w:rPr>
                <w:rFonts w:eastAsia="Times New Roman"/>
                <w:w w:val="100"/>
                <w:sz w:val="24"/>
                <w:szCs w:val="24"/>
                <w:lang w:val="en-GB"/>
              </w:rPr>
            </w:pPr>
            <w:r w:rsidRPr="0031164B">
              <w:rPr>
                <w:w w:val="100"/>
                <w:sz w:val="24"/>
                <w:szCs w:val="24"/>
                <w:lang w:val="en-GB"/>
              </w:rPr>
              <w:t xml:space="preserve">Center and Approved Subcontractors will be required to complete </w:t>
            </w:r>
            <w:r w:rsidRPr="0031164B">
              <w:rPr>
                <w:w w:val="100"/>
                <w:lang w:val="en-GB"/>
              </w:rPr>
              <w:t>BMS’</w:t>
            </w:r>
            <w:r w:rsidRPr="0031164B">
              <w:rPr>
                <w:w w:val="100"/>
                <w:sz w:val="24"/>
                <w:szCs w:val="24"/>
                <w:lang w:val="en-GB"/>
              </w:rPr>
              <w:t xml:space="preserve"> onboarding process, as defined by </w:t>
            </w:r>
            <w:r w:rsidRPr="0031164B">
              <w:rPr>
                <w:w w:val="100"/>
                <w:lang w:val="en-GB"/>
              </w:rPr>
              <w:t>BMS</w:t>
            </w:r>
            <w:r w:rsidRPr="0031164B">
              <w:rPr>
                <w:w w:val="100"/>
                <w:sz w:val="24"/>
                <w:szCs w:val="24"/>
                <w:lang w:val="en-GB"/>
              </w:rPr>
              <w:t xml:space="preserve">, which will include the Center obtaining certification, registration or authorization by a competent authority for performing the apheresis of the materials. </w:t>
            </w:r>
            <w:r w:rsidRPr="0031164B">
              <w:rPr>
                <w:w w:val="100"/>
                <w:lang w:val="en-GB"/>
              </w:rPr>
              <w:t>BMS</w:t>
            </w:r>
            <w:r w:rsidRPr="0031164B">
              <w:rPr>
                <w:w w:val="100"/>
                <w:sz w:val="24"/>
                <w:szCs w:val="24"/>
                <w:lang w:val="en-GB"/>
              </w:rPr>
              <w:t xml:space="preserve"> may qualify one or more Center collection locations (each, a “</w:t>
            </w:r>
            <w:r w:rsidRPr="0031164B">
              <w:rPr>
                <w:b/>
                <w:bCs/>
                <w:w w:val="100"/>
                <w:sz w:val="24"/>
                <w:szCs w:val="24"/>
                <w:lang w:val="en-GB"/>
              </w:rPr>
              <w:t>Collection Location</w:t>
            </w:r>
            <w:r w:rsidRPr="0031164B">
              <w:rPr>
                <w:w w:val="100"/>
                <w:sz w:val="24"/>
                <w:szCs w:val="24"/>
                <w:lang w:val="en-GB"/>
              </w:rPr>
              <w:t xml:space="preserve">”) to perform Apheresis Services hereunder.  Collection Locations will be specified in the applicable Statement of Work. Upon Center’s satisfactory completion of onboarding activities, including </w:t>
            </w:r>
            <w:r w:rsidRPr="0031164B">
              <w:rPr>
                <w:w w:val="100"/>
                <w:lang w:val="en-GB"/>
              </w:rPr>
              <w:t>BMS’</w:t>
            </w:r>
            <w:r w:rsidRPr="0031164B">
              <w:rPr>
                <w:w w:val="100"/>
                <w:sz w:val="24"/>
                <w:szCs w:val="24"/>
                <w:lang w:val="en-GB"/>
              </w:rPr>
              <w:t xml:space="preserve"> approval of the Center as a suitable provider of Apheresis Services, as determined by </w:t>
            </w:r>
            <w:r w:rsidRPr="0031164B">
              <w:rPr>
                <w:w w:val="100"/>
                <w:lang w:val="en-GB"/>
              </w:rPr>
              <w:t>BMS</w:t>
            </w:r>
            <w:r w:rsidRPr="0031164B">
              <w:rPr>
                <w:w w:val="100"/>
                <w:sz w:val="24"/>
                <w:szCs w:val="24"/>
                <w:lang w:val="en-GB"/>
              </w:rPr>
              <w:t xml:space="preserve"> in its sole discretion, </w:t>
            </w:r>
            <w:r w:rsidRPr="0031164B">
              <w:rPr>
                <w:w w:val="100"/>
                <w:lang w:val="en-GB"/>
              </w:rPr>
              <w:t>BMS</w:t>
            </w:r>
            <w:r w:rsidRPr="0031164B">
              <w:rPr>
                <w:w w:val="100"/>
                <w:sz w:val="24"/>
                <w:szCs w:val="24"/>
                <w:lang w:val="en-GB"/>
              </w:rPr>
              <w:t xml:space="preserve"> shall notify Center that it is deemed a Qualified Center that may order Product(s) from </w:t>
            </w:r>
            <w:r w:rsidRPr="0031164B">
              <w:rPr>
                <w:w w:val="100"/>
                <w:lang w:val="en-GB"/>
              </w:rPr>
              <w:t>BMS</w:t>
            </w:r>
            <w:r w:rsidRPr="0031164B">
              <w:rPr>
                <w:w w:val="100"/>
                <w:sz w:val="24"/>
                <w:szCs w:val="24"/>
                <w:lang w:val="en-GB"/>
              </w:rPr>
              <w:t xml:space="preserve">. </w:t>
            </w:r>
          </w:p>
        </w:tc>
      </w:tr>
      <w:tr w:rsidR="00C32FF1" w:rsidRPr="0031164B" w14:paraId="2685C735" w14:textId="5BB2C814" w:rsidTr="00830D19">
        <w:tc>
          <w:tcPr>
            <w:tcW w:w="2548" w:type="pct"/>
          </w:tcPr>
          <w:p w14:paraId="0EB08FB5" w14:textId="7E61EDE7" w:rsidR="00C32FF1" w:rsidRPr="006D689E" w:rsidRDefault="00C32FF1" w:rsidP="00C32FF1">
            <w:pPr>
              <w:pStyle w:val="Legal1L3"/>
              <w:widowControl/>
              <w:numPr>
                <w:ilvl w:val="2"/>
                <w:numId w:val="1"/>
              </w:numPr>
              <w:adjustRightInd/>
              <w:ind w:left="0"/>
              <w:rPr>
                <w:w w:val="100"/>
              </w:rPr>
            </w:pPr>
            <w:r w:rsidRPr="006D689E">
              <w:rPr>
                <w:w w:val="100"/>
              </w:rPr>
              <w:t xml:space="preserve">Schopnost </w:t>
            </w:r>
            <w:r w:rsidR="002956B3">
              <w:rPr>
                <w:w w:val="100"/>
              </w:rPr>
              <w:t>Centra</w:t>
            </w:r>
            <w:r w:rsidRPr="006D689E">
              <w:rPr>
                <w:w w:val="100"/>
              </w:rPr>
              <w:t xml:space="preserve"> udržet si status Kvalifikovaného </w:t>
            </w:r>
            <w:r w:rsidR="002956B3">
              <w:rPr>
                <w:w w:val="100"/>
              </w:rPr>
              <w:t>centra</w:t>
            </w:r>
            <w:r w:rsidRPr="006D689E">
              <w:rPr>
                <w:w w:val="100"/>
              </w:rPr>
              <w:t xml:space="preserve"> určí společnost BMS podle vlastního uvážení na základě plnění smluvních stran během doby platnosti této smlouvy (jak je definováno níže) a/nebo během běžného dozorového auditu společnosti BMS, jak je uvedeno v oddíle </w:t>
            </w:r>
            <w:r w:rsidRPr="006D689E">
              <w:rPr>
                <w:w w:val="100"/>
              </w:rPr>
              <w:fldChar w:fldCharType="begin" w:fldLock="1"/>
            </w:r>
            <w:r w:rsidRPr="006D689E">
              <w:rPr>
                <w:w w:val="100"/>
              </w:rPr>
              <w:instrText xml:space="preserve"> REF _Ref39069727 \r \h  \* MERGEFORMAT </w:instrText>
            </w:r>
            <w:r w:rsidRPr="006D689E">
              <w:rPr>
                <w:w w:val="100"/>
              </w:rPr>
            </w:r>
            <w:r w:rsidRPr="006D689E">
              <w:rPr>
                <w:w w:val="100"/>
              </w:rPr>
              <w:fldChar w:fldCharType="separate"/>
            </w:r>
            <w:r w:rsidR="00816D6D">
              <w:rPr>
                <w:w w:val="100"/>
              </w:rPr>
              <w:t>9.2</w:t>
            </w:r>
            <w:r w:rsidRPr="006D689E">
              <w:rPr>
                <w:w w:val="100"/>
              </w:rPr>
              <w:fldChar w:fldCharType="end"/>
            </w:r>
            <w:r w:rsidRPr="006D689E">
              <w:rPr>
                <w:w w:val="100"/>
              </w:rPr>
              <w:t xml:space="preserve">, který se týká dodržování (i) platných právních předpisů; (ii) podmínek této smlouvy a jakéhokoli platného prohlášení o pracovní činnosti; (iii) udržování příslušných školení a kvalifikace jeho pracovníků; a (iv) veškerých povinností </w:t>
            </w:r>
            <w:r w:rsidRPr="006D689E">
              <w:rPr>
                <w:w w:val="100"/>
              </w:rPr>
              <w:lastRenderedPageBreak/>
              <w:t xml:space="preserve">vyplývajících z povolení k uvedení na trh pro daný produkt. </w:t>
            </w:r>
          </w:p>
        </w:tc>
        <w:tc>
          <w:tcPr>
            <w:tcW w:w="2452" w:type="pct"/>
          </w:tcPr>
          <w:p w14:paraId="74B2A0B9" w14:textId="68E71866" w:rsidR="00C32FF1" w:rsidRPr="0031164B" w:rsidRDefault="00C32FF1" w:rsidP="00CD4205">
            <w:pPr>
              <w:pStyle w:val="Legal1L3"/>
              <w:widowControl/>
              <w:numPr>
                <w:ilvl w:val="2"/>
                <w:numId w:val="34"/>
              </w:numPr>
              <w:adjustRightInd/>
              <w:ind w:left="-10"/>
              <w:rPr>
                <w:w w:val="100"/>
                <w:lang w:val="en-GB"/>
              </w:rPr>
            </w:pPr>
            <w:r w:rsidRPr="0031164B">
              <w:rPr>
                <w:w w:val="100"/>
                <w:lang w:val="en-GB"/>
              </w:rPr>
              <w:lastRenderedPageBreak/>
              <w:t xml:space="preserve">Center’s ability to maintain its status as a Qualified Center shall be determined by BMS in its sole discretion based upon the Parties’ performance during the Term of this Agreement (as defined below) and/or, during BMS’ routine surveillance auditing, as set forth in Section </w:t>
            </w:r>
            <w:r w:rsidRPr="0031164B">
              <w:rPr>
                <w:w w:val="100"/>
                <w:lang w:val="en-GB"/>
              </w:rPr>
              <w:fldChar w:fldCharType="begin" w:fldLock="1"/>
            </w:r>
            <w:r w:rsidRPr="0031164B">
              <w:rPr>
                <w:w w:val="100"/>
                <w:lang w:val="en-GB"/>
              </w:rPr>
              <w:instrText xml:space="preserve"> REF _Ref39069727 \r \h  \* MERGEFORMAT </w:instrText>
            </w:r>
            <w:r w:rsidRPr="0031164B">
              <w:rPr>
                <w:w w:val="100"/>
                <w:lang w:val="en-GB"/>
              </w:rPr>
            </w:r>
            <w:r w:rsidRPr="0031164B">
              <w:rPr>
                <w:w w:val="100"/>
                <w:lang w:val="en-GB"/>
              </w:rPr>
              <w:fldChar w:fldCharType="separate"/>
            </w:r>
            <w:r w:rsidR="00816D6D">
              <w:rPr>
                <w:w w:val="100"/>
                <w:lang w:val="en-GB"/>
              </w:rPr>
              <w:t>9.2</w:t>
            </w:r>
            <w:r w:rsidRPr="0031164B">
              <w:rPr>
                <w:w w:val="100"/>
                <w:lang w:val="en-GB"/>
              </w:rPr>
              <w:fldChar w:fldCharType="end"/>
            </w:r>
            <w:r w:rsidRPr="0031164B">
              <w:rPr>
                <w:w w:val="100"/>
                <w:lang w:val="en-GB"/>
              </w:rPr>
              <w:t xml:space="preserve">, of Center’s compliance with (i) Applicable Law; (ii) the terms of this Agreement and any applicable Statement of Work; (iii) maintaining appropriate trainings and qualifications of its personnel; and (iv) </w:t>
            </w:r>
            <w:r w:rsidRPr="0031164B">
              <w:rPr>
                <w:w w:val="100"/>
                <w:lang w:val="en-GB"/>
              </w:rPr>
              <w:lastRenderedPageBreak/>
              <w:t xml:space="preserve">with any obligations by the market authorization for the particular Product. </w:t>
            </w:r>
          </w:p>
        </w:tc>
      </w:tr>
      <w:tr w:rsidR="00C32FF1" w:rsidRPr="0031164B" w14:paraId="7ECF20C6" w14:textId="618467EE" w:rsidTr="00830D19">
        <w:tc>
          <w:tcPr>
            <w:tcW w:w="2548" w:type="pct"/>
          </w:tcPr>
          <w:p w14:paraId="7537F56C" w14:textId="77777777" w:rsidR="00C32FF1" w:rsidRPr="006D689E" w:rsidRDefault="00C32FF1" w:rsidP="00C32FF1">
            <w:pPr>
              <w:pStyle w:val="Legal1L1"/>
              <w:widowControl/>
              <w:numPr>
                <w:ilvl w:val="0"/>
                <w:numId w:val="1"/>
              </w:numPr>
              <w:tabs>
                <w:tab w:val="left" w:pos="1440"/>
              </w:tabs>
              <w:adjustRightInd/>
              <w:ind w:left="0" w:firstLine="0"/>
              <w:outlineLvl w:val="9"/>
              <w:rPr>
                <w:b/>
                <w:u w:val="none"/>
              </w:rPr>
            </w:pPr>
            <w:bookmarkStart w:id="39" w:name="_DV_M184"/>
            <w:bookmarkStart w:id="40" w:name="_DV_M188"/>
            <w:bookmarkStart w:id="41" w:name="_DV_M198"/>
            <w:bookmarkStart w:id="42" w:name="_DV_M217"/>
            <w:bookmarkStart w:id="43" w:name="_Hlk10124523"/>
            <w:bookmarkStart w:id="44" w:name="_Toc256000006"/>
            <w:bookmarkStart w:id="45" w:name="_Toc6233981"/>
            <w:bookmarkStart w:id="46" w:name="_Toc6234303"/>
            <w:bookmarkEnd w:id="37"/>
            <w:bookmarkEnd w:id="39"/>
            <w:bookmarkEnd w:id="40"/>
            <w:bookmarkEnd w:id="41"/>
            <w:bookmarkEnd w:id="42"/>
            <w:r w:rsidRPr="006D689E">
              <w:rPr>
                <w:b/>
                <w:u w:val="none"/>
              </w:rPr>
              <w:lastRenderedPageBreak/>
              <w:t>OBJEDNÁVKY PRODUKTŮ</w:t>
            </w:r>
          </w:p>
        </w:tc>
        <w:tc>
          <w:tcPr>
            <w:tcW w:w="2452" w:type="pct"/>
          </w:tcPr>
          <w:p w14:paraId="2F940EB2" w14:textId="1C845EDD" w:rsidR="00C32FF1" w:rsidRPr="0031164B" w:rsidRDefault="00C32FF1" w:rsidP="00CD4205">
            <w:pPr>
              <w:pStyle w:val="Legal1L1"/>
              <w:widowControl/>
              <w:numPr>
                <w:ilvl w:val="0"/>
                <w:numId w:val="35"/>
              </w:numPr>
              <w:tabs>
                <w:tab w:val="left" w:pos="1440"/>
              </w:tabs>
              <w:adjustRightInd/>
              <w:outlineLvl w:val="9"/>
              <w:rPr>
                <w:b/>
                <w:u w:val="none"/>
                <w:lang w:val="en-GB"/>
              </w:rPr>
            </w:pPr>
            <w:r w:rsidRPr="0031164B">
              <w:rPr>
                <w:b/>
                <w:u w:val="none"/>
                <w:lang w:val="en-GB"/>
              </w:rPr>
              <w:t>PRODUCT ORDERS</w:t>
            </w:r>
          </w:p>
        </w:tc>
      </w:tr>
      <w:tr w:rsidR="00C32FF1" w:rsidRPr="0031164B" w14:paraId="295D917B" w14:textId="71599984" w:rsidTr="00830D19">
        <w:tc>
          <w:tcPr>
            <w:tcW w:w="2548" w:type="pct"/>
          </w:tcPr>
          <w:p w14:paraId="6B294589" w14:textId="04344657" w:rsidR="00C32FF1" w:rsidRPr="006D689E" w:rsidRDefault="00C32FF1" w:rsidP="00C32FF1">
            <w:pPr>
              <w:pStyle w:val="Legal1L2"/>
              <w:ind w:left="0"/>
              <w:rPr>
                <w:rFonts w:eastAsia="Times New Roman"/>
                <w:w w:val="100"/>
                <w:sz w:val="24"/>
                <w:szCs w:val="24"/>
              </w:rPr>
            </w:pPr>
            <w:r w:rsidRPr="006D689E">
              <w:rPr>
                <w:w w:val="100"/>
                <w:sz w:val="24"/>
                <w:szCs w:val="24"/>
                <w:u w:val="single"/>
              </w:rPr>
              <w:t>Objednávky produktů a jejich přijímání</w:t>
            </w:r>
            <w:r w:rsidRPr="006D689E">
              <w:rPr>
                <w:w w:val="100"/>
                <w:sz w:val="24"/>
                <w:szCs w:val="24"/>
              </w:rPr>
              <w:t xml:space="preserve">. </w:t>
            </w:r>
            <w:r w:rsidR="00BB3BA0">
              <w:rPr>
                <w:w w:val="100"/>
                <w:sz w:val="24"/>
                <w:szCs w:val="24"/>
              </w:rPr>
              <w:t>Objednávku je možné uskutečnit pouze</w:t>
            </w:r>
            <w:r w:rsidR="006F7AC5">
              <w:rPr>
                <w:w w:val="100"/>
                <w:sz w:val="24"/>
                <w:szCs w:val="24"/>
              </w:rPr>
              <w:t xml:space="preserve"> po podepsání Kupní smlouvy. </w:t>
            </w:r>
            <w:r w:rsidRPr="006D689E">
              <w:rPr>
                <w:w w:val="100"/>
                <w:sz w:val="24"/>
                <w:szCs w:val="24"/>
              </w:rPr>
              <w:t xml:space="preserve">Pro každý předpis produktu, který licencovaný poskytovatel zdravotní péče </w:t>
            </w:r>
            <w:r w:rsidR="001C7ACF">
              <w:rPr>
                <w:w w:val="100"/>
                <w:sz w:val="24"/>
                <w:szCs w:val="24"/>
              </w:rPr>
              <w:t>Centra</w:t>
            </w:r>
            <w:r w:rsidRPr="006D689E">
              <w:rPr>
                <w:w w:val="100"/>
                <w:sz w:val="24"/>
                <w:szCs w:val="24"/>
              </w:rPr>
              <w:t xml:space="preserve"> vydá pacientovi, provede </w:t>
            </w:r>
            <w:r w:rsidR="00F26B4E">
              <w:rPr>
                <w:w w:val="100"/>
                <w:sz w:val="24"/>
                <w:szCs w:val="24"/>
              </w:rPr>
              <w:t>Centrum</w:t>
            </w:r>
            <w:r w:rsidRPr="006D689E">
              <w:rPr>
                <w:w w:val="100"/>
                <w:sz w:val="24"/>
                <w:szCs w:val="24"/>
              </w:rPr>
              <w:t xml:space="preserve"> objednávku příslušného produktu (dále jen „</w:t>
            </w:r>
            <w:r w:rsidRPr="006D689E">
              <w:rPr>
                <w:b/>
                <w:w w:val="100"/>
                <w:sz w:val="24"/>
                <w:szCs w:val="24"/>
              </w:rPr>
              <w:t>objednávka produktu</w:t>
            </w:r>
            <w:r w:rsidRPr="006D689E">
              <w:rPr>
                <w:w w:val="100"/>
                <w:sz w:val="24"/>
                <w:szCs w:val="24"/>
              </w:rPr>
              <w:t xml:space="preserve">“) v souladu s postupem objednávání produktu uvedeným ve smluvních podmínkách.  Všechny objednávky produktů, jejich přijetí </w:t>
            </w:r>
            <w:r w:rsidRPr="006D689E">
              <w:rPr>
                <w:w w:val="100"/>
              </w:rPr>
              <w:t>společností BMS</w:t>
            </w:r>
            <w:r w:rsidRPr="006D689E">
              <w:rPr>
                <w:w w:val="100"/>
                <w:sz w:val="24"/>
                <w:szCs w:val="24"/>
              </w:rPr>
              <w:t xml:space="preserve"> a jakékoli následné zrušení objednávky produktů se řídí těmito smluvními podmínkami. </w:t>
            </w:r>
          </w:p>
        </w:tc>
        <w:tc>
          <w:tcPr>
            <w:tcW w:w="2452" w:type="pct"/>
          </w:tcPr>
          <w:p w14:paraId="15635511" w14:textId="5C0B21D3" w:rsidR="00C32FF1" w:rsidRPr="00B0559A" w:rsidRDefault="00C32FF1" w:rsidP="00CD4205">
            <w:pPr>
              <w:pStyle w:val="Legal1L2"/>
              <w:numPr>
                <w:ilvl w:val="1"/>
                <w:numId w:val="36"/>
              </w:numPr>
              <w:ind w:left="0" w:firstLine="180"/>
              <w:rPr>
                <w:rFonts w:eastAsia="Times New Roman"/>
                <w:w w:val="100"/>
                <w:sz w:val="24"/>
                <w:szCs w:val="24"/>
                <w:u w:val="single"/>
                <w:lang w:val="en-GB"/>
              </w:rPr>
            </w:pPr>
            <w:r w:rsidRPr="00B0559A">
              <w:rPr>
                <w:w w:val="100"/>
                <w:sz w:val="24"/>
                <w:szCs w:val="24"/>
                <w:u w:val="single"/>
                <w:lang w:val="en-GB"/>
              </w:rPr>
              <w:t>Product Orders and Acceptance</w:t>
            </w:r>
            <w:r w:rsidRPr="00B0559A">
              <w:rPr>
                <w:w w:val="100"/>
                <w:sz w:val="24"/>
                <w:szCs w:val="24"/>
                <w:lang w:val="en-GB"/>
              </w:rPr>
              <w:t xml:space="preserve">. </w:t>
            </w:r>
            <w:r w:rsidR="00E237F1" w:rsidRPr="00E237F1">
              <w:rPr>
                <w:w w:val="100"/>
                <w:sz w:val="24"/>
                <w:szCs w:val="24"/>
                <w:lang w:val="en-GB"/>
              </w:rPr>
              <w:t xml:space="preserve">The order can only be placed after the Purchase Agreement has been signed. </w:t>
            </w:r>
            <w:r w:rsidRPr="00B0559A">
              <w:rPr>
                <w:w w:val="100"/>
                <w:sz w:val="24"/>
                <w:szCs w:val="24"/>
                <w:lang w:val="en-GB"/>
              </w:rPr>
              <w:t>For each prescription of a Product a licensed healthcare provider of Center issues a patient, Center will place an order for the applicable Product (each a “</w:t>
            </w:r>
            <w:r w:rsidRPr="00B0559A">
              <w:rPr>
                <w:b/>
                <w:w w:val="100"/>
                <w:sz w:val="24"/>
                <w:szCs w:val="24"/>
                <w:lang w:val="en-GB"/>
              </w:rPr>
              <w:t>Product Order</w:t>
            </w:r>
            <w:r w:rsidRPr="00B0559A">
              <w:rPr>
                <w:w w:val="100"/>
                <w:sz w:val="24"/>
                <w:szCs w:val="24"/>
                <w:lang w:val="en-GB"/>
              </w:rPr>
              <w:t xml:space="preserve">”) in accordance with the Product ordering process set forth in the Terms and Conditions.  All Product Orders, their acceptance by </w:t>
            </w:r>
            <w:r w:rsidRPr="00B0559A">
              <w:rPr>
                <w:w w:val="100"/>
                <w:lang w:val="en-GB"/>
              </w:rPr>
              <w:t>BMS</w:t>
            </w:r>
            <w:r w:rsidRPr="00B0559A">
              <w:rPr>
                <w:w w:val="100"/>
                <w:sz w:val="24"/>
                <w:szCs w:val="24"/>
                <w:lang w:val="en-GB"/>
              </w:rPr>
              <w:t xml:space="preserve">, and any subsequent Product Order cancellations shall be subject to the Terms and Conditions. </w:t>
            </w:r>
          </w:p>
        </w:tc>
      </w:tr>
      <w:tr w:rsidR="00C32FF1" w:rsidRPr="0031164B" w14:paraId="558A002E" w14:textId="3FC56CF6" w:rsidTr="00830D19">
        <w:tc>
          <w:tcPr>
            <w:tcW w:w="2548" w:type="pct"/>
          </w:tcPr>
          <w:p w14:paraId="05A2E724" w14:textId="2850C38F" w:rsidR="00C32FF1" w:rsidRPr="006D689E" w:rsidRDefault="00C32FF1" w:rsidP="00C32FF1">
            <w:pPr>
              <w:pStyle w:val="Legal1L2"/>
              <w:ind w:left="0"/>
              <w:rPr>
                <w:rFonts w:eastAsia="Times New Roman"/>
                <w:w w:val="100"/>
                <w:sz w:val="24"/>
                <w:szCs w:val="24"/>
              </w:rPr>
            </w:pPr>
            <w:r w:rsidRPr="006D689E">
              <w:rPr>
                <w:w w:val="100"/>
                <w:sz w:val="24"/>
                <w:szCs w:val="24"/>
              </w:rPr>
              <w:t xml:space="preserve">Strany se tímto dohodly, že tato smlouva včetně všech jejích příloh a </w:t>
            </w:r>
            <w:r w:rsidR="007C291C">
              <w:rPr>
                <w:w w:val="100"/>
                <w:sz w:val="24"/>
                <w:szCs w:val="24"/>
              </w:rPr>
              <w:t xml:space="preserve">a </w:t>
            </w:r>
            <w:r w:rsidR="006E1FE7">
              <w:rPr>
                <w:w w:val="100"/>
                <w:sz w:val="24"/>
                <w:szCs w:val="24"/>
              </w:rPr>
              <w:t>Prohlášení o pracovní činnosti</w:t>
            </w:r>
            <w:r w:rsidRPr="006D689E">
              <w:rPr>
                <w:w w:val="100"/>
                <w:sz w:val="24"/>
                <w:szCs w:val="24"/>
              </w:rPr>
              <w:t xml:space="preserve"> podepsaných na jejím základě stanoví smluvní podmínky mezi smluvními stranami, které se vztahují na všechny objednávky produktů.  </w:t>
            </w:r>
            <w:r w:rsidRPr="00AF269B">
              <w:rPr>
                <w:w w:val="100"/>
                <w:sz w:val="24"/>
                <w:szCs w:val="24"/>
              </w:rPr>
              <w:t xml:space="preserve">Bez ohledu na jakékoli podmínky uvedené mezi smluvními stranami v objednávce produktu, prodejní nebo jiné objednávce, faktuře nebo jiném oznámení předloženém jednou ze stran druhé straně, které se liší od ustanovení tohoto dokumentu, jsou s nimi v rozporu nebo je doplňují, jsou neplatné bez ohledu na dodání produktu společností </w:t>
            </w:r>
            <w:r w:rsidRPr="00AF269B">
              <w:rPr>
                <w:w w:val="100"/>
              </w:rPr>
              <w:t>BMS</w:t>
            </w:r>
            <w:r w:rsidRPr="00AF269B">
              <w:rPr>
                <w:w w:val="100"/>
                <w:sz w:val="24"/>
                <w:szCs w:val="24"/>
              </w:rPr>
              <w:t xml:space="preserve"> a jeho přijetí </w:t>
            </w:r>
            <w:r w:rsidR="007D2047" w:rsidRPr="00AF269B">
              <w:rPr>
                <w:w w:val="100"/>
                <w:sz w:val="24"/>
                <w:szCs w:val="24"/>
              </w:rPr>
              <w:t>Centr</w:t>
            </w:r>
            <w:r w:rsidR="001F3970" w:rsidRPr="00AF269B">
              <w:rPr>
                <w:w w:val="100"/>
                <w:sz w:val="24"/>
                <w:szCs w:val="24"/>
              </w:rPr>
              <w:t>e</w:t>
            </w:r>
            <w:r w:rsidR="007D2047" w:rsidRPr="00AF269B">
              <w:rPr>
                <w:w w:val="100"/>
                <w:sz w:val="24"/>
                <w:szCs w:val="24"/>
              </w:rPr>
              <w:t>m</w:t>
            </w:r>
            <w:r w:rsidRPr="00AF269B">
              <w:rPr>
                <w:w w:val="100"/>
                <w:sz w:val="24"/>
                <w:szCs w:val="24"/>
              </w:rPr>
              <w:t xml:space="preserve"> na základě objednávky produktu, prodejní objednávky, faktury nebo jiného oznámení obsahujícího takové podmínky.</w:t>
            </w:r>
            <w:r w:rsidRPr="006D689E">
              <w:rPr>
                <w:w w:val="100"/>
                <w:sz w:val="24"/>
                <w:szCs w:val="24"/>
              </w:rPr>
              <w:t xml:space="preserve"> </w:t>
            </w:r>
            <w:bookmarkStart w:id="47" w:name="_Toc6234305"/>
            <w:bookmarkStart w:id="48" w:name="_Toc6233983"/>
            <w:bookmarkStart w:id="49" w:name="_Toc256000008"/>
            <w:bookmarkEnd w:id="43"/>
            <w:bookmarkEnd w:id="44"/>
            <w:bookmarkEnd w:id="45"/>
            <w:bookmarkEnd w:id="46"/>
          </w:p>
        </w:tc>
        <w:tc>
          <w:tcPr>
            <w:tcW w:w="2452" w:type="pct"/>
          </w:tcPr>
          <w:p w14:paraId="13F1E160" w14:textId="4CBA1C63" w:rsidR="00C32FF1" w:rsidRPr="00B0559A" w:rsidRDefault="00C32FF1" w:rsidP="00CD4205">
            <w:pPr>
              <w:pStyle w:val="Legal1L2"/>
              <w:numPr>
                <w:ilvl w:val="1"/>
                <w:numId w:val="37"/>
              </w:numPr>
              <w:ind w:left="0" w:firstLine="180"/>
              <w:rPr>
                <w:rFonts w:eastAsia="Times New Roman"/>
                <w:w w:val="100"/>
                <w:sz w:val="24"/>
                <w:szCs w:val="24"/>
                <w:lang w:val="en-GB"/>
              </w:rPr>
            </w:pPr>
            <w:r w:rsidRPr="00B0559A">
              <w:rPr>
                <w:w w:val="100"/>
                <w:sz w:val="24"/>
                <w:szCs w:val="24"/>
                <w:lang w:val="en-GB"/>
              </w:rPr>
              <w:t xml:space="preserve">The Parties hereby agree that this Agreement including all Attachments hereto and Statements of Work signed hereunder, sets forth the contract terms between the Parties that shall apply to all Product Orders.  Notwithstanding any terms specified between the Parties in a Product Order, purchase order, sales order, invoice or other notice submitted by either Party to the other Party that are different from, in conflict with or additional to the provisions herein shall be null and void, regardless of </w:t>
            </w:r>
            <w:r w:rsidRPr="00B0559A">
              <w:rPr>
                <w:w w:val="100"/>
                <w:lang w:val="en-GB"/>
              </w:rPr>
              <w:t>BMS’</w:t>
            </w:r>
            <w:r w:rsidRPr="00B0559A">
              <w:rPr>
                <w:w w:val="100"/>
                <w:sz w:val="24"/>
                <w:szCs w:val="24"/>
                <w:lang w:val="en-GB"/>
              </w:rPr>
              <w:t xml:space="preserve"> delivery of, and Center’s acceptance of, a Product under any Product Order, sales order, invoice or other notice containing such terms. </w:t>
            </w:r>
          </w:p>
        </w:tc>
      </w:tr>
      <w:tr w:rsidR="00207389" w:rsidRPr="0031164B" w14:paraId="7720CB3F" w14:textId="77777777" w:rsidTr="00830D19">
        <w:tc>
          <w:tcPr>
            <w:tcW w:w="2548" w:type="pct"/>
          </w:tcPr>
          <w:p w14:paraId="59C934EB" w14:textId="77777777" w:rsidR="00207389" w:rsidRPr="006D689E" w:rsidRDefault="00207389" w:rsidP="00615B72">
            <w:pPr>
              <w:pStyle w:val="Legal1L2"/>
              <w:numPr>
                <w:ilvl w:val="0"/>
                <w:numId w:val="0"/>
              </w:numPr>
              <w:ind w:left="720"/>
              <w:rPr>
                <w:w w:val="100"/>
                <w:sz w:val="24"/>
                <w:szCs w:val="24"/>
              </w:rPr>
            </w:pPr>
          </w:p>
        </w:tc>
        <w:tc>
          <w:tcPr>
            <w:tcW w:w="2452" w:type="pct"/>
          </w:tcPr>
          <w:p w14:paraId="17000732" w14:textId="77777777" w:rsidR="00207389" w:rsidRPr="00B0559A" w:rsidRDefault="00207389" w:rsidP="00615B72">
            <w:pPr>
              <w:pStyle w:val="Legal1L2"/>
              <w:numPr>
                <w:ilvl w:val="0"/>
                <w:numId w:val="0"/>
              </w:numPr>
              <w:ind w:left="180"/>
              <w:rPr>
                <w:w w:val="100"/>
                <w:sz w:val="24"/>
                <w:szCs w:val="24"/>
                <w:lang w:val="en-GB"/>
              </w:rPr>
            </w:pPr>
          </w:p>
        </w:tc>
      </w:tr>
      <w:tr w:rsidR="00C32FF1" w:rsidRPr="0031164B" w14:paraId="6E629049" w14:textId="176F3083" w:rsidTr="00830D19">
        <w:tc>
          <w:tcPr>
            <w:tcW w:w="2548" w:type="pct"/>
          </w:tcPr>
          <w:p w14:paraId="2A35D614" w14:textId="77777777" w:rsidR="00C32FF1" w:rsidRPr="006D689E" w:rsidRDefault="00C32FF1" w:rsidP="00C32FF1">
            <w:pPr>
              <w:pStyle w:val="Legal1L1"/>
              <w:widowControl/>
              <w:numPr>
                <w:ilvl w:val="0"/>
                <w:numId w:val="1"/>
              </w:numPr>
              <w:tabs>
                <w:tab w:val="left" w:pos="1440"/>
              </w:tabs>
              <w:adjustRightInd/>
              <w:ind w:left="0" w:firstLine="0"/>
              <w:outlineLvl w:val="9"/>
              <w:rPr>
                <w:b/>
                <w:u w:val="none"/>
              </w:rPr>
            </w:pPr>
            <w:r w:rsidRPr="006D689E">
              <w:rPr>
                <w:b/>
                <w:u w:val="none"/>
              </w:rPr>
              <w:t>SLUŽBY AFERÉZY</w:t>
            </w:r>
            <w:bookmarkEnd w:id="47"/>
            <w:bookmarkEnd w:id="48"/>
            <w:bookmarkEnd w:id="49"/>
            <w:r w:rsidRPr="006D689E">
              <w:rPr>
                <w:b/>
                <w:u w:val="none"/>
              </w:rPr>
              <w:t xml:space="preserve">   </w:t>
            </w:r>
          </w:p>
        </w:tc>
        <w:tc>
          <w:tcPr>
            <w:tcW w:w="2452" w:type="pct"/>
          </w:tcPr>
          <w:p w14:paraId="1FA4D361" w14:textId="283D5415" w:rsidR="00C32FF1" w:rsidRPr="0031164B" w:rsidRDefault="00C32FF1" w:rsidP="00CD4205">
            <w:pPr>
              <w:pStyle w:val="Legal1L1"/>
              <w:widowControl/>
              <w:numPr>
                <w:ilvl w:val="0"/>
                <w:numId w:val="38"/>
              </w:numPr>
              <w:tabs>
                <w:tab w:val="left" w:pos="1440"/>
              </w:tabs>
              <w:adjustRightInd/>
              <w:outlineLvl w:val="9"/>
              <w:rPr>
                <w:b/>
                <w:u w:val="none"/>
                <w:lang w:val="en-GB"/>
              </w:rPr>
            </w:pPr>
            <w:r w:rsidRPr="0031164B">
              <w:rPr>
                <w:b/>
                <w:u w:val="none"/>
                <w:lang w:val="en-GB"/>
              </w:rPr>
              <w:t xml:space="preserve">APHERESIS SERVICES   </w:t>
            </w:r>
          </w:p>
        </w:tc>
      </w:tr>
      <w:tr w:rsidR="00C32FF1" w:rsidRPr="0031164B" w14:paraId="5BE97C19" w14:textId="76E8D556" w:rsidTr="00830D19">
        <w:tc>
          <w:tcPr>
            <w:tcW w:w="2548" w:type="pct"/>
          </w:tcPr>
          <w:p w14:paraId="56462440" w14:textId="2090E769" w:rsidR="00C32FF1" w:rsidRPr="006D689E" w:rsidRDefault="00C32FF1" w:rsidP="00C32FF1">
            <w:pPr>
              <w:pStyle w:val="Legal1L2"/>
              <w:ind w:left="0"/>
              <w:rPr>
                <w:rFonts w:eastAsia="Times New Roman"/>
                <w:w w:val="100"/>
                <w:sz w:val="24"/>
                <w:szCs w:val="24"/>
              </w:rPr>
            </w:pPr>
            <w:bookmarkStart w:id="50" w:name="_Hlk10453950"/>
            <w:r w:rsidRPr="006D689E">
              <w:rPr>
                <w:w w:val="100"/>
                <w:sz w:val="24"/>
                <w:szCs w:val="24"/>
                <w:u w:val="single"/>
              </w:rPr>
              <w:t>Obecně</w:t>
            </w:r>
            <w:r w:rsidRPr="006D689E">
              <w:rPr>
                <w:w w:val="100"/>
                <w:sz w:val="24"/>
                <w:szCs w:val="24"/>
              </w:rPr>
              <w:t xml:space="preserve"> </w:t>
            </w:r>
            <w:r w:rsidRPr="006D689E">
              <w:rPr>
                <w:w w:val="100"/>
              </w:rPr>
              <w:t xml:space="preserve">V </w:t>
            </w:r>
            <w:r w:rsidRPr="006D689E">
              <w:rPr>
                <w:w w:val="100"/>
                <w:sz w:val="24"/>
                <w:szCs w:val="24"/>
              </w:rPr>
              <w:t xml:space="preserve">souvislosti s každou objednávkou produktu zadanou </w:t>
            </w:r>
            <w:r w:rsidR="004834C5">
              <w:rPr>
                <w:w w:val="100"/>
                <w:sz w:val="24"/>
                <w:szCs w:val="24"/>
              </w:rPr>
              <w:t>Centr</w:t>
            </w:r>
            <w:r w:rsidR="00EF1B0F">
              <w:rPr>
                <w:w w:val="100"/>
                <w:sz w:val="24"/>
                <w:szCs w:val="24"/>
              </w:rPr>
              <w:t>e</w:t>
            </w:r>
            <w:r w:rsidR="004834C5">
              <w:rPr>
                <w:w w:val="100"/>
                <w:sz w:val="24"/>
                <w:szCs w:val="24"/>
              </w:rPr>
              <w:t>m</w:t>
            </w:r>
            <w:r w:rsidRPr="006D689E">
              <w:rPr>
                <w:w w:val="100"/>
                <w:sz w:val="24"/>
                <w:szCs w:val="24"/>
              </w:rPr>
              <w:t xml:space="preserve"> odebere </w:t>
            </w:r>
            <w:r w:rsidR="004E288D">
              <w:rPr>
                <w:w w:val="100"/>
                <w:sz w:val="24"/>
                <w:szCs w:val="24"/>
              </w:rPr>
              <w:t>Centrum</w:t>
            </w:r>
            <w:r w:rsidRPr="006D689E">
              <w:rPr>
                <w:w w:val="100"/>
                <w:sz w:val="24"/>
                <w:szCs w:val="24"/>
              </w:rPr>
              <w:t xml:space="preserve"> (nebo jeho schválený subdodavatel) aferézní materiál od pacienta provedením leukaferézy a následně s aferézním materiálem manipuluje, označí jej, zabalí a </w:t>
            </w:r>
            <w:r w:rsidRPr="006D689E">
              <w:rPr>
                <w:w w:val="100"/>
                <w:sz w:val="24"/>
                <w:szCs w:val="24"/>
              </w:rPr>
              <w:lastRenderedPageBreak/>
              <w:t>předá  určenému kurýrovi společnosti BMS („</w:t>
            </w:r>
            <w:r w:rsidRPr="006D689E">
              <w:rPr>
                <w:b/>
                <w:w w:val="100"/>
                <w:sz w:val="24"/>
                <w:szCs w:val="24"/>
              </w:rPr>
              <w:t>aferézní služby, aferetické služby nebo služby aferézy</w:t>
            </w:r>
            <w:r w:rsidRPr="006D689E">
              <w:rPr>
                <w:w w:val="100"/>
                <w:sz w:val="24"/>
                <w:szCs w:val="24"/>
              </w:rPr>
              <w:t xml:space="preserve">“). Pro upřesnění, pokud bude služby aferézy provádět schválený subdodavatel, vztahují se na schváleného subdodavatele všechny podmínky, které se v tomto oddíle vztahují na </w:t>
            </w:r>
            <w:r w:rsidR="006F3C6C">
              <w:rPr>
                <w:w w:val="100"/>
                <w:sz w:val="24"/>
                <w:szCs w:val="24"/>
              </w:rPr>
              <w:t>Centrum</w:t>
            </w:r>
            <w:r w:rsidRPr="006D689E">
              <w:rPr>
                <w:w w:val="100"/>
                <w:sz w:val="24"/>
                <w:szCs w:val="24"/>
              </w:rPr>
              <w:t>.</w:t>
            </w:r>
          </w:p>
        </w:tc>
        <w:tc>
          <w:tcPr>
            <w:tcW w:w="2452" w:type="pct"/>
          </w:tcPr>
          <w:p w14:paraId="5D4D33A9" w14:textId="070097B9" w:rsidR="00C32FF1" w:rsidRPr="00CD4205" w:rsidRDefault="00C32FF1" w:rsidP="00CD4205">
            <w:pPr>
              <w:pStyle w:val="Legal1L2"/>
              <w:numPr>
                <w:ilvl w:val="1"/>
                <w:numId w:val="39"/>
              </w:numPr>
              <w:ind w:left="0" w:firstLine="180"/>
              <w:rPr>
                <w:rFonts w:eastAsia="Times New Roman"/>
                <w:w w:val="100"/>
                <w:sz w:val="24"/>
                <w:szCs w:val="24"/>
                <w:u w:val="single"/>
                <w:lang w:val="en-GB"/>
              </w:rPr>
            </w:pPr>
            <w:r w:rsidRPr="00CD4205">
              <w:rPr>
                <w:w w:val="100"/>
                <w:sz w:val="24"/>
                <w:szCs w:val="24"/>
                <w:u w:val="single"/>
                <w:lang w:val="en-GB"/>
              </w:rPr>
              <w:lastRenderedPageBreak/>
              <w:t>General.</w:t>
            </w:r>
            <w:r w:rsidRPr="00CD4205">
              <w:rPr>
                <w:w w:val="100"/>
                <w:sz w:val="24"/>
                <w:szCs w:val="24"/>
                <w:lang w:val="en-GB"/>
              </w:rPr>
              <w:t xml:space="preserve"> In connection with each Product Order placed by Center, Center (or its Approved Subcontractor) shall collect Apheresis Materials from the patient through the performance of a leukapheresis procedure, and shall then handle, label, package and </w:t>
            </w:r>
            <w:r w:rsidRPr="00CD4205">
              <w:rPr>
                <w:w w:val="100"/>
                <w:sz w:val="24"/>
                <w:szCs w:val="24"/>
                <w:lang w:val="en-GB"/>
              </w:rPr>
              <w:lastRenderedPageBreak/>
              <w:t xml:space="preserve">transfer the Apheresis Materials to </w:t>
            </w:r>
            <w:r w:rsidRPr="00CD4205">
              <w:rPr>
                <w:w w:val="100"/>
                <w:lang w:val="en-GB"/>
              </w:rPr>
              <w:t>BMS’</w:t>
            </w:r>
            <w:r w:rsidRPr="00CD4205">
              <w:rPr>
                <w:w w:val="100"/>
                <w:sz w:val="24"/>
                <w:szCs w:val="24"/>
                <w:lang w:val="en-GB"/>
              </w:rPr>
              <w:t xml:space="preserve"> appointed courier (the “</w:t>
            </w:r>
            <w:r w:rsidRPr="00CD4205">
              <w:rPr>
                <w:b/>
                <w:w w:val="100"/>
                <w:sz w:val="24"/>
                <w:szCs w:val="24"/>
                <w:lang w:val="en-GB"/>
              </w:rPr>
              <w:t>Apheresis Services</w:t>
            </w:r>
            <w:r w:rsidRPr="00CD4205">
              <w:rPr>
                <w:w w:val="100"/>
                <w:sz w:val="24"/>
                <w:szCs w:val="24"/>
                <w:lang w:val="en-GB"/>
              </w:rPr>
              <w:t>”). For clarity, where an Approved Subcontractor shall perform Apheresis Services herein, all terms and conditions that apply to Center herein this section, shall apply to Approved Subcontractor.</w:t>
            </w:r>
          </w:p>
        </w:tc>
      </w:tr>
      <w:bookmarkEnd w:id="50"/>
      <w:tr w:rsidR="00C32FF1" w:rsidRPr="0031164B" w14:paraId="28FCA4F5" w14:textId="783BD762" w:rsidTr="00830D19">
        <w:tc>
          <w:tcPr>
            <w:tcW w:w="2548" w:type="pct"/>
          </w:tcPr>
          <w:p w14:paraId="4EFBB286" w14:textId="77777777"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lastRenderedPageBreak/>
              <w:t xml:space="preserve">Standardy plnění. </w:t>
            </w:r>
          </w:p>
        </w:tc>
        <w:tc>
          <w:tcPr>
            <w:tcW w:w="2452" w:type="pct"/>
          </w:tcPr>
          <w:p w14:paraId="2AC2AFC2" w14:textId="57EE270E" w:rsidR="00C32FF1" w:rsidRPr="00CD4205" w:rsidRDefault="00C32FF1" w:rsidP="00CD4205">
            <w:pPr>
              <w:pStyle w:val="Legal1L2"/>
              <w:numPr>
                <w:ilvl w:val="1"/>
                <w:numId w:val="40"/>
              </w:numPr>
              <w:ind w:left="-10" w:firstLine="190"/>
              <w:rPr>
                <w:rFonts w:eastAsia="Times New Roman"/>
                <w:w w:val="100"/>
                <w:sz w:val="24"/>
                <w:szCs w:val="24"/>
                <w:u w:val="single"/>
                <w:lang w:val="en-GB"/>
              </w:rPr>
            </w:pPr>
            <w:r w:rsidRPr="00CD4205">
              <w:rPr>
                <w:w w:val="100"/>
                <w:sz w:val="24"/>
                <w:szCs w:val="24"/>
                <w:u w:val="single"/>
                <w:lang w:val="en-GB"/>
              </w:rPr>
              <w:t xml:space="preserve">Performance Standards. </w:t>
            </w:r>
          </w:p>
        </w:tc>
      </w:tr>
      <w:tr w:rsidR="00C32FF1" w:rsidRPr="0031164B" w14:paraId="66A62826" w14:textId="0CEC4BD5" w:rsidTr="00830D19">
        <w:tc>
          <w:tcPr>
            <w:tcW w:w="2548" w:type="pct"/>
          </w:tcPr>
          <w:p w14:paraId="7F512284" w14:textId="77777777" w:rsidR="00C32FF1" w:rsidRPr="006D689E" w:rsidRDefault="00C32FF1" w:rsidP="00C32FF1">
            <w:pPr>
              <w:pStyle w:val="Legal1L2"/>
              <w:numPr>
                <w:ilvl w:val="2"/>
                <w:numId w:val="1"/>
              </w:numPr>
              <w:ind w:left="-90"/>
              <w:rPr>
                <w:rFonts w:eastAsia="Times New Roman"/>
                <w:w w:val="100"/>
                <w:sz w:val="24"/>
                <w:szCs w:val="24"/>
              </w:rPr>
            </w:pPr>
            <w:r w:rsidRPr="006D689E">
              <w:rPr>
                <w:w w:val="100"/>
                <w:sz w:val="24"/>
                <w:szCs w:val="24"/>
              </w:rPr>
              <w:t xml:space="preserve">Při plnění svých závazků v oblasti aferézních služeb podle této smlouvy musí každá strana dodržovat (i) tuto smlouvu, včetně smlouvy o kvalitě a postupu komerčního odběru; (ii) příslušné prohlášení o pracovní činnosti; a (iii) veškeré platné právní předpisy týkající se aferézních služeb. </w:t>
            </w:r>
          </w:p>
        </w:tc>
        <w:tc>
          <w:tcPr>
            <w:tcW w:w="2452" w:type="pct"/>
          </w:tcPr>
          <w:p w14:paraId="6025DC34" w14:textId="665D1981" w:rsidR="00C32FF1" w:rsidRPr="0031164B" w:rsidRDefault="00C32FF1" w:rsidP="00CD4205">
            <w:pPr>
              <w:pStyle w:val="Legal1L2"/>
              <w:numPr>
                <w:ilvl w:val="2"/>
                <w:numId w:val="41"/>
              </w:numPr>
              <w:ind w:left="0"/>
              <w:rPr>
                <w:rFonts w:eastAsia="Times New Roman"/>
                <w:w w:val="100"/>
                <w:sz w:val="24"/>
                <w:szCs w:val="24"/>
                <w:lang w:val="en-GB"/>
              </w:rPr>
            </w:pPr>
            <w:r w:rsidRPr="0031164B">
              <w:rPr>
                <w:w w:val="100"/>
                <w:sz w:val="24"/>
                <w:szCs w:val="24"/>
                <w:lang w:val="en-GB"/>
              </w:rPr>
              <w:t xml:space="preserve">In performing its Apheresis Services obligations hereunder, each Party shall comply with (i) this Agreement including the Quality Agreement and Commercial Collection Procedure; (ii) the applicable Statement of Work; and (iii) all Applicable Law pertaining to the Apheresis Services. </w:t>
            </w:r>
          </w:p>
        </w:tc>
      </w:tr>
      <w:tr w:rsidR="00C32FF1" w:rsidRPr="0031164B" w14:paraId="4F58DD67" w14:textId="1BB2533B" w:rsidTr="00830D19">
        <w:tc>
          <w:tcPr>
            <w:tcW w:w="2548" w:type="pct"/>
          </w:tcPr>
          <w:p w14:paraId="0F5F1FEF" w14:textId="75E94372" w:rsidR="00C32FF1" w:rsidRPr="006D689E" w:rsidRDefault="00C32FF1" w:rsidP="00C32FF1">
            <w:pPr>
              <w:pStyle w:val="Legal1L2"/>
              <w:numPr>
                <w:ilvl w:val="2"/>
                <w:numId w:val="1"/>
              </w:numPr>
              <w:ind w:left="-90"/>
              <w:rPr>
                <w:rFonts w:eastAsia="Times New Roman"/>
                <w:w w:val="100"/>
                <w:sz w:val="24"/>
                <w:szCs w:val="24"/>
              </w:rPr>
            </w:pPr>
            <w:r w:rsidRPr="006D689E">
              <w:rPr>
                <w:w w:val="100"/>
                <w:sz w:val="24"/>
                <w:szCs w:val="24"/>
                <w:u w:val="single"/>
              </w:rPr>
              <w:t>Identifikační řetězec a řetězec sledovatelnosti.</w:t>
            </w:r>
            <w:r w:rsidRPr="006D689E">
              <w:rPr>
                <w:w w:val="100"/>
                <w:sz w:val="24"/>
                <w:szCs w:val="24"/>
              </w:rPr>
              <w:t xml:space="preserve"> V souladu s článkem 15 nařízení ATMP a platnými vnitrostátními právními předpisy a specifickými požadavky a pokyny společnosti </w:t>
            </w:r>
            <w:r w:rsidRPr="006D689E">
              <w:rPr>
                <w:w w:val="100"/>
              </w:rPr>
              <w:t>BMS</w:t>
            </w:r>
            <w:r w:rsidRPr="006D689E">
              <w:rPr>
                <w:w w:val="100"/>
                <w:sz w:val="24"/>
                <w:szCs w:val="24"/>
              </w:rPr>
              <w:t xml:space="preserve"> </w:t>
            </w:r>
            <w:r w:rsidR="00C06BA0">
              <w:rPr>
                <w:w w:val="100"/>
                <w:sz w:val="24"/>
                <w:szCs w:val="24"/>
              </w:rPr>
              <w:t>Centrum</w:t>
            </w:r>
            <w:r w:rsidRPr="006D689E">
              <w:rPr>
                <w:w w:val="100"/>
                <w:sz w:val="24"/>
                <w:szCs w:val="24"/>
              </w:rPr>
              <w:t xml:space="preserve"> zajistí, aby bylo možné sledovat aferézní materiály, včetně všech látek, které mohou přijít do styku s aferézními materiály, které mohou obsahovat, od okamžiku odběru až po předání určenému kurýrovi společnosti </w:t>
            </w:r>
            <w:r w:rsidRPr="006D689E">
              <w:rPr>
                <w:w w:val="100"/>
              </w:rPr>
              <w:t>BMS</w:t>
            </w:r>
            <w:r w:rsidRPr="006D689E">
              <w:rPr>
                <w:w w:val="100"/>
                <w:sz w:val="24"/>
                <w:szCs w:val="24"/>
              </w:rPr>
              <w:t xml:space="preserve"> a od přijetí vyrobeného produktu každého pacienta až do okamžiku infuze produktu („</w:t>
            </w:r>
            <w:r w:rsidRPr="006D689E">
              <w:rPr>
                <w:b/>
                <w:w w:val="100"/>
                <w:sz w:val="24"/>
                <w:szCs w:val="24"/>
              </w:rPr>
              <w:t>identifikační řetězec</w:t>
            </w:r>
            <w:r w:rsidRPr="006D689E">
              <w:rPr>
                <w:w w:val="100"/>
                <w:sz w:val="24"/>
                <w:szCs w:val="24"/>
              </w:rPr>
              <w:t xml:space="preserve">“). </w:t>
            </w:r>
            <w:bookmarkStart w:id="51" w:name="_Hlk13008781"/>
            <w:r w:rsidRPr="006D689E">
              <w:rPr>
                <w:w w:val="100"/>
                <w:sz w:val="24"/>
                <w:szCs w:val="24"/>
              </w:rPr>
              <w:t xml:space="preserve">Systémy </w:t>
            </w:r>
            <w:r w:rsidR="00847F3E">
              <w:rPr>
                <w:w w:val="100"/>
                <w:sz w:val="24"/>
                <w:szCs w:val="24"/>
              </w:rPr>
              <w:t>Centra</w:t>
            </w:r>
            <w:r w:rsidRPr="006D689E">
              <w:rPr>
                <w:w w:val="100"/>
                <w:sz w:val="24"/>
                <w:szCs w:val="24"/>
              </w:rPr>
              <w:t xml:space="preserve"> pro sledování identifikačního řetězce případně zajistí, aby se všechny odlišné kódy generované </w:t>
            </w:r>
            <w:r w:rsidR="00FC0DF6">
              <w:rPr>
                <w:w w:val="100"/>
                <w:sz w:val="24"/>
                <w:szCs w:val="24"/>
              </w:rPr>
              <w:t>Centr</w:t>
            </w:r>
            <w:r w:rsidR="00BF1EDF">
              <w:rPr>
                <w:w w:val="100"/>
                <w:sz w:val="24"/>
                <w:szCs w:val="24"/>
              </w:rPr>
              <w:t>e</w:t>
            </w:r>
            <w:r w:rsidR="00FC0DF6">
              <w:rPr>
                <w:w w:val="100"/>
                <w:sz w:val="24"/>
                <w:szCs w:val="24"/>
              </w:rPr>
              <w:t>m</w:t>
            </w:r>
            <w:r w:rsidRPr="006D689E">
              <w:rPr>
                <w:w w:val="100"/>
                <w:sz w:val="24"/>
                <w:szCs w:val="24"/>
              </w:rPr>
              <w:t xml:space="preserve">, které byly přiděleny aferézním materiálům, vztahovaly k jakémukoli sledovacímu kódu generovanému společností </w:t>
            </w:r>
            <w:r w:rsidRPr="006D689E">
              <w:rPr>
                <w:w w:val="100"/>
              </w:rPr>
              <w:t>BMS</w:t>
            </w:r>
            <w:r w:rsidRPr="006D689E">
              <w:rPr>
                <w:w w:val="100"/>
                <w:sz w:val="24"/>
                <w:szCs w:val="24"/>
              </w:rPr>
              <w:t>, který byl přidělen aferézním materiálům, aby se usnadnilo účinné sledování a identifikace pacienta a jeho aferézních materiálů.</w:t>
            </w:r>
            <w:bookmarkEnd w:id="51"/>
          </w:p>
        </w:tc>
        <w:tc>
          <w:tcPr>
            <w:tcW w:w="2452" w:type="pct"/>
          </w:tcPr>
          <w:p w14:paraId="232FC46B" w14:textId="1CA84667" w:rsidR="00C32FF1" w:rsidRPr="0031164B" w:rsidRDefault="00C32FF1" w:rsidP="00CD4205">
            <w:pPr>
              <w:pStyle w:val="Legal1L2"/>
              <w:numPr>
                <w:ilvl w:val="2"/>
                <w:numId w:val="42"/>
              </w:numPr>
              <w:ind w:left="-10"/>
              <w:rPr>
                <w:rFonts w:eastAsia="Times New Roman"/>
                <w:w w:val="100"/>
                <w:sz w:val="24"/>
                <w:szCs w:val="24"/>
                <w:u w:val="single"/>
                <w:lang w:val="en-GB"/>
              </w:rPr>
            </w:pPr>
            <w:r w:rsidRPr="0031164B">
              <w:rPr>
                <w:w w:val="100"/>
                <w:sz w:val="24"/>
                <w:szCs w:val="24"/>
                <w:u w:val="single"/>
                <w:lang w:val="en-GB"/>
              </w:rPr>
              <w:t>Chain of Identity and Traceability.</w:t>
            </w:r>
            <w:r w:rsidRPr="0031164B">
              <w:rPr>
                <w:w w:val="100"/>
                <w:sz w:val="24"/>
                <w:szCs w:val="24"/>
                <w:lang w:val="en-GB"/>
              </w:rPr>
              <w:t xml:space="preserve"> In accordance with Article 15 of the ATMP Regulation and the applicable national legislation and </w:t>
            </w:r>
            <w:r w:rsidRPr="0031164B">
              <w:rPr>
                <w:w w:val="100"/>
                <w:lang w:val="en-GB"/>
              </w:rPr>
              <w:t>BMS</w:t>
            </w:r>
            <w:r w:rsidRPr="0031164B">
              <w:rPr>
                <w:w w:val="100"/>
                <w:sz w:val="24"/>
                <w:szCs w:val="24"/>
                <w:lang w:val="en-GB"/>
              </w:rPr>
              <w:t xml:space="preserve"> ‘specific requirements and instructions, the Center will ensure that the Apheresis Materials, including all substances coming into contact with the Apheresis Materials it may contain, can be tracked from the time of collection to transfer to </w:t>
            </w:r>
            <w:r w:rsidRPr="0031164B">
              <w:rPr>
                <w:w w:val="100"/>
                <w:lang w:val="en-GB"/>
              </w:rPr>
              <w:t>BMS’</w:t>
            </w:r>
            <w:r w:rsidRPr="0031164B">
              <w:rPr>
                <w:w w:val="100"/>
                <w:sz w:val="24"/>
                <w:szCs w:val="24"/>
                <w:lang w:val="en-GB"/>
              </w:rPr>
              <w:t xml:space="preserve"> appointed courier, and from receipt of each patient’s manufactured Product to the time of Product infusion (“</w:t>
            </w:r>
            <w:r w:rsidRPr="0031164B">
              <w:rPr>
                <w:b/>
                <w:w w:val="100"/>
                <w:sz w:val="24"/>
                <w:szCs w:val="24"/>
                <w:lang w:val="en-GB"/>
              </w:rPr>
              <w:t>Chain of Identity</w:t>
            </w:r>
            <w:r w:rsidRPr="0031164B">
              <w:rPr>
                <w:w w:val="100"/>
                <w:sz w:val="24"/>
                <w:szCs w:val="24"/>
                <w:lang w:val="en-GB"/>
              </w:rPr>
              <w:t xml:space="preserve">”). Where applicable, Center’s systems to track Chain of Identity shall ensure any Center-generated distinct codes assigned to the Apheresis Materials relate to any </w:t>
            </w:r>
            <w:r w:rsidRPr="0031164B">
              <w:rPr>
                <w:w w:val="100"/>
                <w:lang w:val="en-GB"/>
              </w:rPr>
              <w:t>BMS</w:t>
            </w:r>
            <w:r w:rsidRPr="0031164B">
              <w:rPr>
                <w:w w:val="100"/>
                <w:sz w:val="24"/>
                <w:szCs w:val="24"/>
                <w:lang w:val="en-GB"/>
              </w:rPr>
              <w:t xml:space="preserve"> generated tracking code assigned to the Apheresis Materials to facilitate effective tracking and identification of the patient and his/her Apheresis Materials.</w:t>
            </w:r>
          </w:p>
        </w:tc>
      </w:tr>
      <w:tr w:rsidR="00C32FF1" w:rsidRPr="0031164B" w14:paraId="7443E713" w14:textId="5C676CCF" w:rsidTr="00830D19">
        <w:tc>
          <w:tcPr>
            <w:tcW w:w="2548" w:type="pct"/>
          </w:tcPr>
          <w:p w14:paraId="1F32A07F" w14:textId="2C0BD50A" w:rsidR="00C32FF1" w:rsidRPr="006D689E" w:rsidRDefault="00C32FF1" w:rsidP="00C32FF1">
            <w:pPr>
              <w:pStyle w:val="Legal1L2"/>
              <w:ind w:left="0"/>
              <w:rPr>
                <w:rFonts w:eastAsia="Times New Roman"/>
                <w:w w:val="100"/>
                <w:sz w:val="24"/>
                <w:szCs w:val="24"/>
              </w:rPr>
            </w:pPr>
            <w:bookmarkStart w:id="52" w:name="_Hlk13009939"/>
            <w:r w:rsidRPr="006D689E">
              <w:rPr>
                <w:w w:val="100"/>
                <w:sz w:val="24"/>
                <w:szCs w:val="24"/>
                <w:u w:val="single"/>
              </w:rPr>
              <w:t>Souhlas pacienta</w:t>
            </w:r>
            <w:r w:rsidRPr="006D689E">
              <w:rPr>
                <w:w w:val="100"/>
                <w:sz w:val="24"/>
                <w:szCs w:val="24"/>
              </w:rPr>
              <w:t xml:space="preserve">.  </w:t>
            </w:r>
            <w:bookmarkStart w:id="53" w:name="_Hlk13010011"/>
            <w:r w:rsidRPr="006D689E">
              <w:rPr>
                <w:w w:val="100"/>
                <w:sz w:val="24"/>
                <w:szCs w:val="24"/>
              </w:rPr>
              <w:t xml:space="preserve">K provedení leukaferézy, která je vyžadována jako součást aferézních služeb, získá a doloží </w:t>
            </w:r>
            <w:bookmarkStart w:id="54" w:name="_Hlk13009982"/>
            <w:r w:rsidR="0099628E">
              <w:rPr>
                <w:w w:val="100"/>
                <w:sz w:val="24"/>
                <w:szCs w:val="24"/>
              </w:rPr>
              <w:t>Centrum</w:t>
            </w:r>
            <w:r w:rsidRPr="006D689E">
              <w:rPr>
                <w:w w:val="100"/>
                <w:sz w:val="24"/>
                <w:szCs w:val="24"/>
              </w:rPr>
              <w:t xml:space="preserve"> </w:t>
            </w:r>
            <w:r w:rsidR="0037487A">
              <w:rPr>
                <w:w w:val="100"/>
                <w:sz w:val="24"/>
                <w:szCs w:val="24"/>
              </w:rPr>
              <w:t xml:space="preserve">autorizovaný </w:t>
            </w:r>
            <w:r w:rsidR="005C1925">
              <w:rPr>
                <w:w w:val="100"/>
                <w:sz w:val="24"/>
                <w:szCs w:val="24"/>
              </w:rPr>
              <w:t>informovaný souhlas</w:t>
            </w:r>
            <w:r w:rsidR="00793FE0" w:rsidRPr="006D689E">
              <w:rPr>
                <w:w w:val="100"/>
                <w:sz w:val="24"/>
                <w:szCs w:val="24"/>
              </w:rPr>
              <w:t xml:space="preserve"> </w:t>
            </w:r>
            <w:r w:rsidRPr="006D689E">
              <w:rPr>
                <w:w w:val="100"/>
                <w:sz w:val="24"/>
                <w:szCs w:val="24"/>
              </w:rPr>
              <w:t>pacienta vyžadovan</w:t>
            </w:r>
            <w:r w:rsidR="005C1925">
              <w:rPr>
                <w:w w:val="100"/>
                <w:sz w:val="24"/>
                <w:szCs w:val="24"/>
              </w:rPr>
              <w:t>ý</w:t>
            </w:r>
            <w:r w:rsidRPr="006D689E">
              <w:rPr>
                <w:w w:val="100"/>
                <w:sz w:val="24"/>
                <w:szCs w:val="24"/>
              </w:rPr>
              <w:t xml:space="preserve"> platnými právními předpisy k provedení odběru leukaferézy. Při získávání takové</w:t>
            </w:r>
            <w:r w:rsidR="00B17A6C">
              <w:rPr>
                <w:w w:val="100"/>
                <w:sz w:val="24"/>
                <w:szCs w:val="24"/>
              </w:rPr>
              <w:t>h</w:t>
            </w:r>
            <w:r w:rsidRPr="006D689E">
              <w:rPr>
                <w:w w:val="100"/>
                <w:sz w:val="24"/>
                <w:szCs w:val="24"/>
              </w:rPr>
              <w:t xml:space="preserve">o souhlasu pacienta </w:t>
            </w:r>
            <w:r w:rsidR="00B17A6C">
              <w:rPr>
                <w:w w:val="100"/>
                <w:sz w:val="24"/>
                <w:szCs w:val="24"/>
              </w:rPr>
              <w:t>Centrum</w:t>
            </w:r>
            <w:r w:rsidRPr="006D689E">
              <w:rPr>
                <w:w w:val="100"/>
                <w:sz w:val="24"/>
                <w:szCs w:val="24"/>
              </w:rPr>
              <w:t xml:space="preserve"> buď poskytne pacientovi oznámení společnosti </w:t>
            </w:r>
            <w:r w:rsidRPr="006D689E">
              <w:rPr>
                <w:w w:val="100"/>
              </w:rPr>
              <w:t>BMS</w:t>
            </w:r>
            <w:r w:rsidRPr="006D689E">
              <w:rPr>
                <w:w w:val="100"/>
                <w:sz w:val="24"/>
                <w:szCs w:val="24"/>
              </w:rPr>
              <w:t xml:space="preserve"> </w:t>
            </w:r>
            <w:r w:rsidRPr="006D689E">
              <w:rPr>
                <w:w w:val="100"/>
                <w:sz w:val="24"/>
                <w:szCs w:val="24"/>
              </w:rPr>
              <w:lastRenderedPageBreak/>
              <w:t xml:space="preserve">o ochraně osobních údajů, nebo zahrne oznámení společnosti </w:t>
            </w:r>
            <w:r w:rsidRPr="006D689E">
              <w:rPr>
                <w:w w:val="100"/>
              </w:rPr>
              <w:t>BMS</w:t>
            </w:r>
            <w:r w:rsidRPr="006D689E">
              <w:rPr>
                <w:w w:val="100"/>
                <w:sz w:val="24"/>
                <w:szCs w:val="24"/>
              </w:rPr>
              <w:t xml:space="preserve"> o ochraně osobních údajů do </w:t>
            </w:r>
            <w:r w:rsidR="00B37BAC">
              <w:rPr>
                <w:w w:val="100"/>
                <w:sz w:val="24"/>
                <w:szCs w:val="24"/>
              </w:rPr>
              <w:t>informovaného</w:t>
            </w:r>
            <w:r w:rsidR="00B37BAC" w:rsidRPr="006D689E">
              <w:rPr>
                <w:w w:val="100"/>
                <w:sz w:val="24"/>
                <w:szCs w:val="24"/>
              </w:rPr>
              <w:t xml:space="preserve"> </w:t>
            </w:r>
            <w:r w:rsidRPr="006D689E">
              <w:rPr>
                <w:w w:val="100"/>
                <w:sz w:val="24"/>
                <w:szCs w:val="24"/>
              </w:rPr>
              <w:t xml:space="preserve">souhlasu pacienta v souladu s dodatkem o ochraně osobních údajů, který je připojen k této smlouvě jako příloha D. </w:t>
            </w:r>
            <w:bookmarkEnd w:id="53"/>
            <w:bookmarkEnd w:id="54"/>
          </w:p>
        </w:tc>
        <w:tc>
          <w:tcPr>
            <w:tcW w:w="2452" w:type="pct"/>
          </w:tcPr>
          <w:p w14:paraId="06C61F3D" w14:textId="7EA19D67" w:rsidR="00C32FF1" w:rsidRPr="00CD4205" w:rsidRDefault="00C32FF1" w:rsidP="00CD4205">
            <w:pPr>
              <w:pStyle w:val="Legal1L2"/>
              <w:numPr>
                <w:ilvl w:val="1"/>
                <w:numId w:val="43"/>
              </w:numPr>
              <w:ind w:left="-10" w:firstLine="190"/>
              <w:rPr>
                <w:rFonts w:eastAsia="Times New Roman"/>
                <w:w w:val="100"/>
                <w:sz w:val="24"/>
                <w:szCs w:val="24"/>
                <w:u w:val="single"/>
                <w:lang w:val="en-GB"/>
              </w:rPr>
            </w:pPr>
            <w:r w:rsidRPr="00CD4205">
              <w:rPr>
                <w:w w:val="100"/>
                <w:sz w:val="24"/>
                <w:szCs w:val="24"/>
                <w:u w:val="single"/>
                <w:lang w:val="en-GB"/>
              </w:rPr>
              <w:lastRenderedPageBreak/>
              <w:t>Patient Authorization</w:t>
            </w:r>
            <w:r w:rsidRPr="00CD4205">
              <w:rPr>
                <w:w w:val="100"/>
                <w:sz w:val="24"/>
                <w:szCs w:val="24"/>
                <w:lang w:val="en-GB"/>
              </w:rPr>
              <w:t xml:space="preserve">.  To conduct the leukapheresis procedure required as part of the Apheresis Services, Center shall obtain and document any patient authorization required by Applicable Law to perform the leukapheresis collection procedure. When collecting such patient authorization, Center shall either provide </w:t>
            </w:r>
            <w:r w:rsidRPr="00CD4205">
              <w:rPr>
                <w:w w:val="100"/>
                <w:lang w:val="en-GB"/>
              </w:rPr>
              <w:t>BMS’</w:t>
            </w:r>
            <w:r w:rsidRPr="00CD4205">
              <w:rPr>
                <w:w w:val="100"/>
                <w:sz w:val="24"/>
                <w:szCs w:val="24"/>
                <w:lang w:val="en-GB"/>
              </w:rPr>
              <w:t xml:space="preserve"> privacy notice to the </w:t>
            </w:r>
            <w:r w:rsidRPr="00CD4205">
              <w:rPr>
                <w:w w:val="100"/>
                <w:sz w:val="24"/>
                <w:szCs w:val="24"/>
                <w:lang w:val="en-GB"/>
              </w:rPr>
              <w:lastRenderedPageBreak/>
              <w:t xml:space="preserve">patient or shall include </w:t>
            </w:r>
            <w:r w:rsidRPr="00CD4205">
              <w:rPr>
                <w:w w:val="100"/>
                <w:lang w:val="en-GB"/>
              </w:rPr>
              <w:t>BMS’</w:t>
            </w:r>
            <w:r w:rsidRPr="00CD4205">
              <w:rPr>
                <w:w w:val="100"/>
                <w:sz w:val="24"/>
                <w:szCs w:val="24"/>
                <w:lang w:val="en-GB"/>
              </w:rPr>
              <w:t xml:space="preserve"> privacy notice in the patient authorization form, in accordance with the Data Privacy Addendum attached to this Agreement as Attachment D. </w:t>
            </w:r>
          </w:p>
        </w:tc>
      </w:tr>
      <w:bookmarkEnd w:id="52"/>
      <w:tr w:rsidR="00C32FF1" w:rsidRPr="0031164B" w14:paraId="0B772D7E" w14:textId="6733539A" w:rsidTr="00830D19">
        <w:tc>
          <w:tcPr>
            <w:tcW w:w="2548" w:type="pct"/>
          </w:tcPr>
          <w:p w14:paraId="6C04B3EB" w14:textId="77777777"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lastRenderedPageBreak/>
              <w:t xml:space="preserve">Materiály a vybavení.  </w:t>
            </w:r>
          </w:p>
        </w:tc>
        <w:tc>
          <w:tcPr>
            <w:tcW w:w="2452" w:type="pct"/>
          </w:tcPr>
          <w:p w14:paraId="371B1E3A" w14:textId="19207D45" w:rsidR="00C32FF1" w:rsidRPr="00CD4205" w:rsidRDefault="00C32FF1" w:rsidP="00CD4205">
            <w:pPr>
              <w:pStyle w:val="Legal1L2"/>
              <w:numPr>
                <w:ilvl w:val="1"/>
                <w:numId w:val="44"/>
              </w:numPr>
              <w:rPr>
                <w:rFonts w:eastAsia="Times New Roman"/>
                <w:w w:val="100"/>
                <w:sz w:val="24"/>
                <w:szCs w:val="24"/>
                <w:u w:val="single"/>
                <w:lang w:val="en-GB"/>
              </w:rPr>
            </w:pPr>
            <w:r w:rsidRPr="00CD4205">
              <w:rPr>
                <w:w w:val="100"/>
                <w:sz w:val="24"/>
                <w:szCs w:val="24"/>
                <w:u w:val="single"/>
                <w:lang w:val="en-GB"/>
              </w:rPr>
              <w:t xml:space="preserve">Materials and Equipment.  </w:t>
            </w:r>
          </w:p>
        </w:tc>
      </w:tr>
      <w:tr w:rsidR="00C32FF1" w:rsidRPr="0031164B" w14:paraId="37A0C618" w14:textId="4E0F61EA" w:rsidTr="00830D19">
        <w:tc>
          <w:tcPr>
            <w:tcW w:w="2548" w:type="pct"/>
          </w:tcPr>
          <w:p w14:paraId="7618FCA2" w14:textId="1687BCF1" w:rsidR="00C32FF1" w:rsidRPr="006D689E" w:rsidRDefault="00C32FF1" w:rsidP="00C32FF1">
            <w:pPr>
              <w:pStyle w:val="Legal1L2"/>
              <w:numPr>
                <w:ilvl w:val="2"/>
                <w:numId w:val="1"/>
              </w:numPr>
              <w:ind w:left="-90"/>
              <w:rPr>
                <w:rFonts w:eastAsia="Times New Roman"/>
                <w:w w:val="100"/>
                <w:sz w:val="24"/>
                <w:szCs w:val="24"/>
              </w:rPr>
            </w:pPr>
            <w:bookmarkStart w:id="55" w:name="_Hlk13010094"/>
            <w:r w:rsidRPr="006D689E">
              <w:rPr>
                <w:w w:val="100"/>
              </w:rPr>
              <w:t xml:space="preserve">Společnost </w:t>
            </w:r>
            <w:r w:rsidRPr="006D689E">
              <w:rPr>
                <w:w w:val="100"/>
                <w:sz w:val="24"/>
                <w:szCs w:val="24"/>
              </w:rPr>
              <w:t xml:space="preserve">BMS poskytne </w:t>
            </w:r>
            <w:r w:rsidR="00C1055D">
              <w:rPr>
                <w:w w:val="100"/>
                <w:sz w:val="24"/>
                <w:szCs w:val="24"/>
              </w:rPr>
              <w:t xml:space="preserve">bezplatně </w:t>
            </w:r>
            <w:r w:rsidR="004F4311">
              <w:rPr>
                <w:w w:val="100"/>
                <w:sz w:val="24"/>
                <w:szCs w:val="24"/>
              </w:rPr>
              <w:t>Centru</w:t>
            </w:r>
            <w:r w:rsidRPr="006D689E">
              <w:rPr>
                <w:w w:val="100"/>
                <w:sz w:val="24"/>
                <w:szCs w:val="24"/>
              </w:rPr>
              <w:t xml:space="preserve"> štítky, obaly a přepravní materiály pro každý aferézní materiál pacienta, pro kterého byl produkt objednán, k přepravě do výrobního závodu společnosti </w:t>
            </w:r>
            <w:r w:rsidRPr="006D689E">
              <w:rPr>
                <w:w w:val="100"/>
              </w:rPr>
              <w:t>BMS</w:t>
            </w:r>
            <w:r w:rsidRPr="006D689E">
              <w:rPr>
                <w:w w:val="100"/>
                <w:sz w:val="24"/>
                <w:szCs w:val="24"/>
              </w:rPr>
              <w:t>.</w:t>
            </w:r>
            <w:r w:rsidR="00BD7182">
              <w:rPr>
                <w:w w:val="100"/>
                <w:sz w:val="24"/>
                <w:szCs w:val="24"/>
              </w:rPr>
              <w:t xml:space="preserve"> Centrum</w:t>
            </w:r>
            <w:r w:rsidRPr="006D689E">
              <w:rPr>
                <w:w w:val="100"/>
                <w:sz w:val="24"/>
                <w:szCs w:val="24"/>
              </w:rPr>
              <w:t xml:space="preserve"> použije takové označení, obalový a přepravní materiál pouze pro účely poskytování aferézních služeb. </w:t>
            </w:r>
            <w:r w:rsidR="00D27C43">
              <w:rPr>
                <w:w w:val="100"/>
                <w:sz w:val="24"/>
                <w:szCs w:val="24"/>
              </w:rPr>
              <w:t>Centrum</w:t>
            </w:r>
            <w:r w:rsidRPr="006D689E">
              <w:rPr>
                <w:w w:val="100"/>
                <w:sz w:val="24"/>
                <w:szCs w:val="24"/>
              </w:rPr>
              <w:t xml:space="preserve"> je odpovědné za objednávání těchto materiálů od společnosti </w:t>
            </w:r>
            <w:r w:rsidRPr="006D689E">
              <w:rPr>
                <w:w w:val="100"/>
              </w:rPr>
              <w:t>BMS</w:t>
            </w:r>
            <w:r w:rsidRPr="006D689E">
              <w:rPr>
                <w:w w:val="100"/>
                <w:sz w:val="24"/>
                <w:szCs w:val="24"/>
              </w:rPr>
              <w:t xml:space="preserve"> a za udržování dostatečného množství přepravních a obalových materiálů dodaných společností </w:t>
            </w:r>
            <w:r w:rsidRPr="006D689E">
              <w:rPr>
                <w:w w:val="100"/>
              </w:rPr>
              <w:t>BMS</w:t>
            </w:r>
            <w:r w:rsidRPr="006D689E">
              <w:rPr>
                <w:w w:val="100"/>
                <w:sz w:val="24"/>
                <w:szCs w:val="24"/>
              </w:rPr>
              <w:t xml:space="preserve">, které jsou nezbytné k provádění služeb. </w:t>
            </w:r>
          </w:p>
        </w:tc>
        <w:tc>
          <w:tcPr>
            <w:tcW w:w="2452" w:type="pct"/>
          </w:tcPr>
          <w:p w14:paraId="3F2C2513" w14:textId="1D77B3C0" w:rsidR="00C32FF1" w:rsidRPr="0031164B" w:rsidRDefault="00C32FF1" w:rsidP="00CD4205">
            <w:pPr>
              <w:pStyle w:val="Legal1L2"/>
              <w:numPr>
                <w:ilvl w:val="2"/>
                <w:numId w:val="45"/>
              </w:numPr>
              <w:ind w:left="0"/>
              <w:rPr>
                <w:rFonts w:eastAsia="Times New Roman"/>
                <w:w w:val="100"/>
                <w:lang w:val="en-GB"/>
              </w:rPr>
            </w:pPr>
            <w:r w:rsidRPr="0031164B">
              <w:rPr>
                <w:w w:val="100"/>
                <w:lang w:val="en-GB"/>
              </w:rPr>
              <w:t>BMS</w:t>
            </w:r>
            <w:r w:rsidRPr="0031164B">
              <w:rPr>
                <w:w w:val="100"/>
                <w:sz w:val="24"/>
                <w:szCs w:val="24"/>
                <w:lang w:val="en-GB"/>
              </w:rPr>
              <w:t xml:space="preserve"> shall provide Center with labeling, packaging and shipping materials</w:t>
            </w:r>
            <w:r w:rsidR="0081489B">
              <w:rPr>
                <w:w w:val="100"/>
                <w:sz w:val="24"/>
                <w:szCs w:val="24"/>
                <w:lang w:val="en-GB"/>
              </w:rPr>
              <w:t xml:space="preserve"> for free</w:t>
            </w:r>
            <w:r w:rsidRPr="0031164B">
              <w:rPr>
                <w:w w:val="100"/>
                <w:sz w:val="24"/>
                <w:szCs w:val="24"/>
                <w:lang w:val="en-GB"/>
              </w:rPr>
              <w:t xml:space="preserve"> for each patient’s Apheresis Materials for whom a Product has been ordered, for transport to </w:t>
            </w:r>
            <w:r w:rsidRPr="0031164B">
              <w:rPr>
                <w:w w:val="100"/>
                <w:lang w:val="en-GB"/>
              </w:rPr>
              <w:t>BMS</w:t>
            </w:r>
            <w:r w:rsidRPr="0031164B">
              <w:rPr>
                <w:w w:val="100"/>
                <w:sz w:val="24"/>
                <w:szCs w:val="24"/>
                <w:lang w:val="en-GB"/>
              </w:rPr>
              <w:t xml:space="preserve"> ‘manufacturing facility. Center shall use such labeling, packaging and shipping materials only for its performance of Apheresis Services. Center shall be responsible for ordering such materials from </w:t>
            </w:r>
            <w:r w:rsidRPr="0031164B">
              <w:rPr>
                <w:w w:val="100"/>
                <w:lang w:val="en-GB"/>
              </w:rPr>
              <w:t>BMS</w:t>
            </w:r>
            <w:r w:rsidRPr="0031164B">
              <w:rPr>
                <w:w w:val="100"/>
                <w:sz w:val="24"/>
                <w:szCs w:val="24"/>
                <w:lang w:val="en-GB"/>
              </w:rPr>
              <w:t xml:space="preserve"> and maintaining sufficient quantities of </w:t>
            </w:r>
            <w:r w:rsidRPr="0031164B">
              <w:rPr>
                <w:w w:val="100"/>
                <w:lang w:val="en-GB"/>
              </w:rPr>
              <w:t>BMS</w:t>
            </w:r>
            <w:r w:rsidRPr="0031164B">
              <w:rPr>
                <w:w w:val="100"/>
                <w:sz w:val="24"/>
                <w:szCs w:val="24"/>
                <w:lang w:val="en-GB"/>
              </w:rPr>
              <w:t xml:space="preserve"> -supplied shipping and packaging materials necessary to perform the Apheresis Services. </w:t>
            </w:r>
          </w:p>
        </w:tc>
      </w:tr>
      <w:tr w:rsidR="00C32FF1" w:rsidRPr="0031164B" w14:paraId="76CDC985" w14:textId="10A4BD4D" w:rsidTr="00830D19">
        <w:tc>
          <w:tcPr>
            <w:tcW w:w="2548" w:type="pct"/>
          </w:tcPr>
          <w:p w14:paraId="2DDC4848" w14:textId="138BD983" w:rsidR="00C32FF1" w:rsidRPr="006D689E" w:rsidRDefault="00D27C43" w:rsidP="00C32FF1">
            <w:pPr>
              <w:pStyle w:val="Legal1L2"/>
              <w:numPr>
                <w:ilvl w:val="2"/>
                <w:numId w:val="1"/>
              </w:numPr>
              <w:ind w:left="-90"/>
              <w:rPr>
                <w:rFonts w:eastAsia="Times New Roman"/>
                <w:w w:val="100"/>
                <w:sz w:val="24"/>
                <w:szCs w:val="24"/>
              </w:rPr>
            </w:pPr>
            <w:bookmarkStart w:id="56" w:name="_Hlk13010113"/>
            <w:bookmarkEnd w:id="55"/>
            <w:r>
              <w:rPr>
                <w:w w:val="100"/>
                <w:sz w:val="24"/>
                <w:szCs w:val="24"/>
              </w:rPr>
              <w:t>Centrum</w:t>
            </w:r>
            <w:r w:rsidR="00C32FF1" w:rsidRPr="006D689E">
              <w:rPr>
                <w:w w:val="100"/>
                <w:sz w:val="24"/>
                <w:szCs w:val="24"/>
              </w:rPr>
              <w:t xml:space="preserve"> odpovídá za zajištění veškerých dalších vhodných dodávek, materiálů a spotřebního materiálu a zařízení pro odběr a zpracování buněk potřebných k provádění aferézních služeb. Veškeré specifické požadavky </w:t>
            </w:r>
            <w:r w:rsidR="00C32FF1" w:rsidRPr="006D689E">
              <w:rPr>
                <w:w w:val="100"/>
              </w:rPr>
              <w:t>BMS</w:t>
            </w:r>
            <w:r w:rsidR="00C32FF1" w:rsidRPr="006D689E">
              <w:rPr>
                <w:w w:val="100"/>
                <w:sz w:val="24"/>
                <w:szCs w:val="24"/>
              </w:rPr>
              <w:t xml:space="preserve"> na typy zařízení, materiálů nebo spotřebního materiálu, které mají být použity při provádění aferézy, jsou uvedeny v postupu komerčního odběru.</w:t>
            </w:r>
          </w:p>
        </w:tc>
        <w:tc>
          <w:tcPr>
            <w:tcW w:w="2452" w:type="pct"/>
          </w:tcPr>
          <w:p w14:paraId="1AFEF357" w14:textId="581229CE" w:rsidR="00C32FF1" w:rsidRPr="0031164B" w:rsidRDefault="00C32FF1" w:rsidP="00CD4205">
            <w:pPr>
              <w:pStyle w:val="Legal1L2"/>
              <w:numPr>
                <w:ilvl w:val="2"/>
                <w:numId w:val="46"/>
              </w:numPr>
              <w:ind w:left="-10"/>
              <w:rPr>
                <w:rFonts w:eastAsia="Times New Roman"/>
                <w:w w:val="100"/>
                <w:sz w:val="24"/>
                <w:szCs w:val="24"/>
                <w:lang w:val="en-GB"/>
              </w:rPr>
            </w:pPr>
            <w:r w:rsidRPr="0031164B">
              <w:rPr>
                <w:w w:val="100"/>
                <w:sz w:val="24"/>
                <w:szCs w:val="24"/>
                <w:lang w:val="en-GB"/>
              </w:rPr>
              <w:t xml:space="preserve">Center shall be responsible for providing all other appropriate supplies, materials and consumables, and the collection and cellular processing equipment needed to perform the Apheresis Services. All </w:t>
            </w:r>
            <w:r w:rsidRPr="0031164B">
              <w:rPr>
                <w:w w:val="100"/>
                <w:lang w:val="en-GB"/>
              </w:rPr>
              <w:t>BMS</w:t>
            </w:r>
            <w:r w:rsidRPr="0031164B">
              <w:rPr>
                <w:w w:val="100"/>
                <w:sz w:val="24"/>
                <w:szCs w:val="24"/>
                <w:lang w:val="en-GB"/>
              </w:rPr>
              <w:t xml:space="preserve"> -specific requirements for types of equipment, materials or consumables to be used in the performance of the Apheresis Services shall be specified in the Commercial Collection Procedure.</w:t>
            </w:r>
          </w:p>
        </w:tc>
      </w:tr>
      <w:tr w:rsidR="00C32FF1" w:rsidRPr="0031164B" w14:paraId="043254C7" w14:textId="7E36895B" w:rsidTr="00830D19">
        <w:tc>
          <w:tcPr>
            <w:tcW w:w="2548" w:type="pct"/>
          </w:tcPr>
          <w:p w14:paraId="4FB8EB93" w14:textId="4A103D4F" w:rsidR="00C32FF1" w:rsidRPr="006D689E" w:rsidRDefault="00C32FF1" w:rsidP="00C32FF1">
            <w:pPr>
              <w:pStyle w:val="Legal1L2"/>
              <w:ind w:left="0"/>
              <w:rPr>
                <w:rFonts w:eastAsia="Times New Roman"/>
                <w:w w:val="100"/>
                <w:sz w:val="24"/>
                <w:szCs w:val="24"/>
              </w:rPr>
            </w:pPr>
            <w:bookmarkStart w:id="57" w:name="_Hlk13010129"/>
            <w:bookmarkEnd w:id="56"/>
            <w:r w:rsidRPr="006D689E">
              <w:rPr>
                <w:w w:val="100"/>
                <w:sz w:val="24"/>
                <w:szCs w:val="24"/>
                <w:u w:val="single"/>
              </w:rPr>
              <w:t>Balení aferetických materiálů</w:t>
            </w:r>
            <w:r w:rsidRPr="006D689E">
              <w:rPr>
                <w:w w:val="100"/>
                <w:sz w:val="24"/>
                <w:szCs w:val="24"/>
              </w:rPr>
              <w:t xml:space="preserve">.  Bezprostředně po odběru aferézních materiálů zabalí </w:t>
            </w:r>
            <w:r w:rsidR="00FA0138">
              <w:rPr>
                <w:w w:val="100"/>
                <w:sz w:val="24"/>
                <w:szCs w:val="24"/>
              </w:rPr>
              <w:t>Centrum</w:t>
            </w:r>
            <w:r w:rsidRPr="006D689E">
              <w:rPr>
                <w:w w:val="100"/>
                <w:sz w:val="24"/>
                <w:szCs w:val="24"/>
              </w:rPr>
              <w:t xml:space="preserve"> aferézní materiály do obalů a kontejnerů, které </w:t>
            </w:r>
            <w:r w:rsidR="003B6DCC">
              <w:rPr>
                <w:w w:val="100"/>
                <w:sz w:val="24"/>
                <w:szCs w:val="24"/>
              </w:rPr>
              <w:t>Centru</w:t>
            </w:r>
            <w:r w:rsidRPr="006D689E">
              <w:rPr>
                <w:w w:val="100"/>
                <w:sz w:val="24"/>
                <w:szCs w:val="24"/>
              </w:rPr>
              <w:t xml:space="preserve"> poskytla společnost </w:t>
            </w:r>
            <w:r w:rsidRPr="006D689E">
              <w:rPr>
                <w:w w:val="100"/>
              </w:rPr>
              <w:t>BMS</w:t>
            </w:r>
            <w:r w:rsidRPr="006D689E">
              <w:rPr>
                <w:w w:val="100"/>
                <w:sz w:val="24"/>
                <w:szCs w:val="24"/>
              </w:rPr>
              <w:t xml:space="preserve">, v souladu s pokyny uvedenými v postupu komerčního odběru.  </w:t>
            </w:r>
            <w:r w:rsidR="003B6DCC">
              <w:rPr>
                <w:w w:val="100"/>
                <w:sz w:val="24"/>
                <w:szCs w:val="24"/>
              </w:rPr>
              <w:t>Centrum</w:t>
            </w:r>
            <w:r w:rsidRPr="006D689E">
              <w:rPr>
                <w:w w:val="100"/>
                <w:sz w:val="24"/>
                <w:szCs w:val="24"/>
              </w:rPr>
              <w:t xml:space="preserve"> si ponechá zabalené aferézní materiály v držení a pod kontrolou až do jejich předání určenému kurýrovi společnosti </w:t>
            </w:r>
            <w:r w:rsidRPr="006D689E">
              <w:rPr>
                <w:w w:val="100"/>
              </w:rPr>
              <w:t>BMS</w:t>
            </w:r>
            <w:r w:rsidRPr="006D689E">
              <w:rPr>
                <w:w w:val="100"/>
                <w:sz w:val="24"/>
                <w:szCs w:val="24"/>
              </w:rPr>
              <w:t xml:space="preserve">, aby se zabránilo jejich úmyslnému nebo náhodnému poškození či manipulaci.    </w:t>
            </w:r>
          </w:p>
        </w:tc>
        <w:tc>
          <w:tcPr>
            <w:tcW w:w="2452" w:type="pct"/>
          </w:tcPr>
          <w:p w14:paraId="0D4076BA" w14:textId="4BDAA52B" w:rsidR="00C32FF1" w:rsidRPr="00CD4205" w:rsidRDefault="00C32FF1" w:rsidP="00CD4205">
            <w:pPr>
              <w:pStyle w:val="Legal1L2"/>
              <w:numPr>
                <w:ilvl w:val="1"/>
                <w:numId w:val="47"/>
              </w:numPr>
              <w:ind w:left="0" w:firstLine="180"/>
              <w:rPr>
                <w:rFonts w:eastAsia="Times New Roman"/>
                <w:w w:val="100"/>
                <w:sz w:val="24"/>
                <w:szCs w:val="24"/>
                <w:u w:val="single"/>
                <w:lang w:val="en-GB"/>
              </w:rPr>
            </w:pPr>
            <w:r w:rsidRPr="00CD4205">
              <w:rPr>
                <w:w w:val="100"/>
                <w:sz w:val="24"/>
                <w:szCs w:val="24"/>
                <w:u w:val="single"/>
                <w:lang w:val="en-GB"/>
              </w:rPr>
              <w:t>Apheresis Materials Packaging</w:t>
            </w:r>
            <w:r w:rsidRPr="00CD4205">
              <w:rPr>
                <w:w w:val="100"/>
                <w:sz w:val="24"/>
                <w:szCs w:val="24"/>
                <w:lang w:val="en-GB"/>
              </w:rPr>
              <w:t xml:space="preserve">.  Immediately following the collection of Apheresis Materials, Center shall package Apheresis Materials with the packaging and container labels provided to Center by </w:t>
            </w:r>
            <w:r w:rsidRPr="00CD4205">
              <w:rPr>
                <w:w w:val="100"/>
                <w:lang w:val="en-GB"/>
              </w:rPr>
              <w:t>BMS</w:t>
            </w:r>
            <w:r w:rsidRPr="00CD4205">
              <w:rPr>
                <w:w w:val="100"/>
                <w:sz w:val="24"/>
                <w:szCs w:val="24"/>
                <w:lang w:val="en-GB"/>
              </w:rPr>
              <w:t xml:space="preserve"> in accordance with the instructions set forth in the Commercial Collection Procedure.  Center shall retain possession and control over the packaged Apheresis Materials until they are transferred to </w:t>
            </w:r>
            <w:r w:rsidRPr="00CD4205">
              <w:rPr>
                <w:w w:val="100"/>
                <w:lang w:val="en-GB"/>
              </w:rPr>
              <w:t>BMS’</w:t>
            </w:r>
            <w:r w:rsidRPr="00CD4205">
              <w:rPr>
                <w:w w:val="100"/>
                <w:sz w:val="24"/>
                <w:szCs w:val="24"/>
                <w:lang w:val="en-GB"/>
              </w:rPr>
              <w:t xml:space="preserve"> appointed courier to prevent intentional or accidental damage or tampering.    </w:t>
            </w:r>
          </w:p>
        </w:tc>
      </w:tr>
      <w:tr w:rsidR="00C32FF1" w:rsidRPr="0031164B" w14:paraId="66561998" w14:textId="0672B562" w:rsidTr="00830D19">
        <w:tc>
          <w:tcPr>
            <w:tcW w:w="2548" w:type="pct"/>
          </w:tcPr>
          <w:p w14:paraId="19EAF8C3" w14:textId="6D4EE8FB" w:rsidR="00C32FF1" w:rsidRPr="006D689E" w:rsidRDefault="00C32FF1" w:rsidP="00C32FF1">
            <w:pPr>
              <w:pStyle w:val="Legal1L2"/>
              <w:ind w:left="0"/>
              <w:rPr>
                <w:rFonts w:eastAsia="Times New Roman"/>
                <w:w w:val="100"/>
                <w:sz w:val="24"/>
                <w:szCs w:val="24"/>
              </w:rPr>
            </w:pPr>
            <w:bookmarkStart w:id="58" w:name="_Hlk13010393"/>
            <w:bookmarkEnd w:id="57"/>
            <w:r w:rsidRPr="006D689E">
              <w:rPr>
                <w:w w:val="100"/>
                <w:sz w:val="24"/>
                <w:szCs w:val="24"/>
                <w:u w:val="single"/>
              </w:rPr>
              <w:lastRenderedPageBreak/>
              <w:t>Přeprava a přenos aferézního materiálu.</w:t>
            </w:r>
            <w:r w:rsidRPr="006D689E">
              <w:rPr>
                <w:w w:val="100"/>
                <w:sz w:val="24"/>
                <w:szCs w:val="24"/>
              </w:rPr>
              <w:t xml:space="preserve">  </w:t>
            </w:r>
            <w:r w:rsidRPr="006D689E">
              <w:rPr>
                <w:w w:val="100"/>
              </w:rPr>
              <w:t xml:space="preserve">Společnost </w:t>
            </w:r>
            <w:r w:rsidRPr="006D689E">
              <w:rPr>
                <w:w w:val="100"/>
                <w:sz w:val="24"/>
                <w:szCs w:val="24"/>
              </w:rPr>
              <w:t xml:space="preserve">BMS určí kurýra, který vyzvedne aferézní materiály z </w:t>
            </w:r>
            <w:r w:rsidR="00BC7FB3">
              <w:rPr>
                <w:w w:val="100"/>
                <w:sz w:val="24"/>
                <w:szCs w:val="24"/>
              </w:rPr>
              <w:t>Centra</w:t>
            </w:r>
            <w:r w:rsidR="00BC7FB3" w:rsidRPr="006D689E">
              <w:rPr>
                <w:w w:val="100"/>
                <w:sz w:val="24"/>
                <w:szCs w:val="24"/>
              </w:rPr>
              <w:t xml:space="preserve"> </w:t>
            </w:r>
            <w:r w:rsidRPr="006D689E">
              <w:rPr>
                <w:w w:val="100"/>
                <w:sz w:val="24"/>
                <w:szCs w:val="24"/>
              </w:rPr>
              <w:t xml:space="preserve">a dopraví je do výrobního závodu společnosti </w:t>
            </w:r>
            <w:r w:rsidRPr="006D689E">
              <w:rPr>
                <w:w w:val="100"/>
              </w:rPr>
              <w:t>BMS</w:t>
            </w:r>
            <w:r w:rsidRPr="006D689E">
              <w:rPr>
                <w:w w:val="100"/>
                <w:sz w:val="24"/>
                <w:szCs w:val="24"/>
              </w:rPr>
              <w:t xml:space="preserve"> </w:t>
            </w:r>
            <w:r w:rsidRPr="006D689E">
              <w:rPr>
                <w:w w:val="100"/>
              </w:rPr>
              <w:t>na vlastní náklady</w:t>
            </w:r>
            <w:r w:rsidRPr="006D689E">
              <w:rPr>
                <w:w w:val="100"/>
                <w:sz w:val="24"/>
                <w:szCs w:val="24"/>
              </w:rPr>
              <w:t xml:space="preserve">. </w:t>
            </w:r>
            <w:r w:rsidRPr="006D689E">
              <w:rPr>
                <w:w w:val="100"/>
              </w:rPr>
              <w:t xml:space="preserve">Společnost </w:t>
            </w:r>
            <w:r w:rsidRPr="006D689E">
              <w:rPr>
                <w:w w:val="100"/>
                <w:sz w:val="24"/>
                <w:szCs w:val="24"/>
              </w:rPr>
              <w:t xml:space="preserve">BMS naplánuje čas vyzvednutí kurýrem na základě času odběru aferézy naplánovaného </w:t>
            </w:r>
            <w:r w:rsidR="005A5FB1">
              <w:rPr>
                <w:w w:val="100"/>
                <w:sz w:val="24"/>
                <w:szCs w:val="24"/>
              </w:rPr>
              <w:t>Centr</w:t>
            </w:r>
            <w:r w:rsidR="00BD7E9C">
              <w:rPr>
                <w:w w:val="100"/>
                <w:sz w:val="24"/>
                <w:szCs w:val="24"/>
              </w:rPr>
              <w:t>e</w:t>
            </w:r>
            <w:r w:rsidR="005A5FB1">
              <w:rPr>
                <w:w w:val="100"/>
                <w:sz w:val="24"/>
                <w:szCs w:val="24"/>
              </w:rPr>
              <w:t>m</w:t>
            </w:r>
            <w:r w:rsidRPr="006D689E">
              <w:rPr>
                <w:w w:val="100"/>
                <w:sz w:val="24"/>
                <w:szCs w:val="24"/>
              </w:rPr>
              <w:t xml:space="preserve"> a sdělí </w:t>
            </w:r>
            <w:r w:rsidR="005A5FB1">
              <w:rPr>
                <w:w w:val="100"/>
                <w:sz w:val="24"/>
                <w:szCs w:val="24"/>
              </w:rPr>
              <w:t>Centru</w:t>
            </w:r>
            <w:r w:rsidRPr="006D689E">
              <w:rPr>
                <w:w w:val="100"/>
                <w:sz w:val="24"/>
                <w:szCs w:val="24"/>
              </w:rPr>
              <w:t xml:space="preserve"> čas vyzvednutí prostřednictvím portálu. Riziko ztráty aferézních materiálů přechází na společnost </w:t>
            </w:r>
            <w:r w:rsidRPr="006D689E">
              <w:rPr>
                <w:w w:val="100"/>
              </w:rPr>
              <w:t>BMS</w:t>
            </w:r>
            <w:r w:rsidRPr="006D689E">
              <w:rPr>
                <w:w w:val="100"/>
                <w:sz w:val="24"/>
                <w:szCs w:val="24"/>
              </w:rPr>
              <w:t xml:space="preserve">, jakmile kurýr určený společností </w:t>
            </w:r>
            <w:r w:rsidRPr="006D689E">
              <w:rPr>
                <w:w w:val="100"/>
              </w:rPr>
              <w:t>BMS</w:t>
            </w:r>
            <w:r w:rsidRPr="006D689E">
              <w:rPr>
                <w:w w:val="100"/>
                <w:sz w:val="24"/>
                <w:szCs w:val="24"/>
              </w:rPr>
              <w:t xml:space="preserve"> převezme aferézní materiály. </w:t>
            </w:r>
          </w:p>
        </w:tc>
        <w:tc>
          <w:tcPr>
            <w:tcW w:w="2452" w:type="pct"/>
          </w:tcPr>
          <w:p w14:paraId="79A51430" w14:textId="1DFF3A97" w:rsidR="00C32FF1" w:rsidRPr="00CD4205" w:rsidRDefault="00C32FF1" w:rsidP="00CD4205">
            <w:pPr>
              <w:pStyle w:val="Legal1L2"/>
              <w:numPr>
                <w:ilvl w:val="1"/>
                <w:numId w:val="48"/>
              </w:numPr>
              <w:ind w:left="0" w:firstLine="180"/>
              <w:rPr>
                <w:rFonts w:eastAsia="Times New Roman"/>
                <w:w w:val="100"/>
                <w:sz w:val="24"/>
                <w:szCs w:val="24"/>
                <w:u w:val="single"/>
                <w:lang w:val="en-GB"/>
              </w:rPr>
            </w:pPr>
            <w:r w:rsidRPr="00CD4205">
              <w:rPr>
                <w:w w:val="100"/>
                <w:sz w:val="24"/>
                <w:szCs w:val="24"/>
                <w:u w:val="single"/>
                <w:lang w:val="en-GB"/>
              </w:rPr>
              <w:t>Shipment and Transfer of Apheresis Materials</w:t>
            </w:r>
            <w:r w:rsidRPr="00CD4205">
              <w:rPr>
                <w:w w:val="100"/>
                <w:sz w:val="24"/>
                <w:szCs w:val="24"/>
                <w:lang w:val="en-GB"/>
              </w:rPr>
              <w:t xml:space="preserve">.  </w:t>
            </w:r>
            <w:r w:rsidRPr="00CD4205">
              <w:rPr>
                <w:w w:val="100"/>
                <w:lang w:val="en-GB"/>
              </w:rPr>
              <w:t>BMS</w:t>
            </w:r>
            <w:r w:rsidRPr="00CD4205">
              <w:rPr>
                <w:w w:val="100"/>
                <w:sz w:val="24"/>
                <w:szCs w:val="24"/>
                <w:lang w:val="en-GB"/>
              </w:rPr>
              <w:t xml:space="preserve"> will appoint a courier to pick up Apheresis Materials from Center and transport them to </w:t>
            </w:r>
            <w:r w:rsidRPr="00CD4205">
              <w:rPr>
                <w:w w:val="100"/>
                <w:lang w:val="en-GB"/>
              </w:rPr>
              <w:t>BMS’</w:t>
            </w:r>
            <w:r w:rsidRPr="00CD4205">
              <w:rPr>
                <w:w w:val="100"/>
                <w:sz w:val="24"/>
                <w:szCs w:val="24"/>
                <w:lang w:val="en-GB"/>
              </w:rPr>
              <w:t xml:space="preserve"> manufacturing facility at </w:t>
            </w:r>
            <w:r w:rsidRPr="00CD4205">
              <w:rPr>
                <w:w w:val="100"/>
                <w:lang w:val="en-GB"/>
              </w:rPr>
              <w:t>BMS’</w:t>
            </w:r>
            <w:r w:rsidRPr="00CD4205">
              <w:rPr>
                <w:w w:val="100"/>
                <w:sz w:val="24"/>
                <w:szCs w:val="24"/>
                <w:lang w:val="en-GB"/>
              </w:rPr>
              <w:t xml:space="preserve"> sole expense. </w:t>
            </w:r>
            <w:r w:rsidRPr="00CD4205">
              <w:rPr>
                <w:w w:val="100"/>
                <w:lang w:val="en-GB"/>
              </w:rPr>
              <w:t>BMS</w:t>
            </w:r>
            <w:r w:rsidRPr="00CD4205">
              <w:rPr>
                <w:w w:val="100"/>
                <w:sz w:val="24"/>
                <w:szCs w:val="24"/>
                <w:lang w:val="en-GB"/>
              </w:rPr>
              <w:t xml:space="preserve"> shall schedule the courier’s pick-up time based upon the apheresis collection time scheduled by Center and communicate the pick-up time to Center via the Portal. Risk of loss of the Apheresis Materials shall transfer to </w:t>
            </w:r>
            <w:r w:rsidRPr="00CD4205">
              <w:rPr>
                <w:w w:val="100"/>
                <w:lang w:val="en-GB"/>
              </w:rPr>
              <w:t>BMS</w:t>
            </w:r>
            <w:r w:rsidRPr="00CD4205">
              <w:rPr>
                <w:w w:val="100"/>
                <w:sz w:val="24"/>
                <w:szCs w:val="24"/>
                <w:lang w:val="en-GB"/>
              </w:rPr>
              <w:t xml:space="preserve"> once </w:t>
            </w:r>
            <w:r w:rsidRPr="00CD4205">
              <w:rPr>
                <w:w w:val="100"/>
                <w:lang w:val="en-GB"/>
              </w:rPr>
              <w:t>BMS'</w:t>
            </w:r>
            <w:r w:rsidRPr="00CD4205">
              <w:rPr>
                <w:w w:val="100"/>
                <w:sz w:val="24"/>
                <w:szCs w:val="24"/>
                <w:lang w:val="en-GB"/>
              </w:rPr>
              <w:t xml:space="preserve"> appointed courier takes possession of the Apheresis Materials. </w:t>
            </w:r>
          </w:p>
        </w:tc>
      </w:tr>
      <w:tr w:rsidR="00C32FF1" w:rsidRPr="0031164B" w14:paraId="541A366B" w14:textId="40BCF3E8" w:rsidTr="00830D19">
        <w:tc>
          <w:tcPr>
            <w:tcW w:w="2548" w:type="pct"/>
          </w:tcPr>
          <w:p w14:paraId="1020C45F" w14:textId="0A13673B" w:rsidR="00C32FF1" w:rsidRPr="006D689E" w:rsidRDefault="00C32FF1" w:rsidP="00C32FF1">
            <w:pPr>
              <w:pStyle w:val="Legal1L2"/>
              <w:tabs>
                <w:tab w:val="num" w:pos="-990"/>
              </w:tabs>
              <w:ind w:left="0"/>
              <w:rPr>
                <w:rFonts w:eastAsia="Times New Roman"/>
                <w:w w:val="100"/>
                <w:sz w:val="24"/>
                <w:szCs w:val="24"/>
              </w:rPr>
            </w:pPr>
            <w:bookmarkStart w:id="59" w:name="_Hlk13010507"/>
            <w:bookmarkEnd w:id="58"/>
            <w:r w:rsidRPr="006D689E">
              <w:rPr>
                <w:w w:val="100"/>
                <w:sz w:val="24"/>
                <w:szCs w:val="24"/>
                <w:u w:val="single"/>
              </w:rPr>
              <w:t>Kritické události ovlivňující logistiku.</w:t>
            </w:r>
            <w:r w:rsidRPr="006D689E">
              <w:rPr>
                <w:w w:val="100"/>
                <w:sz w:val="24"/>
                <w:szCs w:val="24"/>
              </w:rPr>
              <w:t xml:space="preserve">  </w:t>
            </w:r>
            <w:r w:rsidR="0074385C">
              <w:rPr>
                <w:w w:val="100"/>
                <w:sz w:val="24"/>
                <w:szCs w:val="24"/>
              </w:rPr>
              <w:t>Centrum</w:t>
            </w:r>
            <w:r w:rsidRPr="006D689E">
              <w:rPr>
                <w:w w:val="100"/>
                <w:sz w:val="24"/>
                <w:szCs w:val="24"/>
              </w:rPr>
              <w:t xml:space="preserve"> musí oznámit </w:t>
            </w:r>
            <w:r w:rsidRPr="006D689E">
              <w:rPr>
                <w:w w:val="100"/>
              </w:rPr>
              <w:t>BMS</w:t>
            </w:r>
            <w:r w:rsidRPr="006D689E">
              <w:rPr>
                <w:w w:val="100"/>
                <w:sz w:val="24"/>
                <w:szCs w:val="24"/>
              </w:rPr>
              <w:t xml:space="preserve"> buď prostřednictvím: (i) portálu; (ii) jakýchkoli jiných systémů společnosti </w:t>
            </w:r>
            <w:r w:rsidRPr="006D689E">
              <w:rPr>
                <w:w w:val="100"/>
              </w:rPr>
              <w:t>BMS</w:t>
            </w:r>
            <w:r w:rsidRPr="006D689E">
              <w:rPr>
                <w:w w:val="100"/>
                <w:sz w:val="24"/>
                <w:szCs w:val="24"/>
              </w:rPr>
              <w:t>, jak</w:t>
            </w:r>
            <w:r w:rsidR="00792EC4">
              <w:rPr>
                <w:w w:val="100"/>
                <w:sz w:val="24"/>
                <w:szCs w:val="24"/>
              </w:rPr>
              <w:t>é</w:t>
            </w:r>
            <w:r w:rsidRPr="006D689E">
              <w:rPr>
                <w:w w:val="100"/>
                <w:sz w:val="24"/>
                <w:szCs w:val="24"/>
              </w:rPr>
              <w:t xml:space="preserve"> uvede společnost </w:t>
            </w:r>
            <w:r w:rsidRPr="006D689E">
              <w:rPr>
                <w:w w:val="100"/>
              </w:rPr>
              <w:t>BMS</w:t>
            </w:r>
            <w:r w:rsidRPr="006D689E">
              <w:rPr>
                <w:w w:val="100"/>
                <w:sz w:val="24"/>
                <w:szCs w:val="24"/>
              </w:rPr>
              <w:t>; nebo (iii) prostřednictvím vyhrazené provozní linky CAR T (dále jen „</w:t>
            </w:r>
            <w:r w:rsidRPr="006D689E">
              <w:rPr>
                <w:b/>
                <w:w w:val="100"/>
                <w:sz w:val="24"/>
                <w:szCs w:val="24"/>
              </w:rPr>
              <w:t>provozní linka CAR T</w:t>
            </w:r>
            <w:r w:rsidRPr="006D689E">
              <w:rPr>
                <w:w w:val="100"/>
                <w:sz w:val="24"/>
                <w:szCs w:val="24"/>
              </w:rPr>
              <w:t xml:space="preserve">“), pokud při provádění plánované aferézy dojde ke kritické události ovlivňující logistiku, která by ovlivnila schopnost </w:t>
            </w:r>
            <w:r w:rsidR="00C4373B">
              <w:rPr>
                <w:w w:val="100"/>
                <w:sz w:val="24"/>
                <w:szCs w:val="24"/>
              </w:rPr>
              <w:t>Centra</w:t>
            </w:r>
            <w:r w:rsidRPr="006D689E">
              <w:rPr>
                <w:w w:val="100"/>
                <w:sz w:val="24"/>
                <w:szCs w:val="24"/>
              </w:rPr>
              <w:t xml:space="preserve"> odebrat aferézní materiál v plánovaném termínu odběru aferézy nebo předat aferézní materiál kurýrovi v plánovaném termínu vyzvednutí kurýrem (příklady zahrnují mimo jiné: pacient zruší schůzku nebo se na ni nedostaví; odběr aferézy začne, ale je předčasně ukončen z důvodu nežádoucích příhod pacienta; nebo </w:t>
            </w:r>
            <w:r w:rsidR="0014004A">
              <w:rPr>
                <w:w w:val="100"/>
                <w:sz w:val="24"/>
                <w:szCs w:val="24"/>
              </w:rPr>
              <w:t>Centrum</w:t>
            </w:r>
            <w:r w:rsidRPr="006D689E">
              <w:rPr>
                <w:w w:val="100"/>
                <w:sz w:val="24"/>
                <w:szCs w:val="24"/>
              </w:rPr>
              <w:t xml:space="preserve"> není schopno z jakéhokoli důvodu dodržet plánovaný čas vyzvednutí kurýrem).  Kritické události s dopadem na logistiku, které vyžadují oznámení společnosti </w:t>
            </w:r>
            <w:r w:rsidRPr="006D689E">
              <w:rPr>
                <w:w w:val="100"/>
              </w:rPr>
              <w:t>BMS</w:t>
            </w:r>
            <w:r w:rsidRPr="006D689E">
              <w:rPr>
                <w:w w:val="100"/>
                <w:sz w:val="24"/>
                <w:szCs w:val="24"/>
              </w:rPr>
              <w:t xml:space="preserve">, jsou uvedeny v postupu komerčního odběru. Strany budou v dobré víře spolupracovat na změně harmonogramu plánovaných služeb aferézy nebo logistiky kurýrů v souvislosti s objednávkou produktu v případě jakýchkoli kritických událostí, které ovlivní logistiku. </w:t>
            </w:r>
          </w:p>
        </w:tc>
        <w:tc>
          <w:tcPr>
            <w:tcW w:w="2452" w:type="pct"/>
          </w:tcPr>
          <w:p w14:paraId="2BE5E4BF" w14:textId="63776FC5" w:rsidR="00C32FF1" w:rsidRPr="00CD4205" w:rsidRDefault="00C32FF1" w:rsidP="00CD4205">
            <w:pPr>
              <w:pStyle w:val="Legal1L2"/>
              <w:numPr>
                <w:ilvl w:val="1"/>
                <w:numId w:val="49"/>
              </w:numPr>
              <w:tabs>
                <w:tab w:val="num" w:pos="-990"/>
              </w:tabs>
              <w:ind w:left="0" w:firstLine="180"/>
              <w:rPr>
                <w:rFonts w:eastAsia="Times New Roman"/>
                <w:w w:val="100"/>
                <w:sz w:val="24"/>
                <w:szCs w:val="24"/>
                <w:u w:val="single"/>
                <w:lang w:val="en-GB"/>
              </w:rPr>
            </w:pPr>
            <w:r w:rsidRPr="00CD4205">
              <w:rPr>
                <w:w w:val="100"/>
                <w:sz w:val="24"/>
                <w:szCs w:val="24"/>
                <w:u w:val="single"/>
                <w:lang w:val="en-GB"/>
              </w:rPr>
              <w:t>Critical Events Impacting Logistics.</w:t>
            </w:r>
            <w:r w:rsidRPr="00CD4205">
              <w:rPr>
                <w:w w:val="100"/>
                <w:sz w:val="24"/>
                <w:szCs w:val="24"/>
                <w:lang w:val="en-GB"/>
              </w:rPr>
              <w:t xml:space="preserve">  Center must notify </w:t>
            </w:r>
            <w:r w:rsidRPr="00CD4205">
              <w:rPr>
                <w:w w:val="100"/>
                <w:lang w:val="en-GB"/>
              </w:rPr>
              <w:t>BMS</w:t>
            </w:r>
            <w:r w:rsidRPr="00CD4205">
              <w:rPr>
                <w:w w:val="100"/>
                <w:sz w:val="24"/>
                <w:szCs w:val="24"/>
                <w:lang w:val="en-GB"/>
              </w:rPr>
              <w:t xml:space="preserve"> via either: (i) the Portal; (ii) any other </w:t>
            </w:r>
            <w:r w:rsidRPr="00CD4205">
              <w:rPr>
                <w:w w:val="100"/>
                <w:lang w:val="en-GB"/>
              </w:rPr>
              <w:t>BMS</w:t>
            </w:r>
            <w:r w:rsidRPr="00CD4205">
              <w:rPr>
                <w:w w:val="100"/>
                <w:sz w:val="24"/>
                <w:szCs w:val="24"/>
                <w:lang w:val="en-GB"/>
              </w:rPr>
              <w:t xml:space="preserve"> systems as indicated by </w:t>
            </w:r>
            <w:r w:rsidRPr="00CD4205">
              <w:rPr>
                <w:w w:val="100"/>
                <w:lang w:val="en-GB"/>
              </w:rPr>
              <w:t>BMS</w:t>
            </w:r>
            <w:r w:rsidRPr="00CD4205">
              <w:rPr>
                <w:w w:val="100"/>
                <w:sz w:val="24"/>
                <w:szCs w:val="24"/>
                <w:lang w:val="en-GB"/>
              </w:rPr>
              <w:t>; or (iii) via the dedicated CAR T operations line (the “</w:t>
            </w:r>
            <w:r w:rsidRPr="00CD4205">
              <w:rPr>
                <w:b/>
                <w:w w:val="100"/>
                <w:sz w:val="24"/>
                <w:szCs w:val="24"/>
                <w:lang w:val="en-GB"/>
              </w:rPr>
              <w:t>CAR T Operations Line</w:t>
            </w:r>
            <w:r w:rsidRPr="00CD4205">
              <w:rPr>
                <w:w w:val="100"/>
                <w:sz w:val="24"/>
                <w:szCs w:val="24"/>
                <w:lang w:val="en-GB"/>
              </w:rPr>
              <w:t xml:space="preserve">”), if a critical event impacting logistics occurs in the performance of a scheduled apheresis that would impact Center’s ability to collect Apheresis Materials on a planned apheresis collection date or transfer Apheresis Materials to the courier at the scheduled courier pick-up time (examples include but are not limited to: patient cancels or is a no-show for an apheresis appointment, apheresis collection begins but is terminated early due to patient adverse events, or Center is unable to meet a planned courier pick-up time for any reason).  Critical events impacting logistics requiring notice to </w:t>
            </w:r>
            <w:r w:rsidRPr="00CD4205">
              <w:rPr>
                <w:w w:val="100"/>
                <w:lang w:val="en-GB"/>
              </w:rPr>
              <w:t>BMS</w:t>
            </w:r>
            <w:r w:rsidRPr="00CD4205">
              <w:rPr>
                <w:w w:val="100"/>
                <w:sz w:val="24"/>
                <w:szCs w:val="24"/>
                <w:lang w:val="en-GB"/>
              </w:rPr>
              <w:t xml:space="preserve"> shall be set forth in the Commercial Collection Procedure. The Parties shall cooperate in good faith to reschedule any planned Apheresis Services or courier logistics in connection with a Product Order in the event of any critical events impacting logistics. </w:t>
            </w:r>
          </w:p>
        </w:tc>
      </w:tr>
      <w:bookmarkEnd w:id="59"/>
      <w:tr w:rsidR="00C32FF1" w:rsidRPr="0031164B" w14:paraId="6D59589E" w14:textId="6D3E43C2" w:rsidTr="00830D19">
        <w:tc>
          <w:tcPr>
            <w:tcW w:w="2548" w:type="pct"/>
          </w:tcPr>
          <w:p w14:paraId="0CA692C5" w14:textId="05124910" w:rsidR="00C32FF1" w:rsidRPr="006D689E" w:rsidRDefault="00C32FF1" w:rsidP="00C32FF1">
            <w:pPr>
              <w:pStyle w:val="Legal1L2"/>
              <w:tabs>
                <w:tab w:val="num" w:pos="-990"/>
              </w:tabs>
              <w:ind w:left="0"/>
              <w:rPr>
                <w:rFonts w:eastAsia="Times New Roman"/>
                <w:w w:val="100"/>
                <w:sz w:val="24"/>
                <w:szCs w:val="24"/>
              </w:rPr>
            </w:pPr>
            <w:r w:rsidRPr="006D689E">
              <w:rPr>
                <w:w w:val="100"/>
                <w:sz w:val="24"/>
                <w:szCs w:val="24"/>
                <w:u w:val="single"/>
              </w:rPr>
              <w:t xml:space="preserve">Omezení použití. </w:t>
            </w:r>
            <w:r w:rsidRPr="006D689E">
              <w:rPr>
                <w:w w:val="100"/>
                <w:sz w:val="24"/>
                <w:szCs w:val="24"/>
              </w:rPr>
              <w:t xml:space="preserve"> </w:t>
            </w:r>
            <w:bookmarkStart w:id="60" w:name="_Hlk13010607"/>
            <w:r w:rsidR="00AB2C6C">
              <w:rPr>
                <w:w w:val="100"/>
                <w:sz w:val="24"/>
                <w:szCs w:val="24"/>
              </w:rPr>
              <w:t>Centrum</w:t>
            </w:r>
            <w:r w:rsidRPr="006D689E">
              <w:rPr>
                <w:w w:val="100"/>
                <w:sz w:val="24"/>
                <w:szCs w:val="24"/>
              </w:rPr>
              <w:t xml:space="preserve"> bude shromažďovat nebo používat aferézní materiály pouze tak, jak je to nutné k provádění aferézních služeb podle této smlouvy.  </w:t>
            </w:r>
            <w:r w:rsidR="00C22660">
              <w:rPr>
                <w:w w:val="100"/>
                <w:sz w:val="24"/>
                <w:szCs w:val="24"/>
              </w:rPr>
              <w:t>Centrum</w:t>
            </w:r>
            <w:r w:rsidRPr="006D689E">
              <w:rPr>
                <w:w w:val="100"/>
                <w:sz w:val="24"/>
                <w:szCs w:val="24"/>
              </w:rPr>
              <w:t xml:space="preserve"> nepředá aferézní materiály žádné třetí straně (kromě kurýra určeného společností </w:t>
            </w:r>
            <w:r w:rsidRPr="006D689E">
              <w:rPr>
                <w:w w:val="100"/>
              </w:rPr>
              <w:t>BMS</w:t>
            </w:r>
            <w:r w:rsidRPr="006D689E">
              <w:rPr>
                <w:w w:val="100"/>
                <w:sz w:val="24"/>
                <w:szCs w:val="24"/>
              </w:rPr>
              <w:t xml:space="preserve">) bez </w:t>
            </w:r>
            <w:r w:rsidRPr="006D689E">
              <w:rPr>
                <w:w w:val="100"/>
                <w:sz w:val="24"/>
                <w:szCs w:val="24"/>
              </w:rPr>
              <w:lastRenderedPageBreak/>
              <w:t xml:space="preserve">předchozího písemného souhlasu společnosti </w:t>
            </w:r>
            <w:r w:rsidRPr="006D689E">
              <w:rPr>
                <w:w w:val="100"/>
              </w:rPr>
              <w:t>BMS</w:t>
            </w:r>
            <w:r w:rsidRPr="006D689E">
              <w:rPr>
                <w:w w:val="100"/>
                <w:sz w:val="24"/>
                <w:szCs w:val="24"/>
              </w:rPr>
              <w:t xml:space="preserve">. </w:t>
            </w:r>
            <w:bookmarkStart w:id="61" w:name="_Hlk13409837"/>
            <w:r w:rsidRPr="006D689E">
              <w:rPr>
                <w:w w:val="100"/>
                <w:sz w:val="24"/>
                <w:szCs w:val="24"/>
              </w:rPr>
              <w:t xml:space="preserve"> Pro upřesnění, „třetí strana“, jak je popsána v tomto oddíle, nezahrnuje schváleného subdodavatele provádějícího aferézní služby.</w:t>
            </w:r>
            <w:bookmarkEnd w:id="60"/>
            <w:bookmarkEnd w:id="61"/>
          </w:p>
        </w:tc>
        <w:tc>
          <w:tcPr>
            <w:tcW w:w="2452" w:type="pct"/>
          </w:tcPr>
          <w:p w14:paraId="08BA5C32" w14:textId="7807CC41" w:rsidR="00C32FF1" w:rsidRPr="00CD4205" w:rsidRDefault="00C32FF1" w:rsidP="00CD4205">
            <w:pPr>
              <w:pStyle w:val="Legal1L2"/>
              <w:numPr>
                <w:ilvl w:val="1"/>
                <w:numId w:val="50"/>
              </w:numPr>
              <w:tabs>
                <w:tab w:val="num" w:pos="-990"/>
              </w:tabs>
              <w:ind w:left="0" w:firstLine="180"/>
              <w:rPr>
                <w:rFonts w:eastAsia="Times New Roman"/>
                <w:w w:val="100"/>
                <w:sz w:val="24"/>
                <w:szCs w:val="24"/>
                <w:u w:val="single"/>
                <w:lang w:val="en-GB"/>
              </w:rPr>
            </w:pPr>
            <w:r w:rsidRPr="00CD4205">
              <w:rPr>
                <w:w w:val="100"/>
                <w:sz w:val="24"/>
                <w:szCs w:val="24"/>
                <w:u w:val="single"/>
                <w:lang w:val="en-GB"/>
              </w:rPr>
              <w:lastRenderedPageBreak/>
              <w:t xml:space="preserve">Limits on Use. </w:t>
            </w:r>
            <w:r w:rsidRPr="00CD4205">
              <w:rPr>
                <w:w w:val="100"/>
                <w:sz w:val="24"/>
                <w:szCs w:val="24"/>
                <w:lang w:val="en-GB"/>
              </w:rPr>
              <w:t xml:space="preserve"> Center shall collect or use Apheresis Materials only as required to perform the Apheresis Services pursuant to this Agreement.  Center shall not transfer Apheresis Materials to any Third Party (other than to </w:t>
            </w:r>
            <w:r w:rsidRPr="00CD4205">
              <w:rPr>
                <w:w w:val="100"/>
                <w:lang w:val="en-GB"/>
              </w:rPr>
              <w:t>BMS’</w:t>
            </w:r>
            <w:r w:rsidRPr="00CD4205">
              <w:rPr>
                <w:w w:val="100"/>
                <w:sz w:val="24"/>
                <w:szCs w:val="24"/>
                <w:lang w:val="en-GB"/>
              </w:rPr>
              <w:t xml:space="preserve"> appointed courier) without </w:t>
            </w:r>
            <w:r w:rsidRPr="00CD4205">
              <w:rPr>
                <w:w w:val="100"/>
                <w:lang w:val="en-GB"/>
              </w:rPr>
              <w:t>BMS'</w:t>
            </w:r>
            <w:r w:rsidRPr="00CD4205">
              <w:rPr>
                <w:w w:val="100"/>
                <w:sz w:val="24"/>
                <w:szCs w:val="24"/>
                <w:lang w:val="en-GB"/>
              </w:rPr>
              <w:t xml:space="preserve"> </w:t>
            </w:r>
            <w:r w:rsidRPr="00CD4205">
              <w:rPr>
                <w:w w:val="100"/>
                <w:sz w:val="24"/>
                <w:szCs w:val="24"/>
                <w:lang w:val="en-GB"/>
              </w:rPr>
              <w:lastRenderedPageBreak/>
              <w:t>prior written approval.  For clarity, a “Third Party” as described in this section, shall not include an Approved Subcontractor performing the Apheresis Services.</w:t>
            </w:r>
          </w:p>
        </w:tc>
      </w:tr>
      <w:tr w:rsidR="00C32FF1" w:rsidRPr="0031164B" w14:paraId="62D5702B" w14:textId="0589680C" w:rsidTr="00830D19">
        <w:tc>
          <w:tcPr>
            <w:tcW w:w="2548" w:type="pct"/>
          </w:tcPr>
          <w:p w14:paraId="17A9A96D" w14:textId="79950612" w:rsidR="00C32FF1" w:rsidRPr="006D689E" w:rsidRDefault="00C32FF1" w:rsidP="00C32FF1">
            <w:pPr>
              <w:pStyle w:val="Legal1L2"/>
              <w:tabs>
                <w:tab w:val="num" w:pos="-990"/>
              </w:tabs>
              <w:ind w:left="0"/>
              <w:rPr>
                <w:rFonts w:eastAsia="Times New Roman"/>
                <w:w w:val="100"/>
                <w:sz w:val="24"/>
                <w:szCs w:val="24"/>
              </w:rPr>
            </w:pPr>
            <w:r w:rsidRPr="006D689E">
              <w:rPr>
                <w:w w:val="100"/>
                <w:sz w:val="24"/>
                <w:szCs w:val="24"/>
                <w:u w:val="single"/>
              </w:rPr>
              <w:lastRenderedPageBreak/>
              <w:t>Odměna za služby aferézy</w:t>
            </w:r>
            <w:r w:rsidRPr="006D689E">
              <w:rPr>
                <w:w w:val="100"/>
                <w:sz w:val="24"/>
                <w:szCs w:val="24"/>
              </w:rPr>
              <w:t xml:space="preserve">.  </w:t>
            </w:r>
            <w:r w:rsidR="004E6FD0">
              <w:rPr>
                <w:w w:val="100"/>
                <w:sz w:val="24"/>
                <w:szCs w:val="24"/>
              </w:rPr>
              <w:t>Centrum</w:t>
            </w:r>
            <w:r w:rsidRPr="006D689E">
              <w:rPr>
                <w:w w:val="100"/>
                <w:sz w:val="24"/>
                <w:szCs w:val="24"/>
              </w:rPr>
              <w:t xml:space="preserve"> nebude fakturovat společnosti </w:t>
            </w:r>
            <w:r w:rsidRPr="006D689E">
              <w:rPr>
                <w:w w:val="100"/>
              </w:rPr>
              <w:t>BMS</w:t>
            </w:r>
            <w:r w:rsidRPr="006D689E">
              <w:rPr>
                <w:w w:val="100"/>
                <w:sz w:val="24"/>
                <w:szCs w:val="24"/>
              </w:rPr>
              <w:t xml:space="preserve"> ani od </w:t>
            </w:r>
            <w:r w:rsidRPr="006D689E">
              <w:rPr>
                <w:w w:val="100"/>
              </w:rPr>
              <w:t>ní</w:t>
            </w:r>
            <w:r w:rsidRPr="006D689E">
              <w:rPr>
                <w:w w:val="100"/>
                <w:sz w:val="24"/>
                <w:szCs w:val="24"/>
              </w:rPr>
              <w:t xml:space="preserve"> neobdrží platbu za poskytování aferézních služeb podle této smlouvy. Strany se proto tímto dohodly, že společnost BMS nebude odpovědná za provádění plateb </w:t>
            </w:r>
            <w:r w:rsidR="004E6FD0">
              <w:rPr>
                <w:w w:val="100"/>
                <w:sz w:val="24"/>
                <w:szCs w:val="24"/>
              </w:rPr>
              <w:t>Centru</w:t>
            </w:r>
            <w:r w:rsidRPr="006D689E">
              <w:rPr>
                <w:w w:val="100"/>
                <w:sz w:val="24"/>
                <w:szCs w:val="24"/>
              </w:rPr>
              <w:t xml:space="preserve"> za poskytování služeb aferézy, a </w:t>
            </w:r>
            <w:r w:rsidR="00D13412">
              <w:rPr>
                <w:w w:val="100"/>
                <w:sz w:val="24"/>
                <w:szCs w:val="24"/>
              </w:rPr>
              <w:t>Centrum</w:t>
            </w:r>
            <w:r w:rsidRPr="006D689E">
              <w:rPr>
                <w:w w:val="100"/>
                <w:sz w:val="24"/>
                <w:szCs w:val="24"/>
              </w:rPr>
              <w:t xml:space="preserve"> prohlašuje, že se bude řídit platnými pokyny pro plátce týkajícími se jakéhokoli vyúčtování služeb aferézy jakémukoli plátci nebo jiné straně</w:t>
            </w:r>
            <w:bookmarkStart w:id="62" w:name="_Toc6234309"/>
            <w:bookmarkStart w:id="63" w:name="_Toc6233987"/>
            <w:bookmarkStart w:id="64" w:name="_Toc256000012"/>
            <w:bookmarkStart w:id="65" w:name="_Hlk10125106"/>
            <w:r w:rsidRPr="006D689E">
              <w:rPr>
                <w:w w:val="100"/>
                <w:sz w:val="24"/>
                <w:szCs w:val="24"/>
              </w:rPr>
              <w:t>.</w:t>
            </w:r>
          </w:p>
        </w:tc>
        <w:tc>
          <w:tcPr>
            <w:tcW w:w="2452" w:type="pct"/>
          </w:tcPr>
          <w:p w14:paraId="0369418C" w14:textId="5E33C4D6" w:rsidR="00C32FF1" w:rsidRPr="00573CE5" w:rsidRDefault="00C32FF1" w:rsidP="00573CE5">
            <w:pPr>
              <w:pStyle w:val="Legal1L2"/>
              <w:numPr>
                <w:ilvl w:val="1"/>
                <w:numId w:val="51"/>
              </w:numPr>
              <w:tabs>
                <w:tab w:val="num" w:pos="-990"/>
              </w:tabs>
              <w:ind w:left="0" w:firstLine="180"/>
              <w:rPr>
                <w:rFonts w:eastAsia="Times New Roman"/>
                <w:w w:val="100"/>
                <w:sz w:val="24"/>
                <w:szCs w:val="24"/>
                <w:u w:val="single"/>
                <w:lang w:val="en-GB"/>
              </w:rPr>
            </w:pPr>
            <w:r w:rsidRPr="00573CE5">
              <w:rPr>
                <w:w w:val="100"/>
                <w:sz w:val="24"/>
                <w:szCs w:val="24"/>
                <w:u w:val="single"/>
                <w:lang w:val="en-GB"/>
              </w:rPr>
              <w:t>Compensation for Apheresis Services</w:t>
            </w:r>
            <w:r w:rsidRPr="00573CE5">
              <w:rPr>
                <w:w w:val="100"/>
                <w:sz w:val="24"/>
                <w:szCs w:val="24"/>
                <w:lang w:val="en-GB"/>
              </w:rPr>
              <w:t xml:space="preserve">.  Center will not invoice </w:t>
            </w:r>
            <w:r w:rsidRPr="00573CE5">
              <w:rPr>
                <w:w w:val="100"/>
                <w:lang w:val="en-GB"/>
              </w:rPr>
              <w:t>BMS</w:t>
            </w:r>
            <w:r w:rsidRPr="00573CE5">
              <w:rPr>
                <w:w w:val="100"/>
                <w:sz w:val="24"/>
                <w:szCs w:val="24"/>
                <w:lang w:val="en-GB"/>
              </w:rPr>
              <w:t xml:space="preserve"> or receive payment from </w:t>
            </w:r>
            <w:r w:rsidRPr="00573CE5">
              <w:rPr>
                <w:w w:val="100"/>
                <w:lang w:val="en-GB"/>
              </w:rPr>
              <w:t>BMS</w:t>
            </w:r>
            <w:r w:rsidRPr="00573CE5">
              <w:rPr>
                <w:w w:val="100"/>
                <w:sz w:val="24"/>
                <w:szCs w:val="24"/>
                <w:lang w:val="en-GB"/>
              </w:rPr>
              <w:t xml:space="preserve"> for its performance of Apheresis Services hereunder. As such, the Parties hereby agree that BMS will not be responsible for making payments to Center for its performance of Apheresis Services, and Center represents that it will follow applicable payor guidance concerning any billing for the Apheresis Services to any payor or other party.</w:t>
            </w:r>
          </w:p>
        </w:tc>
      </w:tr>
      <w:tr w:rsidR="00C32FF1" w:rsidRPr="0031164B" w14:paraId="108C95BC" w14:textId="55163315" w:rsidTr="00830D19">
        <w:tc>
          <w:tcPr>
            <w:tcW w:w="2548" w:type="pct"/>
          </w:tcPr>
          <w:p w14:paraId="6A41BF07" w14:textId="77777777" w:rsidR="00C32FF1" w:rsidRDefault="00C32FF1" w:rsidP="00C32FF1">
            <w:pPr>
              <w:pStyle w:val="Legal1L2"/>
              <w:tabs>
                <w:tab w:val="num" w:pos="-990"/>
              </w:tabs>
              <w:ind w:left="0"/>
              <w:rPr>
                <w:w w:val="100"/>
                <w:sz w:val="24"/>
                <w:szCs w:val="24"/>
              </w:rPr>
            </w:pPr>
            <w:r w:rsidRPr="006D689E">
              <w:rPr>
                <w:w w:val="100"/>
                <w:sz w:val="24"/>
                <w:szCs w:val="24"/>
                <w:u w:val="single"/>
              </w:rPr>
              <w:t>Předčasně ukončené služby aferézy nebo nedostatečný odběr.</w:t>
            </w:r>
            <w:r w:rsidRPr="006D689E">
              <w:rPr>
                <w:w w:val="100"/>
                <w:sz w:val="24"/>
                <w:szCs w:val="24"/>
              </w:rPr>
              <w:t xml:space="preserve">  </w:t>
            </w:r>
            <w:bookmarkStart w:id="66" w:name="_Hlk13410415"/>
            <w:r w:rsidRPr="006D689E">
              <w:rPr>
                <w:w w:val="100"/>
                <w:sz w:val="24"/>
                <w:szCs w:val="24"/>
              </w:rPr>
              <w:t xml:space="preserve">Pokud jsou aferézní služby pro konkrétního pacienta ukončeny před jejich dokončením nebo pokud je odebráno nedostatečné množství aferézního materiálu bez zavinění </w:t>
            </w:r>
            <w:r w:rsidR="00277DBF">
              <w:rPr>
                <w:w w:val="100"/>
                <w:sz w:val="24"/>
                <w:szCs w:val="24"/>
              </w:rPr>
              <w:t>Centra</w:t>
            </w:r>
            <w:r w:rsidRPr="006D689E">
              <w:rPr>
                <w:w w:val="100"/>
                <w:sz w:val="24"/>
                <w:szCs w:val="24"/>
              </w:rPr>
              <w:t xml:space="preserve">, mimo jiné z důvodu nežádoucích příhod pacienta nebo ztráty žilního přístupu, </w:t>
            </w:r>
            <w:r w:rsidR="001E0557">
              <w:rPr>
                <w:w w:val="100"/>
                <w:sz w:val="24"/>
                <w:szCs w:val="24"/>
              </w:rPr>
              <w:t>Centrum</w:t>
            </w:r>
            <w:r w:rsidRPr="006D689E">
              <w:rPr>
                <w:w w:val="100"/>
                <w:sz w:val="24"/>
                <w:szCs w:val="24"/>
              </w:rPr>
              <w:t xml:space="preserve"> to co nejdříve oznámí společnosti </w:t>
            </w:r>
            <w:r w:rsidRPr="006D689E">
              <w:rPr>
                <w:w w:val="100"/>
              </w:rPr>
              <w:t>BMS</w:t>
            </w:r>
            <w:r w:rsidRPr="006D689E">
              <w:rPr>
                <w:w w:val="100"/>
                <w:sz w:val="24"/>
                <w:szCs w:val="24"/>
              </w:rPr>
              <w:t xml:space="preserve"> na provozní linku CAR T. </w:t>
            </w:r>
            <w:bookmarkEnd w:id="66"/>
          </w:p>
          <w:p w14:paraId="313D1CF4" w14:textId="3A87A176" w:rsidR="005F4D6A" w:rsidRPr="005F4D6A" w:rsidRDefault="005F4D6A" w:rsidP="005F4D6A">
            <w:pPr>
              <w:pStyle w:val="Zkladntext"/>
            </w:pPr>
          </w:p>
        </w:tc>
        <w:tc>
          <w:tcPr>
            <w:tcW w:w="2452" w:type="pct"/>
          </w:tcPr>
          <w:p w14:paraId="4FB281D2" w14:textId="03131CE3" w:rsidR="00C32FF1" w:rsidRPr="00573CE5" w:rsidRDefault="00C32FF1" w:rsidP="00573CE5">
            <w:pPr>
              <w:pStyle w:val="Legal1L2"/>
              <w:numPr>
                <w:ilvl w:val="1"/>
                <w:numId w:val="52"/>
              </w:numPr>
              <w:tabs>
                <w:tab w:val="num" w:pos="-990"/>
              </w:tabs>
              <w:ind w:left="0" w:firstLine="180"/>
              <w:rPr>
                <w:rFonts w:eastAsia="Times New Roman"/>
                <w:w w:val="100"/>
                <w:sz w:val="24"/>
                <w:szCs w:val="24"/>
                <w:u w:val="single"/>
                <w:lang w:val="en-GB"/>
              </w:rPr>
            </w:pPr>
            <w:r w:rsidRPr="00573CE5">
              <w:rPr>
                <w:w w:val="100"/>
                <w:sz w:val="24"/>
                <w:szCs w:val="24"/>
                <w:u w:val="single"/>
                <w:lang w:val="en-GB"/>
              </w:rPr>
              <w:t>Apheresis Services Terminated Early or Insufficient Collection</w:t>
            </w:r>
            <w:r w:rsidRPr="00573CE5">
              <w:rPr>
                <w:w w:val="100"/>
                <w:sz w:val="24"/>
                <w:szCs w:val="24"/>
                <w:lang w:val="en-GB"/>
              </w:rPr>
              <w:t xml:space="preserve">.  If the Apheresis Services for a particular patient are terminated before completion, or if an insufficient quantity of Apheresis Materials is collected due to no fault of Center, including but not limited to, due to reasons of patient adverse events or loss of venous access, Center shall notify </w:t>
            </w:r>
            <w:r w:rsidRPr="00573CE5">
              <w:rPr>
                <w:w w:val="100"/>
                <w:lang w:val="en-GB"/>
              </w:rPr>
              <w:t>BMS</w:t>
            </w:r>
            <w:r w:rsidRPr="00573CE5">
              <w:rPr>
                <w:w w:val="100"/>
                <w:sz w:val="24"/>
                <w:szCs w:val="24"/>
                <w:lang w:val="en-GB"/>
              </w:rPr>
              <w:t xml:space="preserve"> as promptly as possible by calling the CAR T Operations Line. </w:t>
            </w:r>
          </w:p>
        </w:tc>
      </w:tr>
      <w:tr w:rsidR="00C32FF1" w:rsidRPr="0031164B" w14:paraId="7D545F8A" w14:textId="2CC113DF" w:rsidTr="00830D19">
        <w:tc>
          <w:tcPr>
            <w:tcW w:w="2548" w:type="pct"/>
          </w:tcPr>
          <w:p w14:paraId="7C58FFA5" w14:textId="77777777" w:rsidR="00C32FF1" w:rsidRPr="006D689E" w:rsidRDefault="00C32FF1" w:rsidP="00C32FF1">
            <w:pPr>
              <w:pStyle w:val="Legal1L1"/>
              <w:widowControl/>
              <w:numPr>
                <w:ilvl w:val="0"/>
                <w:numId w:val="1"/>
              </w:numPr>
              <w:tabs>
                <w:tab w:val="left" w:pos="1440"/>
              </w:tabs>
              <w:adjustRightInd/>
              <w:ind w:left="0" w:firstLine="0"/>
              <w:outlineLvl w:val="9"/>
              <w:rPr>
                <w:u w:val="none"/>
              </w:rPr>
            </w:pPr>
            <w:r w:rsidRPr="006D689E">
              <w:rPr>
                <w:b/>
                <w:u w:val="none"/>
              </w:rPr>
              <w:t>DODÁNÍ, PŘEVZETÍ, SKLADOVÁNÍ A OMEZENÍ POUŽITÍ PRODUKTU.</w:t>
            </w:r>
            <w:r w:rsidRPr="006D689E">
              <w:rPr>
                <w:u w:val="none"/>
              </w:rPr>
              <w:t xml:space="preserve">  </w:t>
            </w:r>
          </w:p>
        </w:tc>
        <w:tc>
          <w:tcPr>
            <w:tcW w:w="2452" w:type="pct"/>
          </w:tcPr>
          <w:p w14:paraId="06242F60" w14:textId="0F47ED76" w:rsidR="00C32FF1" w:rsidRPr="0031164B" w:rsidRDefault="00C32FF1" w:rsidP="00573CE5">
            <w:pPr>
              <w:pStyle w:val="Legal1L1"/>
              <w:widowControl/>
              <w:numPr>
                <w:ilvl w:val="0"/>
                <w:numId w:val="53"/>
              </w:numPr>
              <w:adjustRightInd/>
              <w:ind w:left="0" w:firstLine="0"/>
              <w:outlineLvl w:val="9"/>
              <w:rPr>
                <w:b/>
                <w:u w:val="none"/>
                <w:lang w:val="en-GB"/>
              </w:rPr>
            </w:pPr>
            <w:r w:rsidRPr="0031164B">
              <w:rPr>
                <w:b/>
                <w:u w:val="none"/>
                <w:lang w:val="en-GB"/>
              </w:rPr>
              <w:t>PRODUCT DELIVERY, RECEIPT, STORAGE AND LIMITS ON USE</w:t>
            </w:r>
            <w:r w:rsidRPr="0031164B">
              <w:rPr>
                <w:u w:val="none"/>
                <w:lang w:val="en-GB"/>
              </w:rPr>
              <w:t xml:space="preserve">.  </w:t>
            </w:r>
          </w:p>
        </w:tc>
      </w:tr>
      <w:tr w:rsidR="00C32FF1" w:rsidRPr="0031164B" w14:paraId="06411C60" w14:textId="152E5DE7" w:rsidTr="00830D19">
        <w:tc>
          <w:tcPr>
            <w:tcW w:w="2548" w:type="pct"/>
          </w:tcPr>
          <w:p w14:paraId="28E2220D" w14:textId="03B71E97" w:rsidR="00C32FF1" w:rsidRPr="006D689E" w:rsidRDefault="00C32FF1" w:rsidP="00C32FF1">
            <w:pPr>
              <w:pStyle w:val="Legal1L2"/>
              <w:tabs>
                <w:tab w:val="clear" w:pos="180"/>
                <w:tab w:val="num" w:pos="983"/>
                <w:tab w:val="num" w:pos="1277"/>
              </w:tabs>
              <w:ind w:left="0"/>
              <w:rPr>
                <w:w w:val="100"/>
                <w:sz w:val="24"/>
                <w:szCs w:val="24"/>
              </w:rPr>
            </w:pPr>
            <w:r w:rsidRPr="006D689E">
              <w:rPr>
                <w:w w:val="100"/>
                <w:sz w:val="24"/>
                <w:szCs w:val="24"/>
                <w:u w:val="single"/>
              </w:rPr>
              <w:t>Odeslání produktu.</w:t>
            </w:r>
            <w:r w:rsidRPr="006D689E">
              <w:rPr>
                <w:w w:val="100"/>
                <w:sz w:val="24"/>
                <w:szCs w:val="24"/>
              </w:rPr>
              <w:t xml:space="preserve"> </w:t>
            </w:r>
            <w:r w:rsidR="001E0557">
              <w:rPr>
                <w:w w:val="100"/>
                <w:sz w:val="24"/>
                <w:szCs w:val="24"/>
              </w:rPr>
              <w:t>Na základě každé o</w:t>
            </w:r>
            <w:r w:rsidR="00C75741">
              <w:rPr>
                <w:w w:val="100"/>
                <w:sz w:val="24"/>
                <w:szCs w:val="24"/>
              </w:rPr>
              <w:t xml:space="preserve">bjednávky </w:t>
            </w:r>
            <w:r w:rsidRPr="006D689E">
              <w:rPr>
                <w:w w:val="100"/>
                <w:sz w:val="24"/>
                <w:szCs w:val="24"/>
              </w:rPr>
              <w:t xml:space="preserve">produktu bude produkt dodán na dohodnuté místo dodání v </w:t>
            </w:r>
            <w:r w:rsidR="00C75741">
              <w:rPr>
                <w:w w:val="100"/>
                <w:sz w:val="24"/>
                <w:szCs w:val="24"/>
              </w:rPr>
              <w:t>Centru</w:t>
            </w:r>
            <w:r w:rsidRPr="006D689E">
              <w:rPr>
                <w:w w:val="100"/>
                <w:sz w:val="24"/>
                <w:szCs w:val="24"/>
              </w:rPr>
              <w:t xml:space="preserve"> („</w:t>
            </w:r>
            <w:r w:rsidRPr="006D689E">
              <w:rPr>
                <w:b/>
                <w:bCs/>
                <w:w w:val="100"/>
                <w:sz w:val="24"/>
                <w:szCs w:val="24"/>
              </w:rPr>
              <w:t>místo dodání</w:t>
            </w:r>
            <w:r w:rsidRPr="006D689E">
              <w:rPr>
                <w:w w:val="100"/>
                <w:sz w:val="24"/>
                <w:szCs w:val="24"/>
              </w:rPr>
              <w:t xml:space="preserve">“) na výhradní náklady společnosti BMS. Nejbližší termíny dodání uvedené společností </w:t>
            </w:r>
            <w:r w:rsidRPr="006D689E">
              <w:rPr>
                <w:w w:val="100"/>
              </w:rPr>
              <w:t>BMS</w:t>
            </w:r>
            <w:r w:rsidRPr="006D689E">
              <w:rPr>
                <w:w w:val="100"/>
                <w:sz w:val="24"/>
                <w:szCs w:val="24"/>
              </w:rPr>
              <w:t xml:space="preserve"> na portálu jsou orientační.</w:t>
            </w:r>
          </w:p>
        </w:tc>
        <w:tc>
          <w:tcPr>
            <w:tcW w:w="2452" w:type="pct"/>
          </w:tcPr>
          <w:p w14:paraId="2ED52064" w14:textId="556D75CD" w:rsidR="00C32FF1" w:rsidRPr="00573CE5" w:rsidRDefault="00C32FF1" w:rsidP="00573CE5">
            <w:pPr>
              <w:pStyle w:val="Legal1L2"/>
              <w:numPr>
                <w:ilvl w:val="1"/>
                <w:numId w:val="54"/>
              </w:numPr>
              <w:tabs>
                <w:tab w:val="clear" w:pos="180"/>
                <w:tab w:val="num" w:pos="983"/>
                <w:tab w:val="num" w:pos="1277"/>
              </w:tabs>
              <w:ind w:left="0" w:firstLine="180"/>
              <w:rPr>
                <w:rFonts w:eastAsia="Times New Roman"/>
                <w:w w:val="100"/>
                <w:sz w:val="24"/>
                <w:szCs w:val="24"/>
                <w:u w:val="single"/>
                <w:lang w:val="en-GB"/>
              </w:rPr>
            </w:pPr>
            <w:r w:rsidRPr="00573CE5">
              <w:rPr>
                <w:w w:val="100"/>
                <w:sz w:val="24"/>
                <w:szCs w:val="24"/>
                <w:u w:val="single"/>
                <w:lang w:val="en-GB"/>
              </w:rPr>
              <w:t>Product Shipment.</w:t>
            </w:r>
            <w:r w:rsidRPr="00573CE5">
              <w:rPr>
                <w:w w:val="100"/>
                <w:sz w:val="24"/>
                <w:szCs w:val="24"/>
                <w:lang w:val="en-GB"/>
              </w:rPr>
              <w:t xml:space="preserve"> For each Product Order, Product shall be delivered to the agreed-upon delivery location at Center (the “</w:t>
            </w:r>
            <w:r w:rsidRPr="00573CE5">
              <w:rPr>
                <w:b/>
                <w:bCs/>
                <w:w w:val="100"/>
                <w:sz w:val="24"/>
                <w:szCs w:val="24"/>
                <w:lang w:val="en-GB"/>
              </w:rPr>
              <w:t>Delivery Location</w:t>
            </w:r>
            <w:r w:rsidRPr="00573CE5">
              <w:rPr>
                <w:w w:val="100"/>
                <w:sz w:val="24"/>
                <w:szCs w:val="24"/>
                <w:lang w:val="en-GB"/>
              </w:rPr>
              <w:t xml:space="preserve">”) at </w:t>
            </w:r>
            <w:r w:rsidRPr="00573CE5">
              <w:rPr>
                <w:w w:val="100"/>
                <w:lang w:val="en-GB"/>
              </w:rPr>
              <w:t>BMS'</w:t>
            </w:r>
            <w:r w:rsidRPr="00573CE5">
              <w:rPr>
                <w:w w:val="100"/>
                <w:sz w:val="24"/>
                <w:szCs w:val="24"/>
                <w:lang w:val="en-GB"/>
              </w:rPr>
              <w:t xml:space="preserve"> sole expense. The earliest delivery dates indicated by </w:t>
            </w:r>
            <w:r w:rsidRPr="00573CE5">
              <w:rPr>
                <w:w w:val="100"/>
                <w:lang w:val="en-GB"/>
              </w:rPr>
              <w:t>BMS</w:t>
            </w:r>
            <w:r w:rsidRPr="00573CE5">
              <w:rPr>
                <w:w w:val="100"/>
                <w:sz w:val="24"/>
                <w:szCs w:val="24"/>
                <w:lang w:val="en-GB"/>
              </w:rPr>
              <w:t xml:space="preserve"> in the Portal are indicative.</w:t>
            </w:r>
          </w:p>
        </w:tc>
      </w:tr>
      <w:tr w:rsidR="00C32FF1" w:rsidRPr="0031164B" w14:paraId="587BE2CE" w14:textId="0FFEEE6E" w:rsidTr="00830D19">
        <w:tc>
          <w:tcPr>
            <w:tcW w:w="2548" w:type="pct"/>
          </w:tcPr>
          <w:p w14:paraId="0AEA4594" w14:textId="34C38FFF" w:rsidR="00C32FF1" w:rsidRPr="006D689E" w:rsidRDefault="00C32FF1" w:rsidP="00C32FF1">
            <w:pPr>
              <w:pStyle w:val="Legal1L2"/>
              <w:ind w:left="0"/>
              <w:rPr>
                <w:rFonts w:eastAsia="Times New Roman"/>
                <w:w w:val="100"/>
                <w:sz w:val="24"/>
                <w:szCs w:val="24"/>
              </w:rPr>
            </w:pPr>
            <w:r w:rsidRPr="006D689E">
              <w:rPr>
                <w:w w:val="100"/>
                <w:sz w:val="24"/>
                <w:szCs w:val="24"/>
                <w:u w:val="single"/>
              </w:rPr>
              <w:t>Převod vlastnického práva a rizika ztráty.</w:t>
            </w:r>
            <w:r w:rsidRPr="006D689E">
              <w:rPr>
                <w:w w:val="100"/>
                <w:sz w:val="24"/>
                <w:szCs w:val="24"/>
              </w:rPr>
              <w:t xml:space="preserve"> Pokud platné právní předpisy nestanoví jinak, přechází vlastnické právo a riziko ztráty každého produktu na </w:t>
            </w:r>
            <w:r w:rsidR="00C75741">
              <w:rPr>
                <w:w w:val="100"/>
                <w:sz w:val="24"/>
                <w:szCs w:val="24"/>
              </w:rPr>
              <w:t>Centrum</w:t>
            </w:r>
            <w:r w:rsidRPr="006D689E">
              <w:rPr>
                <w:w w:val="100"/>
                <w:sz w:val="24"/>
                <w:szCs w:val="24"/>
              </w:rPr>
              <w:t xml:space="preserve"> </w:t>
            </w:r>
            <w:r w:rsidRPr="006D689E">
              <w:rPr>
                <w:w w:val="100"/>
                <w:sz w:val="24"/>
                <w:szCs w:val="24"/>
              </w:rPr>
              <w:lastRenderedPageBreak/>
              <w:t xml:space="preserve">okamžikem, kdy </w:t>
            </w:r>
            <w:r w:rsidR="00926356">
              <w:rPr>
                <w:w w:val="100"/>
                <w:sz w:val="24"/>
                <w:szCs w:val="24"/>
              </w:rPr>
              <w:t>Centrum</w:t>
            </w:r>
            <w:r w:rsidRPr="006D689E">
              <w:rPr>
                <w:w w:val="100"/>
                <w:sz w:val="24"/>
                <w:szCs w:val="24"/>
              </w:rPr>
              <w:t xml:space="preserve"> takový produkt obdrží v místě dodání. </w:t>
            </w:r>
          </w:p>
        </w:tc>
        <w:tc>
          <w:tcPr>
            <w:tcW w:w="2452" w:type="pct"/>
          </w:tcPr>
          <w:p w14:paraId="420DB7CB" w14:textId="634D1136" w:rsidR="00C32FF1" w:rsidRPr="00573CE5" w:rsidRDefault="00C32FF1" w:rsidP="00573CE5">
            <w:pPr>
              <w:pStyle w:val="Legal1L2"/>
              <w:numPr>
                <w:ilvl w:val="1"/>
                <w:numId w:val="55"/>
              </w:numPr>
              <w:ind w:left="0" w:firstLine="180"/>
              <w:rPr>
                <w:rFonts w:eastAsia="Times New Roman"/>
                <w:w w:val="100"/>
                <w:sz w:val="24"/>
                <w:szCs w:val="24"/>
                <w:u w:val="single"/>
                <w:lang w:val="en-GB"/>
              </w:rPr>
            </w:pPr>
            <w:r w:rsidRPr="00573CE5">
              <w:rPr>
                <w:w w:val="100"/>
                <w:sz w:val="24"/>
                <w:szCs w:val="24"/>
                <w:u w:val="single"/>
                <w:lang w:val="en-GB"/>
              </w:rPr>
              <w:lastRenderedPageBreak/>
              <w:t>Transfer of Title and Risk of Loss</w:t>
            </w:r>
            <w:r w:rsidRPr="00573CE5">
              <w:rPr>
                <w:w w:val="100"/>
                <w:sz w:val="24"/>
                <w:szCs w:val="24"/>
                <w:lang w:val="en-GB"/>
              </w:rPr>
              <w:t xml:space="preserve">. Unless Applicable Laws provide otherwise, title and risk of loss of each Product will </w:t>
            </w:r>
            <w:r w:rsidRPr="00573CE5">
              <w:rPr>
                <w:w w:val="100"/>
                <w:sz w:val="24"/>
                <w:szCs w:val="24"/>
                <w:lang w:val="en-GB"/>
              </w:rPr>
              <w:lastRenderedPageBreak/>
              <w:t xml:space="preserve">transfer to Center upon Center’s receipt of such Product at its Delivery Location. </w:t>
            </w:r>
          </w:p>
        </w:tc>
      </w:tr>
      <w:tr w:rsidR="00C32FF1" w:rsidRPr="0031164B" w14:paraId="06965015" w14:textId="6DA27905" w:rsidTr="00830D19">
        <w:tc>
          <w:tcPr>
            <w:tcW w:w="2548" w:type="pct"/>
          </w:tcPr>
          <w:p w14:paraId="23B8E0D7" w14:textId="4D780C9E" w:rsidR="00C32FF1" w:rsidRPr="006D689E" w:rsidRDefault="00C32FF1" w:rsidP="00C32FF1">
            <w:pPr>
              <w:pStyle w:val="Legal1L2"/>
              <w:ind w:left="0"/>
              <w:rPr>
                <w:rFonts w:eastAsia="Times New Roman"/>
                <w:w w:val="100"/>
                <w:sz w:val="24"/>
                <w:szCs w:val="24"/>
              </w:rPr>
            </w:pPr>
            <w:r w:rsidRPr="006D689E">
              <w:rPr>
                <w:w w:val="100"/>
                <w:sz w:val="24"/>
                <w:szCs w:val="24"/>
                <w:u w:val="single"/>
              </w:rPr>
              <w:lastRenderedPageBreak/>
              <w:t>Vracení a výměna produktů.</w:t>
            </w:r>
            <w:r w:rsidRPr="006D689E">
              <w:rPr>
                <w:w w:val="100"/>
                <w:sz w:val="24"/>
                <w:szCs w:val="24"/>
              </w:rPr>
              <w:t xml:space="preserve">  Na všechny žádosti </w:t>
            </w:r>
            <w:r w:rsidR="00926356">
              <w:rPr>
                <w:w w:val="100"/>
                <w:sz w:val="24"/>
                <w:szCs w:val="24"/>
              </w:rPr>
              <w:t>Centra</w:t>
            </w:r>
            <w:r w:rsidRPr="006D689E">
              <w:rPr>
                <w:w w:val="100"/>
                <w:sz w:val="24"/>
                <w:szCs w:val="24"/>
              </w:rPr>
              <w:t xml:space="preserve"> o vrácení nebo výměnu produktu se vztahují podmínky uvedené ve smluvních podmínkách.    </w:t>
            </w:r>
          </w:p>
        </w:tc>
        <w:tc>
          <w:tcPr>
            <w:tcW w:w="2452" w:type="pct"/>
          </w:tcPr>
          <w:p w14:paraId="0D09B878" w14:textId="1E9A395C" w:rsidR="00C32FF1" w:rsidRPr="00573CE5" w:rsidRDefault="00C32FF1" w:rsidP="00573CE5">
            <w:pPr>
              <w:pStyle w:val="Legal1L2"/>
              <w:numPr>
                <w:ilvl w:val="1"/>
                <w:numId w:val="56"/>
              </w:numPr>
              <w:ind w:left="0" w:firstLine="180"/>
              <w:rPr>
                <w:rFonts w:eastAsia="Times New Roman"/>
                <w:w w:val="100"/>
                <w:sz w:val="24"/>
                <w:szCs w:val="24"/>
                <w:u w:val="single"/>
                <w:lang w:val="en-GB"/>
              </w:rPr>
            </w:pPr>
            <w:r w:rsidRPr="00573CE5">
              <w:rPr>
                <w:w w:val="100"/>
                <w:sz w:val="24"/>
                <w:szCs w:val="24"/>
                <w:u w:val="single"/>
                <w:lang w:val="en-GB"/>
              </w:rPr>
              <w:t>Product Returns and Replacements</w:t>
            </w:r>
            <w:r w:rsidRPr="00573CE5">
              <w:rPr>
                <w:w w:val="100"/>
                <w:sz w:val="24"/>
                <w:szCs w:val="24"/>
                <w:lang w:val="en-GB"/>
              </w:rPr>
              <w:t xml:space="preserve">.  All Center requests for a Product return or replacement shall be subject to the terms of the Terms and Conditions.    </w:t>
            </w:r>
          </w:p>
        </w:tc>
      </w:tr>
      <w:tr w:rsidR="00C32FF1" w:rsidRPr="0031164B" w14:paraId="1D4EB74E" w14:textId="357D45A4" w:rsidTr="00830D19">
        <w:tc>
          <w:tcPr>
            <w:tcW w:w="2548" w:type="pct"/>
          </w:tcPr>
          <w:p w14:paraId="4F8ADD0A" w14:textId="1188E138" w:rsidR="00C32FF1" w:rsidRPr="006D689E" w:rsidRDefault="00C32FF1" w:rsidP="00C32FF1">
            <w:pPr>
              <w:pStyle w:val="Legal1L2"/>
              <w:ind w:left="0"/>
              <w:rPr>
                <w:rFonts w:eastAsia="Times New Roman"/>
                <w:w w:val="100"/>
                <w:sz w:val="24"/>
                <w:szCs w:val="24"/>
              </w:rPr>
            </w:pPr>
            <w:r w:rsidRPr="006D689E">
              <w:rPr>
                <w:w w:val="100"/>
                <w:sz w:val="24"/>
                <w:szCs w:val="24"/>
                <w:u w:val="single"/>
              </w:rPr>
              <w:t>Skladování produktu.</w:t>
            </w:r>
            <w:r w:rsidRPr="006D689E">
              <w:rPr>
                <w:w w:val="100"/>
                <w:sz w:val="24"/>
                <w:szCs w:val="24"/>
              </w:rPr>
              <w:t xml:space="preserve"> </w:t>
            </w:r>
            <w:r w:rsidR="0080768E">
              <w:rPr>
                <w:w w:val="100"/>
                <w:sz w:val="24"/>
                <w:szCs w:val="24"/>
              </w:rPr>
              <w:t>Centrum</w:t>
            </w:r>
            <w:r w:rsidRPr="006D689E">
              <w:rPr>
                <w:w w:val="100"/>
                <w:sz w:val="24"/>
                <w:szCs w:val="24"/>
              </w:rPr>
              <w:t xml:space="preserve"> (nebo případně jeho schválený subdodavatel) musí skladovat dodané produkty v souladu s podmínkami skladování produktu, které jsou vyžadovány v předepsaných informacích o produktu a v příručce pro správu produktu poskytnuté společností </w:t>
            </w:r>
            <w:r w:rsidRPr="006D689E">
              <w:rPr>
                <w:w w:val="100"/>
              </w:rPr>
              <w:t>BMS</w:t>
            </w:r>
            <w:r w:rsidRPr="006D689E">
              <w:rPr>
                <w:w w:val="100"/>
                <w:sz w:val="24"/>
                <w:szCs w:val="24"/>
              </w:rPr>
              <w:t xml:space="preserve">.   </w:t>
            </w:r>
          </w:p>
        </w:tc>
        <w:tc>
          <w:tcPr>
            <w:tcW w:w="2452" w:type="pct"/>
          </w:tcPr>
          <w:p w14:paraId="21E57FEB" w14:textId="1D9731C0" w:rsidR="00C32FF1" w:rsidRPr="00573CE5" w:rsidRDefault="00C32FF1" w:rsidP="00573CE5">
            <w:pPr>
              <w:pStyle w:val="Legal1L2"/>
              <w:numPr>
                <w:ilvl w:val="1"/>
                <w:numId w:val="57"/>
              </w:numPr>
              <w:ind w:left="0" w:firstLine="180"/>
              <w:rPr>
                <w:rFonts w:eastAsia="Times New Roman"/>
                <w:w w:val="100"/>
                <w:sz w:val="24"/>
                <w:szCs w:val="24"/>
                <w:u w:val="single"/>
                <w:lang w:val="en-GB"/>
              </w:rPr>
            </w:pPr>
            <w:r w:rsidRPr="00573CE5">
              <w:rPr>
                <w:w w:val="100"/>
                <w:sz w:val="24"/>
                <w:szCs w:val="24"/>
                <w:u w:val="single"/>
                <w:lang w:val="en-GB"/>
              </w:rPr>
              <w:t>Product Storage</w:t>
            </w:r>
            <w:r w:rsidRPr="00573CE5">
              <w:rPr>
                <w:w w:val="100"/>
                <w:sz w:val="24"/>
                <w:szCs w:val="24"/>
                <w:lang w:val="en-GB"/>
              </w:rPr>
              <w:t xml:space="preserve">. Center (or, where applicable, its Approved Subcontractor) shall store delivered Products in accordance with the Product’s storage conditions required per the Product’s prescribing information and the product administration manual provided by </w:t>
            </w:r>
            <w:r w:rsidRPr="00573CE5">
              <w:rPr>
                <w:w w:val="100"/>
                <w:lang w:val="en-GB"/>
              </w:rPr>
              <w:t>BMS</w:t>
            </w:r>
            <w:r w:rsidRPr="00573CE5">
              <w:rPr>
                <w:w w:val="100"/>
                <w:sz w:val="24"/>
                <w:szCs w:val="24"/>
                <w:lang w:val="en-GB"/>
              </w:rPr>
              <w:t xml:space="preserve">.   </w:t>
            </w:r>
          </w:p>
        </w:tc>
      </w:tr>
      <w:tr w:rsidR="00C32FF1" w:rsidRPr="0031164B" w14:paraId="3C43707C" w14:textId="67AF13B2" w:rsidTr="00830D19">
        <w:tc>
          <w:tcPr>
            <w:tcW w:w="2548" w:type="pct"/>
          </w:tcPr>
          <w:p w14:paraId="6FDAE9AC" w14:textId="4B34D053" w:rsidR="00C32FF1" w:rsidRPr="006D689E" w:rsidRDefault="00C32FF1" w:rsidP="00C32FF1">
            <w:pPr>
              <w:pStyle w:val="Legal1L2"/>
              <w:ind w:left="0"/>
              <w:rPr>
                <w:rFonts w:eastAsia="Times New Roman"/>
                <w:w w:val="100"/>
                <w:sz w:val="24"/>
                <w:szCs w:val="24"/>
              </w:rPr>
            </w:pPr>
            <w:bookmarkStart w:id="67" w:name="_Hlk10453593"/>
            <w:r w:rsidRPr="006D689E">
              <w:rPr>
                <w:w w:val="100"/>
                <w:sz w:val="24"/>
                <w:szCs w:val="24"/>
                <w:u w:val="single"/>
              </w:rPr>
              <w:t>Omezení použití.</w:t>
            </w:r>
            <w:r w:rsidRPr="006D689E">
              <w:rPr>
                <w:w w:val="100"/>
                <w:sz w:val="24"/>
                <w:szCs w:val="24"/>
              </w:rPr>
              <w:t xml:space="preserve"> </w:t>
            </w:r>
            <w:r w:rsidR="0080768E">
              <w:rPr>
                <w:w w:val="100"/>
                <w:sz w:val="24"/>
                <w:szCs w:val="24"/>
              </w:rPr>
              <w:t>Centrum</w:t>
            </w:r>
            <w:r w:rsidRPr="006D689E">
              <w:rPr>
                <w:w w:val="100"/>
                <w:sz w:val="24"/>
                <w:szCs w:val="24"/>
              </w:rPr>
              <w:t xml:space="preserve"> použije každý produkt, který obdrželo, výhradně k léčbě pacienta, pro kterého byl takový produkt objednán a vyroben, a v každém případě k žádnému jinému účelu, s výjimkou pokynů společnosti </w:t>
            </w:r>
            <w:r w:rsidRPr="006D689E">
              <w:rPr>
                <w:w w:val="100"/>
              </w:rPr>
              <w:t>BMS</w:t>
            </w:r>
            <w:r w:rsidRPr="006D689E">
              <w:rPr>
                <w:w w:val="100"/>
                <w:sz w:val="24"/>
                <w:szCs w:val="24"/>
              </w:rPr>
              <w:t xml:space="preserve">. </w:t>
            </w:r>
          </w:p>
        </w:tc>
        <w:tc>
          <w:tcPr>
            <w:tcW w:w="2452" w:type="pct"/>
          </w:tcPr>
          <w:p w14:paraId="42938FD2" w14:textId="4C5C567C" w:rsidR="00C32FF1" w:rsidRPr="00573CE5" w:rsidRDefault="00C32FF1" w:rsidP="00573CE5">
            <w:pPr>
              <w:pStyle w:val="Legal1L2"/>
              <w:numPr>
                <w:ilvl w:val="1"/>
                <w:numId w:val="58"/>
              </w:numPr>
              <w:ind w:left="0" w:firstLine="180"/>
              <w:rPr>
                <w:rFonts w:eastAsia="Times New Roman"/>
                <w:w w:val="100"/>
                <w:sz w:val="24"/>
                <w:szCs w:val="24"/>
                <w:u w:val="single"/>
                <w:lang w:val="en-GB"/>
              </w:rPr>
            </w:pPr>
            <w:r w:rsidRPr="00573CE5">
              <w:rPr>
                <w:w w:val="100"/>
                <w:sz w:val="24"/>
                <w:szCs w:val="24"/>
                <w:u w:val="single"/>
                <w:lang w:val="en-GB"/>
              </w:rPr>
              <w:t>Limits on Use</w:t>
            </w:r>
            <w:r w:rsidRPr="00573CE5">
              <w:rPr>
                <w:w w:val="100"/>
                <w:sz w:val="24"/>
                <w:szCs w:val="24"/>
                <w:lang w:val="en-GB"/>
              </w:rPr>
              <w:t xml:space="preserve">. Center shall use each Product it has received solely for treating the patient for whom such Product was ordered and manufactured, and in each case, for no other purpose, except as directed by </w:t>
            </w:r>
            <w:r w:rsidRPr="00573CE5">
              <w:rPr>
                <w:w w:val="100"/>
                <w:lang w:val="en-GB"/>
              </w:rPr>
              <w:t>BMS</w:t>
            </w:r>
            <w:r w:rsidRPr="00573CE5">
              <w:rPr>
                <w:w w:val="100"/>
                <w:sz w:val="24"/>
                <w:szCs w:val="24"/>
                <w:lang w:val="en-GB"/>
              </w:rPr>
              <w:t xml:space="preserve">. </w:t>
            </w:r>
          </w:p>
        </w:tc>
      </w:tr>
      <w:bookmarkEnd w:id="62"/>
      <w:bookmarkEnd w:id="63"/>
      <w:bookmarkEnd w:id="64"/>
      <w:bookmarkEnd w:id="67"/>
      <w:tr w:rsidR="00C32FF1" w:rsidRPr="0031164B" w14:paraId="473262EF" w14:textId="75A63614" w:rsidTr="00830D19">
        <w:tc>
          <w:tcPr>
            <w:tcW w:w="2548" w:type="pct"/>
          </w:tcPr>
          <w:p w14:paraId="023F0869" w14:textId="77777777" w:rsidR="00C32FF1" w:rsidRPr="006D689E" w:rsidRDefault="00C32FF1" w:rsidP="00C32FF1">
            <w:pPr>
              <w:pStyle w:val="Legal1L1"/>
              <w:keepNext/>
              <w:widowControl/>
              <w:numPr>
                <w:ilvl w:val="0"/>
                <w:numId w:val="1"/>
              </w:numPr>
              <w:tabs>
                <w:tab w:val="left" w:pos="1440"/>
              </w:tabs>
              <w:adjustRightInd/>
              <w:ind w:left="0" w:firstLine="0"/>
              <w:outlineLvl w:val="9"/>
              <w:rPr>
                <w:b/>
                <w:u w:val="none"/>
              </w:rPr>
            </w:pPr>
            <w:r w:rsidRPr="006D689E">
              <w:rPr>
                <w:b/>
                <w:u w:val="none"/>
              </w:rPr>
              <w:t>SKLADOVÁNÍ PŘEBYTEČNÉHO ZPRACOVANÉHO AFERÉZNÍHO MATERIÁLU A PŘEBYTEČNÉHO PRODUKTU – BMS</w:t>
            </w:r>
            <w:bookmarkStart w:id="68" w:name="_Toc6234312"/>
            <w:bookmarkStart w:id="69" w:name="_Toc6233990"/>
            <w:bookmarkStart w:id="70" w:name="_Toc256000015"/>
          </w:p>
        </w:tc>
        <w:tc>
          <w:tcPr>
            <w:tcW w:w="2452" w:type="pct"/>
          </w:tcPr>
          <w:p w14:paraId="0475A3FE" w14:textId="0D6EB4AF" w:rsidR="00C32FF1" w:rsidRPr="0031164B" w:rsidRDefault="00C32FF1" w:rsidP="00573CE5">
            <w:pPr>
              <w:pStyle w:val="Legal1L1"/>
              <w:keepNext/>
              <w:widowControl/>
              <w:numPr>
                <w:ilvl w:val="0"/>
                <w:numId w:val="59"/>
              </w:numPr>
              <w:adjustRightInd/>
              <w:ind w:left="0" w:firstLine="0"/>
              <w:outlineLvl w:val="9"/>
              <w:rPr>
                <w:b/>
                <w:u w:val="none"/>
                <w:lang w:val="en-GB"/>
              </w:rPr>
            </w:pPr>
            <w:r w:rsidRPr="0031164B">
              <w:rPr>
                <w:b/>
                <w:u w:val="none"/>
                <w:lang w:val="en-GB"/>
              </w:rPr>
              <w:t>BMS STORAGE OF EXCESS PROCESSED APHERESIS MATERIALS AND EXCESS PRODUCT</w:t>
            </w:r>
          </w:p>
        </w:tc>
      </w:tr>
      <w:tr w:rsidR="00C32FF1" w:rsidRPr="0031164B" w14:paraId="6D354834" w14:textId="79EA8452" w:rsidTr="00830D19">
        <w:tc>
          <w:tcPr>
            <w:tcW w:w="2548" w:type="pct"/>
          </w:tcPr>
          <w:p w14:paraId="730A4CE8" w14:textId="77777777" w:rsidR="00C32FF1" w:rsidRPr="006D689E" w:rsidRDefault="00C32FF1" w:rsidP="00C32FF1">
            <w:pPr>
              <w:pStyle w:val="Legal1L2"/>
              <w:keepNext/>
              <w:ind w:left="0"/>
              <w:rPr>
                <w:rFonts w:eastAsia="Times New Roman"/>
                <w:w w:val="100"/>
                <w:sz w:val="24"/>
                <w:szCs w:val="24"/>
              </w:rPr>
            </w:pPr>
            <w:bookmarkStart w:id="71" w:name="_Toc6234313"/>
            <w:bookmarkStart w:id="72" w:name="_Toc6233991"/>
            <w:bookmarkStart w:id="73" w:name="_Toc256000016"/>
            <w:bookmarkStart w:id="74" w:name="_Ref39069807"/>
            <w:bookmarkEnd w:id="68"/>
            <w:bookmarkEnd w:id="69"/>
            <w:bookmarkEnd w:id="70"/>
            <w:r w:rsidRPr="006D689E">
              <w:rPr>
                <w:w w:val="100"/>
                <w:sz w:val="24"/>
                <w:szCs w:val="24"/>
                <w:u w:val="single"/>
              </w:rPr>
              <w:t>Skladování přebytečného zpracovaného aferézního materiálu a přebytečného produktu – BMS</w:t>
            </w:r>
            <w:r w:rsidRPr="006D689E">
              <w:rPr>
                <w:w w:val="100"/>
                <w:sz w:val="24"/>
                <w:szCs w:val="24"/>
              </w:rPr>
              <w:t>.</w:t>
            </w:r>
            <w:bookmarkEnd w:id="71"/>
            <w:bookmarkEnd w:id="72"/>
            <w:bookmarkEnd w:id="73"/>
            <w:r w:rsidRPr="006D689E">
              <w:rPr>
                <w:w w:val="100"/>
                <w:sz w:val="24"/>
                <w:szCs w:val="24"/>
              </w:rPr>
              <w:t xml:space="preserve"> </w:t>
            </w:r>
            <w:r w:rsidRPr="006D689E">
              <w:rPr>
                <w:w w:val="100"/>
              </w:rPr>
              <w:t xml:space="preserve">Společnost </w:t>
            </w:r>
            <w:r w:rsidRPr="006D689E">
              <w:rPr>
                <w:w w:val="100"/>
                <w:sz w:val="24"/>
                <w:szCs w:val="24"/>
              </w:rPr>
              <w:t>BMS uskladní přebytečné zpracované aferézní materiály nebo případný přebytečný produkt (jak je definován níže) v souladu s podmínkami stanovenými v přiložených podmínkách.</w:t>
            </w:r>
            <w:bookmarkEnd w:id="74"/>
            <w:r w:rsidRPr="006D689E">
              <w:rPr>
                <w:w w:val="100"/>
                <w:sz w:val="24"/>
                <w:szCs w:val="24"/>
              </w:rPr>
              <w:t xml:space="preserve"> </w:t>
            </w:r>
          </w:p>
        </w:tc>
        <w:tc>
          <w:tcPr>
            <w:tcW w:w="2452" w:type="pct"/>
          </w:tcPr>
          <w:p w14:paraId="34E3245E" w14:textId="6B1644AF" w:rsidR="00C32FF1" w:rsidRPr="00573CE5" w:rsidRDefault="00C32FF1" w:rsidP="00573CE5">
            <w:pPr>
              <w:pStyle w:val="Legal1L2"/>
              <w:keepNext/>
              <w:numPr>
                <w:ilvl w:val="1"/>
                <w:numId w:val="60"/>
              </w:numPr>
              <w:ind w:left="0" w:firstLine="180"/>
              <w:rPr>
                <w:rFonts w:eastAsia="Times New Roman"/>
                <w:w w:val="100"/>
                <w:u w:val="single"/>
                <w:lang w:val="en-GB"/>
              </w:rPr>
            </w:pPr>
            <w:r w:rsidRPr="00573CE5">
              <w:rPr>
                <w:w w:val="100"/>
                <w:u w:val="single"/>
                <w:lang w:val="en-GB"/>
              </w:rPr>
              <w:t>BMS</w:t>
            </w:r>
            <w:r w:rsidRPr="00573CE5">
              <w:rPr>
                <w:w w:val="100"/>
                <w:sz w:val="24"/>
                <w:szCs w:val="24"/>
                <w:u w:val="single"/>
                <w:lang w:val="en-GB"/>
              </w:rPr>
              <w:t xml:space="preserve"> Storage of Excess Processed Apheresis Materials or Excess Product</w:t>
            </w:r>
            <w:r w:rsidRPr="00573CE5">
              <w:rPr>
                <w:w w:val="100"/>
                <w:sz w:val="24"/>
                <w:szCs w:val="24"/>
                <w:lang w:val="en-GB"/>
              </w:rPr>
              <w:t xml:space="preserve">. </w:t>
            </w:r>
            <w:r w:rsidRPr="00573CE5">
              <w:rPr>
                <w:w w:val="100"/>
                <w:lang w:val="en-GB"/>
              </w:rPr>
              <w:t>BMS</w:t>
            </w:r>
            <w:r w:rsidRPr="00573CE5">
              <w:rPr>
                <w:w w:val="100"/>
                <w:sz w:val="24"/>
                <w:szCs w:val="24"/>
                <w:lang w:val="en-GB"/>
              </w:rPr>
              <w:t xml:space="preserve"> shall store Excess Processed Apheresis Materials or Excess Product, if any, (as defined hereinafter) in accordance with the terms set forth in the Terms and Conditions. </w:t>
            </w:r>
          </w:p>
        </w:tc>
      </w:tr>
      <w:tr w:rsidR="00C32FF1" w:rsidRPr="0031164B" w14:paraId="5461B59A" w14:textId="05782892" w:rsidTr="00830D19">
        <w:tc>
          <w:tcPr>
            <w:tcW w:w="2548" w:type="pct"/>
          </w:tcPr>
          <w:p w14:paraId="301FF0B2" w14:textId="4428D5B8" w:rsidR="00C32FF1" w:rsidRPr="006D689E" w:rsidRDefault="00C32FF1" w:rsidP="00C32FF1">
            <w:pPr>
              <w:pStyle w:val="Legal1L2"/>
              <w:ind w:left="0"/>
              <w:rPr>
                <w:rFonts w:eastAsia="Times New Roman"/>
                <w:w w:val="100"/>
                <w:sz w:val="24"/>
                <w:szCs w:val="24"/>
              </w:rPr>
            </w:pPr>
            <w:r w:rsidRPr="006D689E">
              <w:rPr>
                <w:w w:val="100"/>
                <w:sz w:val="24"/>
                <w:szCs w:val="24"/>
                <w:u w:val="single"/>
              </w:rPr>
              <w:t>Upozornění pro pacienty.</w:t>
            </w:r>
            <w:r w:rsidRPr="006D689E">
              <w:rPr>
                <w:w w:val="100"/>
                <w:sz w:val="24"/>
                <w:szCs w:val="24"/>
              </w:rPr>
              <w:t xml:space="preserve"> </w:t>
            </w:r>
            <w:r w:rsidR="008C51E7">
              <w:rPr>
                <w:w w:val="100"/>
                <w:sz w:val="24"/>
                <w:szCs w:val="24"/>
              </w:rPr>
              <w:t>Centrum</w:t>
            </w:r>
            <w:r w:rsidRPr="006D689E">
              <w:rPr>
                <w:w w:val="100"/>
                <w:sz w:val="24"/>
                <w:szCs w:val="24"/>
              </w:rPr>
              <w:t xml:space="preserve"> poskytne každému pacientovi písemné oznámení popisující skladování a nakládání s přebytečnými zpracovanými aferézními materiály (pokud existují) a přebytečným produktem (pokud existuje) ze strany společnosti </w:t>
            </w:r>
            <w:r w:rsidRPr="006D689E">
              <w:rPr>
                <w:w w:val="100"/>
              </w:rPr>
              <w:t>BMS</w:t>
            </w:r>
            <w:r w:rsidRPr="006D689E">
              <w:rPr>
                <w:w w:val="100"/>
                <w:sz w:val="24"/>
                <w:szCs w:val="24"/>
              </w:rPr>
              <w:t xml:space="preserve">. </w:t>
            </w:r>
          </w:p>
        </w:tc>
        <w:tc>
          <w:tcPr>
            <w:tcW w:w="2452" w:type="pct"/>
          </w:tcPr>
          <w:p w14:paraId="6DB9261A" w14:textId="5055E6BC" w:rsidR="00C32FF1" w:rsidRPr="00573CE5" w:rsidRDefault="00C32FF1" w:rsidP="00573CE5">
            <w:pPr>
              <w:pStyle w:val="Legal1L2"/>
              <w:numPr>
                <w:ilvl w:val="1"/>
                <w:numId w:val="61"/>
              </w:numPr>
              <w:ind w:left="0" w:firstLine="180"/>
              <w:rPr>
                <w:rFonts w:eastAsia="Times New Roman"/>
                <w:w w:val="100"/>
                <w:sz w:val="24"/>
                <w:szCs w:val="24"/>
                <w:u w:val="single"/>
                <w:lang w:val="en-GB"/>
              </w:rPr>
            </w:pPr>
            <w:r w:rsidRPr="00573CE5">
              <w:rPr>
                <w:w w:val="100"/>
                <w:sz w:val="24"/>
                <w:szCs w:val="24"/>
                <w:u w:val="single"/>
                <w:lang w:val="en-GB"/>
              </w:rPr>
              <w:t>Patient Notice.</w:t>
            </w:r>
            <w:r w:rsidRPr="00573CE5">
              <w:rPr>
                <w:w w:val="100"/>
                <w:sz w:val="24"/>
                <w:szCs w:val="24"/>
                <w:lang w:val="en-GB"/>
              </w:rPr>
              <w:t xml:space="preserve"> Center shall provide written notice to each patient describing </w:t>
            </w:r>
            <w:r w:rsidRPr="00573CE5">
              <w:rPr>
                <w:w w:val="100"/>
                <w:lang w:val="en-GB"/>
              </w:rPr>
              <w:t>BMS’</w:t>
            </w:r>
            <w:r w:rsidRPr="00573CE5">
              <w:rPr>
                <w:w w:val="100"/>
                <w:sz w:val="24"/>
                <w:szCs w:val="24"/>
                <w:lang w:val="en-GB"/>
              </w:rPr>
              <w:t xml:space="preserve"> storage and handling of excess Processed Apheresis Materials (if any) and Excess Product (if any). </w:t>
            </w:r>
          </w:p>
        </w:tc>
      </w:tr>
      <w:tr w:rsidR="00C32FF1" w:rsidRPr="0031164B" w14:paraId="3E3C1E79" w14:textId="23EA56AC" w:rsidTr="00830D19">
        <w:tc>
          <w:tcPr>
            <w:tcW w:w="2548" w:type="pct"/>
          </w:tcPr>
          <w:p w14:paraId="4380C616" w14:textId="6D9BDE50" w:rsidR="00C32FF1" w:rsidRPr="006D689E" w:rsidRDefault="00C32FF1" w:rsidP="00C32FF1">
            <w:pPr>
              <w:pStyle w:val="Legal1L2"/>
              <w:ind w:left="0"/>
              <w:rPr>
                <w:rFonts w:eastAsia="Times New Roman"/>
                <w:w w:val="100"/>
                <w:sz w:val="24"/>
                <w:szCs w:val="24"/>
              </w:rPr>
            </w:pPr>
            <w:r w:rsidRPr="006D689E">
              <w:rPr>
                <w:w w:val="100"/>
                <w:sz w:val="24"/>
                <w:szCs w:val="24"/>
                <w:u w:val="single"/>
              </w:rPr>
              <w:t>Omezení použití.</w:t>
            </w:r>
            <w:r w:rsidRPr="006D689E">
              <w:rPr>
                <w:w w:val="100"/>
                <w:sz w:val="24"/>
                <w:szCs w:val="24"/>
              </w:rPr>
              <w:t xml:space="preserve">  Společnost BMS nebude: (i) používat přebytečné zpracované aferézní materiály k jinému účelu </w:t>
            </w:r>
            <w:r w:rsidRPr="006D689E">
              <w:rPr>
                <w:w w:val="100"/>
                <w:sz w:val="24"/>
                <w:szCs w:val="24"/>
              </w:rPr>
              <w:lastRenderedPageBreak/>
              <w:t xml:space="preserve">než k výrobě produktu; nebo (ii) používat přebytečný produkt k jinému účelu než k poskytnutí </w:t>
            </w:r>
            <w:r w:rsidR="00BE3ABC">
              <w:rPr>
                <w:w w:val="100"/>
                <w:sz w:val="24"/>
                <w:szCs w:val="24"/>
              </w:rPr>
              <w:t>Centru</w:t>
            </w:r>
            <w:r w:rsidRPr="006D689E">
              <w:rPr>
                <w:w w:val="100"/>
                <w:sz w:val="24"/>
                <w:szCs w:val="24"/>
              </w:rPr>
              <w:t xml:space="preserve"> k použití při léčbě pacienta, s výjimkou případů, kdy to může být požadováno pro účely auditu nebo zdravotnickým orgánem. </w:t>
            </w:r>
          </w:p>
        </w:tc>
        <w:tc>
          <w:tcPr>
            <w:tcW w:w="2452" w:type="pct"/>
          </w:tcPr>
          <w:p w14:paraId="700BC3F2" w14:textId="0A818933" w:rsidR="00C32FF1" w:rsidRPr="00573CE5" w:rsidRDefault="00C32FF1" w:rsidP="00573CE5">
            <w:pPr>
              <w:pStyle w:val="Legal1L2"/>
              <w:numPr>
                <w:ilvl w:val="1"/>
                <w:numId w:val="62"/>
              </w:numPr>
              <w:ind w:left="0" w:firstLine="180"/>
              <w:rPr>
                <w:rFonts w:eastAsia="Times New Roman"/>
                <w:w w:val="100"/>
                <w:sz w:val="24"/>
                <w:szCs w:val="24"/>
                <w:u w:val="single"/>
                <w:lang w:val="en-GB"/>
              </w:rPr>
            </w:pPr>
            <w:r w:rsidRPr="00573CE5">
              <w:rPr>
                <w:w w:val="100"/>
                <w:sz w:val="24"/>
                <w:szCs w:val="24"/>
                <w:u w:val="single"/>
                <w:lang w:val="en-GB"/>
              </w:rPr>
              <w:lastRenderedPageBreak/>
              <w:t>Limits on Use.</w:t>
            </w:r>
            <w:r w:rsidRPr="00573CE5">
              <w:rPr>
                <w:w w:val="100"/>
                <w:sz w:val="24"/>
                <w:szCs w:val="24"/>
                <w:lang w:val="en-GB"/>
              </w:rPr>
              <w:t xml:space="preserve">  </w:t>
            </w:r>
            <w:r w:rsidRPr="00573CE5">
              <w:rPr>
                <w:w w:val="100"/>
                <w:lang w:val="en-GB"/>
              </w:rPr>
              <w:t>BMS</w:t>
            </w:r>
            <w:r w:rsidRPr="00573CE5">
              <w:rPr>
                <w:w w:val="100"/>
                <w:sz w:val="24"/>
                <w:szCs w:val="24"/>
                <w:lang w:val="en-GB"/>
              </w:rPr>
              <w:t xml:space="preserve"> will not: (i) use excess Processed Apheresis Materials for any purpose other than for manufacturing </w:t>
            </w:r>
            <w:r w:rsidRPr="00573CE5">
              <w:rPr>
                <w:w w:val="100"/>
                <w:sz w:val="24"/>
                <w:szCs w:val="24"/>
                <w:lang w:val="en-GB"/>
              </w:rPr>
              <w:lastRenderedPageBreak/>
              <w:t xml:space="preserve">Product; or (ii) use Excess Product for any purpose other than to provide to Center for use in the patient’s treatment, except as may be required for audit purposes or by a health authority. </w:t>
            </w:r>
          </w:p>
        </w:tc>
      </w:tr>
      <w:tr w:rsidR="00C32FF1" w:rsidRPr="0031164B" w14:paraId="2D9E1C96" w14:textId="7064C9AD" w:rsidTr="00830D19">
        <w:tc>
          <w:tcPr>
            <w:tcW w:w="2548" w:type="pct"/>
          </w:tcPr>
          <w:p w14:paraId="2369D1B0"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bookmarkStart w:id="75" w:name="_DV_M317"/>
            <w:bookmarkStart w:id="76" w:name="_DV_M318"/>
            <w:bookmarkStart w:id="77" w:name="_DV_M326"/>
            <w:bookmarkStart w:id="78" w:name="_DV_M219"/>
            <w:bookmarkStart w:id="79" w:name="_DV_M327"/>
            <w:bookmarkStart w:id="80" w:name="_DV_M331"/>
            <w:bookmarkStart w:id="81" w:name="_DV_M332"/>
            <w:bookmarkStart w:id="82" w:name="_DV_M333"/>
            <w:bookmarkStart w:id="83" w:name="_DV_M328"/>
            <w:bookmarkStart w:id="84" w:name="_DV_M330"/>
            <w:bookmarkStart w:id="85" w:name="_DV_M255"/>
            <w:bookmarkEnd w:id="65"/>
            <w:bookmarkEnd w:id="75"/>
            <w:bookmarkEnd w:id="76"/>
            <w:bookmarkEnd w:id="77"/>
            <w:bookmarkEnd w:id="78"/>
            <w:bookmarkEnd w:id="79"/>
            <w:bookmarkEnd w:id="80"/>
            <w:bookmarkEnd w:id="81"/>
            <w:bookmarkEnd w:id="82"/>
            <w:bookmarkEnd w:id="83"/>
            <w:bookmarkEnd w:id="84"/>
            <w:bookmarkEnd w:id="85"/>
            <w:r w:rsidRPr="006D689E">
              <w:rPr>
                <w:b/>
                <w:u w:val="none"/>
              </w:rPr>
              <w:lastRenderedPageBreak/>
              <w:t>PROHLÁŠENÍ A ZÁRUKY</w:t>
            </w:r>
          </w:p>
        </w:tc>
        <w:tc>
          <w:tcPr>
            <w:tcW w:w="2452" w:type="pct"/>
          </w:tcPr>
          <w:p w14:paraId="6599E396" w14:textId="26792745" w:rsidR="00C32FF1" w:rsidRPr="0031164B" w:rsidRDefault="00C32FF1" w:rsidP="00573CE5">
            <w:pPr>
              <w:pStyle w:val="Legal1L1"/>
              <w:widowControl/>
              <w:numPr>
                <w:ilvl w:val="0"/>
                <w:numId w:val="63"/>
              </w:numPr>
              <w:tabs>
                <w:tab w:val="left" w:pos="1620"/>
              </w:tabs>
              <w:adjustRightInd/>
              <w:ind w:left="0" w:firstLine="0"/>
              <w:outlineLvl w:val="9"/>
              <w:rPr>
                <w:b/>
                <w:u w:val="none"/>
                <w:lang w:val="en-GB"/>
              </w:rPr>
            </w:pPr>
            <w:r w:rsidRPr="0031164B">
              <w:rPr>
                <w:b/>
                <w:u w:val="none"/>
                <w:lang w:val="en-GB"/>
              </w:rPr>
              <w:t>REPRESENTATIONS AND WARRANTIES</w:t>
            </w:r>
          </w:p>
        </w:tc>
      </w:tr>
      <w:tr w:rsidR="00C32FF1" w:rsidRPr="0031164B" w14:paraId="25B2A8FE" w14:textId="790A1CEC" w:rsidTr="00830D19">
        <w:tc>
          <w:tcPr>
            <w:tcW w:w="2548" w:type="pct"/>
          </w:tcPr>
          <w:p w14:paraId="25BB838E" w14:textId="77777777" w:rsidR="00C32FF1" w:rsidRPr="006D689E" w:rsidRDefault="00C32FF1" w:rsidP="00C32FF1">
            <w:pPr>
              <w:pStyle w:val="Legal1L2"/>
              <w:ind w:left="0"/>
              <w:rPr>
                <w:rFonts w:eastAsia="Times New Roman"/>
                <w:w w:val="100"/>
                <w:sz w:val="24"/>
                <w:szCs w:val="24"/>
              </w:rPr>
            </w:pPr>
            <w:r w:rsidRPr="006D689E">
              <w:rPr>
                <w:w w:val="100"/>
                <w:sz w:val="24"/>
                <w:szCs w:val="24"/>
                <w:u w:val="single"/>
              </w:rPr>
              <w:t>Vzájemná prohlášení a záruky.</w:t>
            </w:r>
            <w:r w:rsidRPr="006D689E">
              <w:rPr>
                <w:w w:val="100"/>
                <w:sz w:val="24"/>
                <w:szCs w:val="24"/>
              </w:rPr>
              <w:t xml:space="preserve"> Každá strana prohlašuje a zaručuje druhé straně, že:</w:t>
            </w:r>
          </w:p>
        </w:tc>
        <w:tc>
          <w:tcPr>
            <w:tcW w:w="2452" w:type="pct"/>
          </w:tcPr>
          <w:p w14:paraId="14047A81" w14:textId="10E44F52" w:rsidR="00C32FF1" w:rsidRPr="00573CE5" w:rsidRDefault="00C32FF1" w:rsidP="00573CE5">
            <w:pPr>
              <w:pStyle w:val="Legal1L2"/>
              <w:numPr>
                <w:ilvl w:val="1"/>
                <w:numId w:val="64"/>
              </w:numPr>
              <w:ind w:left="0" w:firstLine="180"/>
              <w:rPr>
                <w:rFonts w:eastAsia="Times New Roman"/>
                <w:w w:val="100"/>
                <w:sz w:val="24"/>
                <w:szCs w:val="24"/>
                <w:u w:val="single"/>
                <w:lang w:val="en-GB"/>
              </w:rPr>
            </w:pPr>
            <w:r w:rsidRPr="00573CE5">
              <w:rPr>
                <w:w w:val="100"/>
                <w:sz w:val="24"/>
                <w:szCs w:val="24"/>
                <w:u w:val="single"/>
                <w:lang w:val="en-GB"/>
              </w:rPr>
              <w:t>Mutual Representations and Warranties.</w:t>
            </w:r>
            <w:r w:rsidRPr="00573CE5">
              <w:rPr>
                <w:w w:val="100"/>
                <w:sz w:val="24"/>
                <w:szCs w:val="24"/>
                <w:lang w:val="en-GB"/>
              </w:rPr>
              <w:t xml:space="preserve"> Each Party represents and warrants to the other Party that:</w:t>
            </w:r>
          </w:p>
        </w:tc>
      </w:tr>
      <w:tr w:rsidR="00C32FF1" w:rsidRPr="0031164B" w14:paraId="5EF99DFA" w14:textId="44A4B4B5" w:rsidTr="00830D19">
        <w:tc>
          <w:tcPr>
            <w:tcW w:w="2548" w:type="pct"/>
          </w:tcPr>
          <w:p w14:paraId="5209D9E9" w14:textId="77777777" w:rsidR="00C32FF1" w:rsidRPr="006D689E" w:rsidRDefault="00C32FF1" w:rsidP="00C32FF1">
            <w:pPr>
              <w:pStyle w:val="Legal1L3"/>
              <w:widowControl/>
              <w:numPr>
                <w:ilvl w:val="2"/>
                <w:numId w:val="1"/>
              </w:numPr>
              <w:adjustRightInd/>
              <w:ind w:left="0"/>
              <w:rPr>
                <w:w w:val="100"/>
              </w:rPr>
            </w:pPr>
            <w:r w:rsidRPr="006D689E">
              <w:rPr>
                <w:w w:val="100"/>
              </w:rPr>
              <w:t xml:space="preserve">je řádně organizovanou právnickou osobou, která platně existuje a má dobrou pověst podle právních předpisů jurisdikce, v níž je založena, </w:t>
            </w:r>
            <w:bookmarkStart w:id="86" w:name="_Hlk13420449"/>
            <w:r w:rsidRPr="006D689E">
              <w:rPr>
                <w:w w:val="100"/>
              </w:rPr>
              <w:t>a míst, v nichž vykonává svou činnost;</w:t>
            </w:r>
            <w:bookmarkEnd w:id="86"/>
          </w:p>
        </w:tc>
        <w:tc>
          <w:tcPr>
            <w:tcW w:w="2452" w:type="pct"/>
          </w:tcPr>
          <w:p w14:paraId="7DB54D68" w14:textId="21C3BAAF" w:rsidR="00C32FF1" w:rsidRPr="0031164B" w:rsidRDefault="00C32FF1" w:rsidP="00573CE5">
            <w:pPr>
              <w:pStyle w:val="Legal1L3"/>
              <w:widowControl/>
              <w:numPr>
                <w:ilvl w:val="2"/>
                <w:numId w:val="65"/>
              </w:numPr>
              <w:adjustRightInd/>
              <w:ind w:left="0"/>
              <w:rPr>
                <w:w w:val="100"/>
                <w:lang w:val="en-GB"/>
              </w:rPr>
            </w:pPr>
            <w:r w:rsidRPr="0031164B">
              <w:rPr>
                <w:w w:val="100"/>
                <w:lang w:val="en-GB"/>
              </w:rPr>
              <w:t>it is a duly organized legal entity, validly existing and in good standing under the laws of its jurisdiction of organization and location(s) within which it practices its business;</w:t>
            </w:r>
          </w:p>
        </w:tc>
      </w:tr>
      <w:tr w:rsidR="00C32FF1" w:rsidRPr="0031164B" w14:paraId="76236CAC" w14:textId="3052E8FC" w:rsidTr="00830D19">
        <w:tc>
          <w:tcPr>
            <w:tcW w:w="2548" w:type="pct"/>
          </w:tcPr>
          <w:p w14:paraId="292E73F6" w14:textId="77777777" w:rsidR="00C32FF1" w:rsidRPr="006D689E" w:rsidRDefault="00C32FF1" w:rsidP="00C32FF1">
            <w:pPr>
              <w:pStyle w:val="Legal1L3"/>
              <w:widowControl/>
              <w:numPr>
                <w:ilvl w:val="2"/>
                <w:numId w:val="1"/>
              </w:numPr>
              <w:adjustRightInd/>
              <w:ind w:left="0"/>
              <w:rPr>
                <w:w w:val="100"/>
              </w:rPr>
            </w:pPr>
            <w:r w:rsidRPr="006D689E">
              <w:rPr>
                <w:w w:val="100"/>
              </w:rPr>
              <w:t>není vázána žádným smluvním ani jiným závazkem nebo omezením, které by bylo v rozporu s uzavřením nebo plněním této smlouvy;</w:t>
            </w:r>
          </w:p>
        </w:tc>
        <w:tc>
          <w:tcPr>
            <w:tcW w:w="2452" w:type="pct"/>
          </w:tcPr>
          <w:p w14:paraId="77C0E382" w14:textId="6CDD8065" w:rsidR="00C32FF1" w:rsidRPr="0031164B" w:rsidRDefault="00C32FF1" w:rsidP="00573CE5">
            <w:pPr>
              <w:pStyle w:val="Legal1L3"/>
              <w:widowControl/>
              <w:numPr>
                <w:ilvl w:val="2"/>
                <w:numId w:val="66"/>
              </w:numPr>
              <w:adjustRightInd/>
              <w:ind w:left="0"/>
              <w:rPr>
                <w:w w:val="100"/>
                <w:lang w:val="en-GB"/>
              </w:rPr>
            </w:pPr>
            <w:r w:rsidRPr="0031164B">
              <w:rPr>
                <w:w w:val="100"/>
                <w:lang w:val="en-GB"/>
              </w:rPr>
              <w:t>it is under no contractual or other obligation or restriction that is inconsistent with its execution or performance of this Agreement;</w:t>
            </w:r>
          </w:p>
        </w:tc>
      </w:tr>
      <w:tr w:rsidR="00C32FF1" w:rsidRPr="0031164B" w14:paraId="320DFB13" w14:textId="149F676A" w:rsidTr="00830D19">
        <w:tc>
          <w:tcPr>
            <w:tcW w:w="2548" w:type="pct"/>
          </w:tcPr>
          <w:p w14:paraId="480CE730" w14:textId="4A538508" w:rsidR="00C32FF1" w:rsidRPr="006D689E" w:rsidRDefault="00C32FF1" w:rsidP="00C32FF1">
            <w:pPr>
              <w:pStyle w:val="Legal1L3"/>
              <w:widowControl/>
              <w:numPr>
                <w:ilvl w:val="2"/>
                <w:numId w:val="1"/>
              </w:numPr>
              <w:adjustRightInd/>
              <w:ind w:left="0"/>
              <w:rPr>
                <w:w w:val="100"/>
              </w:rPr>
            </w:pPr>
            <w:r w:rsidRPr="006D689E">
              <w:rPr>
                <w:w w:val="100"/>
              </w:rPr>
              <w:t xml:space="preserve">ani ona, </w:t>
            </w:r>
            <w:bookmarkStart w:id="87" w:name="_Hlk13420260"/>
            <w:r w:rsidRPr="006D689E">
              <w:rPr>
                <w:w w:val="100"/>
              </w:rPr>
              <w:t>ani žádný ředitel, vedoucí pracovník, zaměstnanec, schválený subdodavatel, nezávislý dodavatel, prokurista nebo jiný zástupce (dále společně jen „</w:t>
            </w:r>
            <w:r w:rsidRPr="006D689E">
              <w:rPr>
                <w:b/>
                <w:w w:val="100"/>
              </w:rPr>
              <w:t>zástupci</w:t>
            </w:r>
            <w:r w:rsidRPr="006D689E">
              <w:rPr>
                <w:w w:val="100"/>
              </w:rPr>
              <w:t xml:space="preserve">“) strany není v současné době vyloučen nebo suspendován jakýmkoli zdravotnickým orgánem z poskytování služeb společnosti, která má podanou nebo schválenou žádost o léčivo. Pokud se </w:t>
            </w:r>
            <w:r w:rsidR="001B7AAC">
              <w:rPr>
                <w:w w:val="100"/>
              </w:rPr>
              <w:t>Centrum</w:t>
            </w:r>
            <w:r w:rsidRPr="006D689E">
              <w:rPr>
                <w:w w:val="100"/>
              </w:rPr>
              <w:t xml:space="preserve"> kdykoli po uzavření této smlouvy dozví, že jemu nebo kterémukoli z jeho zástupců bylo zakázáno nebo pozastaveno poskytování služeb, neprodleně o tom informuje společnost BMS. </w:t>
            </w:r>
            <w:bookmarkEnd w:id="87"/>
          </w:p>
        </w:tc>
        <w:tc>
          <w:tcPr>
            <w:tcW w:w="2452" w:type="pct"/>
          </w:tcPr>
          <w:p w14:paraId="424F1956" w14:textId="0893A512" w:rsidR="00C32FF1" w:rsidRPr="0031164B" w:rsidRDefault="00C32FF1" w:rsidP="00573CE5">
            <w:pPr>
              <w:pStyle w:val="Legal1L3"/>
              <w:widowControl/>
              <w:numPr>
                <w:ilvl w:val="2"/>
                <w:numId w:val="67"/>
              </w:numPr>
              <w:adjustRightInd/>
              <w:ind w:left="0"/>
              <w:rPr>
                <w:w w:val="100"/>
                <w:lang w:val="en-GB"/>
              </w:rPr>
            </w:pPr>
            <w:r w:rsidRPr="0031164B">
              <w:rPr>
                <w:w w:val="100"/>
                <w:lang w:val="en-GB"/>
              </w:rPr>
              <w:t>neither it nor any director, officer, employee, Approved Subcontractor, independent contractor, agent or other representative (collectively, “</w:t>
            </w:r>
            <w:r w:rsidRPr="0031164B">
              <w:rPr>
                <w:b/>
                <w:w w:val="100"/>
                <w:lang w:val="en-GB"/>
              </w:rPr>
              <w:t>Representatives</w:t>
            </w:r>
            <w:r w:rsidRPr="0031164B">
              <w:rPr>
                <w:w w:val="100"/>
                <w:lang w:val="en-GB"/>
              </w:rPr>
              <w:t xml:space="preserve">”) of a Party is currently excluded, debarred or suspended by any health authority from providing services to a company that has a pending or approved drug application. If at any time after execution of this Agreement, Center becomes aware that it, or any of its Representatives, is in the process of being debarred or suspended, Center shall notify BMS immediately. </w:t>
            </w:r>
          </w:p>
        </w:tc>
      </w:tr>
      <w:tr w:rsidR="00C32FF1" w:rsidRPr="0031164B" w14:paraId="2530CEA0" w14:textId="60FECD32" w:rsidTr="00830D19">
        <w:tc>
          <w:tcPr>
            <w:tcW w:w="2548" w:type="pct"/>
          </w:tcPr>
          <w:p w14:paraId="5D65CB30" w14:textId="77777777" w:rsidR="00C32FF1" w:rsidRPr="006D689E" w:rsidRDefault="00C32FF1" w:rsidP="00C32FF1">
            <w:pPr>
              <w:pStyle w:val="Legal1L3"/>
              <w:widowControl/>
              <w:numPr>
                <w:ilvl w:val="2"/>
                <w:numId w:val="1"/>
              </w:numPr>
              <w:adjustRightInd/>
              <w:ind w:left="0"/>
              <w:rPr>
                <w:w w:val="100"/>
              </w:rPr>
            </w:pPr>
            <w:bookmarkStart w:id="88" w:name="_Hlk13420567"/>
            <w:r w:rsidRPr="006D689E">
              <w:rPr>
                <w:w w:val="100"/>
              </w:rPr>
              <w:t xml:space="preserve">má dostatečné vybavení a zástupce k plnění svých příslušných závazků podle této smlouvy a ona a její zástupci mají a budou mít po dobu trvání smlouvy (jak je definována níže) v plném rozsahu všechna příslušná schválení, akreditace, licence, povolení nebo registrace, které potřebuje k plnění svých příslušných závazků podle této smlouvy v zemi, kde působí, včetně těch, které jsou potřebné ke </w:t>
            </w:r>
            <w:r w:rsidRPr="006D689E">
              <w:rPr>
                <w:w w:val="100"/>
              </w:rPr>
              <w:lastRenderedPageBreak/>
              <w:t xml:space="preserve">shromažďování, označování, manipulaci a skladování nebo k předepisování, nákupu, výdeji a podávání pokročilých terapeutických léčivých přípravků (ATMP). Každá strana dále prohlašuje a zaručuje, že bude plnit své povinnosti podle této smlouvy způsobem odpovídajícím profesním standardům obecně platným pro její činnosti. Každá strana co nejdříve písemně oznámí druhé straně, pokud zjistí, že nedodržuje některá ustanovení tohoto oddílu; </w:t>
            </w:r>
          </w:p>
        </w:tc>
        <w:tc>
          <w:tcPr>
            <w:tcW w:w="2452" w:type="pct"/>
          </w:tcPr>
          <w:p w14:paraId="2A12F293" w14:textId="2330591D" w:rsidR="00C32FF1" w:rsidRPr="0031164B" w:rsidRDefault="00C32FF1" w:rsidP="00D22083">
            <w:pPr>
              <w:pStyle w:val="Legal1L3"/>
              <w:widowControl/>
              <w:numPr>
                <w:ilvl w:val="2"/>
                <w:numId w:val="68"/>
              </w:numPr>
              <w:adjustRightInd/>
              <w:ind w:left="0"/>
              <w:rPr>
                <w:w w:val="100"/>
                <w:lang w:val="en-GB"/>
              </w:rPr>
            </w:pPr>
            <w:r w:rsidRPr="0031164B">
              <w:rPr>
                <w:w w:val="100"/>
                <w:lang w:val="en-GB"/>
              </w:rPr>
              <w:lastRenderedPageBreak/>
              <w:t xml:space="preserve">it has sufficient facilities and Representatives to perform its applicable obligations under this Agreement, and it and its Representatives have, and shall maintain in full force during the Term (as defined below), all applicable approvals, accreditations, licenses, permits or registrations required by it to perform its applicable obligations under this Agreement within its country of </w:t>
            </w:r>
            <w:r w:rsidRPr="0031164B">
              <w:rPr>
                <w:w w:val="100"/>
                <w:lang w:val="en-GB"/>
              </w:rPr>
              <w:lastRenderedPageBreak/>
              <w:t xml:space="preserve">operation, including those required to collect, label, handle, and store, or to prescribe, purchase, dispense, and administer Advanced Therapeutic Medicinal Products. Furthermore, each Party represents and warrants it shall perform its obligations under this Agreement in a manner commensurate with professional standards generally applicable to its activities. Each Party shall provide written notice to the other Party as soon as possible if it becomes aware that it is not in compliance with any provisions of this section; </w:t>
            </w:r>
          </w:p>
        </w:tc>
      </w:tr>
      <w:tr w:rsidR="00C32FF1" w:rsidRPr="0031164B" w14:paraId="5866C747" w14:textId="32E0B2AD" w:rsidTr="00830D19">
        <w:tc>
          <w:tcPr>
            <w:tcW w:w="2548" w:type="pct"/>
          </w:tcPr>
          <w:p w14:paraId="5C738FF6" w14:textId="5F9EC468" w:rsidR="00C32FF1" w:rsidRPr="006D689E" w:rsidRDefault="00C32FF1" w:rsidP="00C32FF1">
            <w:pPr>
              <w:pStyle w:val="Legal1L3"/>
              <w:widowControl/>
              <w:numPr>
                <w:ilvl w:val="2"/>
                <w:numId w:val="1"/>
              </w:numPr>
              <w:adjustRightInd/>
              <w:ind w:left="0"/>
              <w:rPr>
                <w:w w:val="100"/>
              </w:rPr>
            </w:pPr>
            <w:bookmarkStart w:id="89" w:name="_Hlk13420872"/>
            <w:bookmarkEnd w:id="88"/>
            <w:r w:rsidRPr="006D689E">
              <w:rPr>
                <w:w w:val="100"/>
              </w:rPr>
              <w:lastRenderedPageBreak/>
              <w:t xml:space="preserve">závazky stran podle této smlouvy: (i) jsou bona fide, legitimní, přiměřené a nezbytné; (ii) nejsou určeny k přímému nebo nepřímému marketingu produktů; a (iii) nejsou určeny k oslabení nebo ovlivnění objektivity nebo odborného úsudku </w:t>
            </w:r>
            <w:r w:rsidR="0086664C">
              <w:rPr>
                <w:w w:val="100"/>
              </w:rPr>
              <w:t>Centra</w:t>
            </w:r>
            <w:r w:rsidRPr="006D689E">
              <w:rPr>
                <w:w w:val="100"/>
              </w:rPr>
              <w:t xml:space="preserve"> nebo jakéhokoli zdravotnického pracovníka; </w:t>
            </w:r>
          </w:p>
        </w:tc>
        <w:tc>
          <w:tcPr>
            <w:tcW w:w="2452" w:type="pct"/>
          </w:tcPr>
          <w:p w14:paraId="71337375" w14:textId="10D78282" w:rsidR="00C32FF1" w:rsidRPr="0031164B" w:rsidRDefault="00C32FF1" w:rsidP="00D22083">
            <w:pPr>
              <w:pStyle w:val="Legal1L3"/>
              <w:widowControl/>
              <w:numPr>
                <w:ilvl w:val="2"/>
                <w:numId w:val="69"/>
              </w:numPr>
              <w:adjustRightInd/>
              <w:ind w:left="0"/>
              <w:rPr>
                <w:w w:val="100"/>
                <w:lang w:val="en-GB"/>
              </w:rPr>
            </w:pPr>
            <w:r w:rsidRPr="0031164B">
              <w:rPr>
                <w:w w:val="100"/>
                <w:lang w:val="en-GB"/>
              </w:rPr>
              <w:t xml:space="preserve">the Parties’ obligations hereunder: (i) are bona fide, legitimate, reasonable, and necessary; (ii) are not intended to serve, either directly or indirectly, as a means of marketing the Products; and (iii) are not intended to diminish, or interfere with the objectivity or professional judgment of Center, or any healthcare professional; </w:t>
            </w:r>
          </w:p>
        </w:tc>
      </w:tr>
      <w:bookmarkEnd w:id="89"/>
      <w:tr w:rsidR="00C32FF1" w:rsidRPr="0031164B" w14:paraId="335CCF11" w14:textId="24E74518" w:rsidTr="00830D19">
        <w:tc>
          <w:tcPr>
            <w:tcW w:w="2548" w:type="pct"/>
          </w:tcPr>
          <w:p w14:paraId="79F7D2BE" w14:textId="77777777"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t>Prohlášení a záruky společnosti</w:t>
            </w:r>
            <w:r w:rsidRPr="006D689E">
              <w:rPr>
                <w:w w:val="100"/>
                <w:u w:val="single"/>
              </w:rPr>
              <w:t xml:space="preserve"> BMS</w:t>
            </w:r>
          </w:p>
        </w:tc>
        <w:tc>
          <w:tcPr>
            <w:tcW w:w="2452" w:type="pct"/>
          </w:tcPr>
          <w:p w14:paraId="57526669" w14:textId="36B667F4" w:rsidR="00C32FF1" w:rsidRPr="00D22083" w:rsidRDefault="00C32FF1" w:rsidP="00D22083">
            <w:pPr>
              <w:pStyle w:val="Legal1L2"/>
              <w:numPr>
                <w:ilvl w:val="1"/>
                <w:numId w:val="70"/>
              </w:numPr>
              <w:ind w:left="0" w:firstLine="180"/>
              <w:rPr>
                <w:rFonts w:eastAsia="Times New Roman"/>
                <w:w w:val="100"/>
                <w:u w:val="single"/>
                <w:lang w:val="en-GB"/>
              </w:rPr>
            </w:pPr>
            <w:r w:rsidRPr="00D22083">
              <w:rPr>
                <w:w w:val="100"/>
                <w:u w:val="single"/>
                <w:lang w:val="en-GB"/>
              </w:rPr>
              <w:t>BMS</w:t>
            </w:r>
            <w:r w:rsidRPr="00D22083">
              <w:rPr>
                <w:w w:val="100"/>
                <w:sz w:val="24"/>
                <w:szCs w:val="24"/>
                <w:u w:val="single"/>
                <w:lang w:val="en-GB"/>
              </w:rPr>
              <w:t xml:space="preserve"> Representations and Warranties</w:t>
            </w:r>
          </w:p>
        </w:tc>
      </w:tr>
      <w:tr w:rsidR="00C32FF1" w:rsidRPr="0031164B" w14:paraId="7F89E201" w14:textId="327083AF" w:rsidTr="00830D19">
        <w:tc>
          <w:tcPr>
            <w:tcW w:w="2548" w:type="pct"/>
          </w:tcPr>
          <w:p w14:paraId="0A808563" w14:textId="5BFC634F" w:rsidR="00C32FF1" w:rsidRPr="006D689E" w:rsidRDefault="00C32FF1" w:rsidP="00C32FF1">
            <w:pPr>
              <w:pStyle w:val="Legal1L3"/>
              <w:widowControl/>
              <w:numPr>
                <w:ilvl w:val="2"/>
                <w:numId w:val="1"/>
              </w:numPr>
              <w:adjustRightInd/>
              <w:ind w:left="0"/>
              <w:rPr>
                <w:w w:val="100"/>
              </w:rPr>
            </w:pPr>
            <w:r w:rsidRPr="006D689E">
              <w:rPr>
                <w:w w:val="100"/>
                <w:u w:val="single"/>
              </w:rPr>
              <w:t>Záruka na produkt.</w:t>
            </w:r>
            <w:r w:rsidRPr="006D689E">
              <w:rPr>
                <w:w w:val="100"/>
              </w:rPr>
              <w:t xml:space="preserve"> Společnost BMS prohlašuje a zaručuje, že v době odeslání do </w:t>
            </w:r>
            <w:r w:rsidR="005A5B57">
              <w:rPr>
                <w:w w:val="100"/>
              </w:rPr>
              <w:t>Centra</w:t>
            </w:r>
            <w:r w:rsidRPr="006D689E">
              <w:rPr>
                <w:w w:val="100"/>
              </w:rPr>
              <w:t xml:space="preserve"> bude produkt splňovat podmínky registrace udělené regulačním orgánem. Pokud společnost BMS zjistí, že nedodržuje ustanovení tohoto oddílu, pokud jde o výrobu produktů společností BMS, a toto nedodržení může mít dopad na kvalitu produktů, péči o pacienty nebo bezpečnost pacientů, je povinna o tom </w:t>
            </w:r>
            <w:r w:rsidR="005A5B57">
              <w:rPr>
                <w:w w:val="100"/>
              </w:rPr>
              <w:t>Centrum</w:t>
            </w:r>
            <w:r w:rsidRPr="006D689E">
              <w:rPr>
                <w:w w:val="100"/>
              </w:rPr>
              <w:t xml:space="preserve"> co nejdříve písemně informovat.</w:t>
            </w:r>
          </w:p>
        </w:tc>
        <w:tc>
          <w:tcPr>
            <w:tcW w:w="2452" w:type="pct"/>
          </w:tcPr>
          <w:p w14:paraId="2178A685" w14:textId="0EBED45C" w:rsidR="00C32FF1" w:rsidRPr="0031164B" w:rsidRDefault="00C32FF1" w:rsidP="00D22083">
            <w:pPr>
              <w:pStyle w:val="Legal1L3"/>
              <w:widowControl/>
              <w:numPr>
                <w:ilvl w:val="2"/>
                <w:numId w:val="71"/>
              </w:numPr>
              <w:adjustRightInd/>
              <w:ind w:left="0"/>
              <w:rPr>
                <w:w w:val="100"/>
                <w:u w:val="single"/>
                <w:lang w:val="en-GB"/>
              </w:rPr>
            </w:pPr>
            <w:r w:rsidRPr="0031164B">
              <w:rPr>
                <w:w w:val="100"/>
                <w:u w:val="single"/>
                <w:lang w:val="en-GB"/>
              </w:rPr>
              <w:t>Product Warranty.</w:t>
            </w:r>
            <w:r w:rsidRPr="0031164B">
              <w:rPr>
                <w:w w:val="100"/>
                <w:lang w:val="en-GB"/>
              </w:rPr>
              <w:t xml:space="preserve"> BMS represents and warrants that at the time of shipment to Center, Product will be compliant with the terms of its marketing authorization as granted by the Regulatory Authority. BMS shall provide written notice to Center as soon as possible if it becomes aware it is not in compliance with the provisions of this section, with respect to the manufacturing of the Products by BMS and such non-compliance may impact quality of the Products, patient care, or patient safety.</w:t>
            </w:r>
          </w:p>
        </w:tc>
      </w:tr>
      <w:tr w:rsidR="00C32FF1" w:rsidRPr="0031164B" w14:paraId="706D43A0" w14:textId="042B19CA" w:rsidTr="00830D19">
        <w:tc>
          <w:tcPr>
            <w:tcW w:w="2548" w:type="pct"/>
          </w:tcPr>
          <w:p w14:paraId="67B045A9" w14:textId="7C7AB060" w:rsidR="00C32FF1" w:rsidRPr="006D689E" w:rsidRDefault="00C32FF1" w:rsidP="00C32FF1">
            <w:pPr>
              <w:pStyle w:val="Legal1L3"/>
              <w:widowControl/>
              <w:numPr>
                <w:ilvl w:val="2"/>
                <w:numId w:val="1"/>
              </w:numPr>
              <w:adjustRightInd/>
              <w:ind w:left="0"/>
              <w:rPr>
                <w:w w:val="100"/>
              </w:rPr>
            </w:pPr>
            <w:r w:rsidRPr="00D21C3D">
              <w:rPr>
                <w:w w:val="100"/>
              </w:rPr>
              <w:t xml:space="preserve">Není-li v tomto oddíle stanoveno jinak, jedinou odpovědností společnosti BMS a jediným opravným prostředkem </w:t>
            </w:r>
            <w:r w:rsidR="009B6439" w:rsidRPr="00D21C3D">
              <w:rPr>
                <w:w w:val="100"/>
              </w:rPr>
              <w:t>Centra</w:t>
            </w:r>
            <w:r w:rsidRPr="00D21C3D">
              <w:rPr>
                <w:w w:val="100"/>
              </w:rPr>
              <w:t xml:space="preserve"> v případě porušení záruky na produkt je výměna vadného produktu společností BMS v souladu s podmínkami.  </w:t>
            </w:r>
          </w:p>
        </w:tc>
        <w:tc>
          <w:tcPr>
            <w:tcW w:w="2452" w:type="pct"/>
          </w:tcPr>
          <w:p w14:paraId="04891521" w14:textId="49E5834C" w:rsidR="00C32FF1" w:rsidRPr="0031164B" w:rsidRDefault="00C32FF1" w:rsidP="00D22083">
            <w:pPr>
              <w:pStyle w:val="Legal1L3"/>
              <w:widowControl/>
              <w:numPr>
                <w:ilvl w:val="2"/>
                <w:numId w:val="72"/>
              </w:numPr>
              <w:adjustRightInd/>
              <w:ind w:left="0"/>
              <w:rPr>
                <w:w w:val="100"/>
                <w:lang w:val="en-GB"/>
              </w:rPr>
            </w:pPr>
            <w:r w:rsidRPr="0031164B">
              <w:rPr>
                <w:w w:val="100"/>
                <w:lang w:val="en-GB"/>
              </w:rPr>
              <w:t xml:space="preserve">Except as otherwise set forth in this section, BMS’ sole liability and Center’s sole remedy for breach of warranty for Product shall be for BMS to replace defective Product in accordance with the Terms and Conditions.  </w:t>
            </w:r>
          </w:p>
        </w:tc>
      </w:tr>
      <w:tr w:rsidR="00C32FF1" w:rsidRPr="0031164B" w14:paraId="611E7E42" w14:textId="007DFA02" w:rsidTr="00830D19">
        <w:tc>
          <w:tcPr>
            <w:tcW w:w="2548" w:type="pct"/>
          </w:tcPr>
          <w:p w14:paraId="2AC84C29"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bookmarkStart w:id="90" w:name="_DV_M284"/>
            <w:bookmarkEnd w:id="90"/>
            <w:r w:rsidRPr="006D689E">
              <w:rPr>
                <w:b/>
                <w:u w:val="none"/>
              </w:rPr>
              <w:lastRenderedPageBreak/>
              <w:t>ZÁZNAMY, AUDITY, DODRŽOVÁNÍ PŘEDPISŮ A REGULAČNÍ ZÁLEŽITOSTI</w:t>
            </w:r>
          </w:p>
        </w:tc>
        <w:tc>
          <w:tcPr>
            <w:tcW w:w="2452" w:type="pct"/>
          </w:tcPr>
          <w:p w14:paraId="7BECC490" w14:textId="04EAC518" w:rsidR="00C32FF1" w:rsidRPr="0031164B" w:rsidRDefault="00C32FF1" w:rsidP="00D22083">
            <w:pPr>
              <w:pStyle w:val="Legal1L1"/>
              <w:widowControl/>
              <w:numPr>
                <w:ilvl w:val="0"/>
                <w:numId w:val="73"/>
              </w:numPr>
              <w:tabs>
                <w:tab w:val="left" w:pos="1620"/>
              </w:tabs>
              <w:adjustRightInd/>
              <w:ind w:left="0" w:firstLine="0"/>
              <w:outlineLvl w:val="9"/>
              <w:rPr>
                <w:b/>
                <w:u w:val="none"/>
                <w:lang w:val="en-GB"/>
              </w:rPr>
            </w:pPr>
            <w:r w:rsidRPr="0031164B">
              <w:rPr>
                <w:b/>
                <w:u w:val="none"/>
                <w:lang w:val="en-GB"/>
              </w:rPr>
              <w:t>RECORDS, AUDITS, COMPLIANCE AND REGULATORY MATTERS</w:t>
            </w:r>
          </w:p>
        </w:tc>
      </w:tr>
      <w:tr w:rsidR="00C32FF1" w:rsidRPr="0031164B" w14:paraId="1CD7A809" w14:textId="6CB2BF23" w:rsidTr="00830D19">
        <w:tc>
          <w:tcPr>
            <w:tcW w:w="2548" w:type="pct"/>
          </w:tcPr>
          <w:p w14:paraId="69DEA11C" w14:textId="5B7D122C" w:rsidR="002309D7" w:rsidRPr="002309D7" w:rsidRDefault="00852DDB" w:rsidP="00E0070F">
            <w:pPr>
              <w:pStyle w:val="Zkladntext"/>
            </w:pPr>
            <w:bookmarkStart w:id="91" w:name="_Ref_ContractCompanion_9kb9Ur14C"/>
            <w:bookmarkStart w:id="92" w:name="_Toc6234325"/>
            <w:bookmarkStart w:id="93" w:name="_Toc6234003"/>
            <w:bookmarkStart w:id="94" w:name="_Toc256000029"/>
            <w:r w:rsidRPr="009F4B25">
              <w:t xml:space="preserve">9.1 </w:t>
            </w:r>
            <w:r w:rsidR="00C32FF1" w:rsidRPr="00556954">
              <w:rPr>
                <w:u w:val="single"/>
              </w:rPr>
              <w:t>Záznamy</w:t>
            </w:r>
            <w:bookmarkStart w:id="95" w:name="_DV_M229"/>
            <w:bookmarkStart w:id="96" w:name="_DV_M230"/>
            <w:bookmarkStart w:id="97" w:name="_DV_M248"/>
            <w:bookmarkEnd w:id="91"/>
            <w:bookmarkEnd w:id="92"/>
            <w:bookmarkEnd w:id="93"/>
            <w:bookmarkEnd w:id="94"/>
            <w:bookmarkEnd w:id="95"/>
            <w:bookmarkEnd w:id="96"/>
            <w:bookmarkEnd w:id="97"/>
            <w:r w:rsidR="00C32FF1" w:rsidRPr="00556954">
              <w:rPr>
                <w:u w:val="single"/>
              </w:rPr>
              <w:t>.</w:t>
            </w:r>
            <w:r w:rsidR="00C32FF1" w:rsidRPr="006D689E">
              <w:t xml:space="preserve">  Každá strana vytváří záznamy (elektronické a/nebo písemné) </w:t>
            </w:r>
            <w:bookmarkStart w:id="98" w:name="_Hlk13421447"/>
            <w:r w:rsidR="00C32FF1" w:rsidRPr="006D689E">
              <w:t>v souvislosti s příslušným plněním nebo povinnostmi podle této smlouvy („</w:t>
            </w:r>
            <w:r w:rsidR="00C32FF1" w:rsidRPr="00556954">
              <w:rPr>
                <w:b/>
              </w:rPr>
              <w:t>záznamy</w:t>
            </w:r>
            <w:r w:rsidR="00C32FF1" w:rsidRPr="006D689E">
              <w:t>“) a uchovává je minimálně po dobu vyžadovanou příslušnými právními předpisy („</w:t>
            </w:r>
            <w:r w:rsidR="00C32FF1" w:rsidRPr="00556954">
              <w:rPr>
                <w:b/>
              </w:rPr>
              <w:t>doba uchovávání</w:t>
            </w:r>
            <w:r w:rsidR="00C32FF1" w:rsidRPr="006D689E">
              <w:t xml:space="preserve">“) nebo po dobu, kterou každá strana určí k prokázání souladu s příslušnými právními předpisy nebo povinnostmi podle této smlouvy. Záznamy se považují za důvěrné informace (jak je definováno v oddíle </w:t>
            </w:r>
            <w:r w:rsidR="00C32FF1" w:rsidRPr="006D689E">
              <w:fldChar w:fldCharType="begin" w:fldLock="1"/>
            </w:r>
            <w:r w:rsidR="00C32FF1" w:rsidRPr="006D689E">
              <w:instrText xml:space="preserve"> REF _Ref39127152 \r \h  \* MERGEFORMAT </w:instrText>
            </w:r>
            <w:r w:rsidR="00C32FF1" w:rsidRPr="006D689E">
              <w:fldChar w:fldCharType="separate"/>
            </w:r>
            <w:r w:rsidR="00816D6D">
              <w:t>11</w:t>
            </w:r>
            <w:r w:rsidR="00C32FF1" w:rsidRPr="006D689E">
              <w:fldChar w:fldCharType="end"/>
            </w:r>
            <w:r w:rsidR="00C32FF1" w:rsidRPr="006D689E">
              <w:t xml:space="preserve"> níže).  Strany na přiměřenou</w:t>
            </w:r>
            <w:r w:rsidR="0068561B">
              <w:t xml:space="preserve"> a řádně odůvodněnou</w:t>
            </w:r>
            <w:r w:rsidR="00C32FF1" w:rsidRPr="006D689E">
              <w:t xml:space="preserve"> žádost zpřístupní nebo poskytnou kopie svých záznamů druhé straně pro účely dodržování platných právních předpisů každou stranou nebo pro účely vyřizování žádostí regulačního orgánu. </w:t>
            </w:r>
            <w:bookmarkEnd w:id="98"/>
          </w:p>
        </w:tc>
        <w:tc>
          <w:tcPr>
            <w:tcW w:w="2452" w:type="pct"/>
          </w:tcPr>
          <w:p w14:paraId="205B9DCC" w14:textId="5A57129C" w:rsidR="00C32FF1" w:rsidRPr="00D22083" w:rsidRDefault="00C32FF1" w:rsidP="00D22083">
            <w:pPr>
              <w:pStyle w:val="Legal1L2"/>
              <w:numPr>
                <w:ilvl w:val="1"/>
                <w:numId w:val="74"/>
              </w:numPr>
              <w:ind w:left="0" w:firstLine="180"/>
              <w:rPr>
                <w:rFonts w:eastAsia="Times New Roman"/>
                <w:w w:val="100"/>
                <w:sz w:val="24"/>
                <w:szCs w:val="24"/>
                <w:u w:val="single"/>
                <w:lang w:val="en-GB"/>
              </w:rPr>
            </w:pPr>
            <w:r w:rsidRPr="00D22083">
              <w:rPr>
                <w:w w:val="100"/>
                <w:sz w:val="24"/>
                <w:szCs w:val="24"/>
                <w:u w:val="single"/>
                <w:lang w:val="en-GB"/>
              </w:rPr>
              <w:t>Records.</w:t>
            </w:r>
            <w:r w:rsidRPr="00D22083">
              <w:rPr>
                <w:w w:val="100"/>
                <w:sz w:val="24"/>
                <w:szCs w:val="24"/>
                <w:lang w:val="en-GB"/>
              </w:rPr>
              <w:t xml:space="preserve">  Each Party shall generate records (electronic and/or written), in connection with its applicable performance or obligations under this Agreement (the “</w:t>
            </w:r>
            <w:r w:rsidRPr="00D22083">
              <w:rPr>
                <w:b/>
                <w:w w:val="100"/>
                <w:sz w:val="24"/>
                <w:szCs w:val="24"/>
                <w:lang w:val="en-GB"/>
              </w:rPr>
              <w:t>Records</w:t>
            </w:r>
            <w:r w:rsidRPr="00D22083">
              <w:rPr>
                <w:w w:val="100"/>
                <w:sz w:val="24"/>
                <w:szCs w:val="24"/>
                <w:lang w:val="en-GB"/>
              </w:rPr>
              <w:t>”), and shall retain Records at minimum, for such periods required by Applicable Law (the “</w:t>
            </w:r>
            <w:r w:rsidRPr="00D22083">
              <w:rPr>
                <w:b/>
                <w:w w:val="100"/>
                <w:sz w:val="24"/>
                <w:szCs w:val="24"/>
                <w:lang w:val="en-GB"/>
              </w:rPr>
              <w:t>Retention Period</w:t>
            </w:r>
            <w:r w:rsidRPr="00D22083">
              <w:rPr>
                <w:w w:val="100"/>
                <w:sz w:val="24"/>
                <w:szCs w:val="24"/>
                <w:lang w:val="en-GB"/>
              </w:rPr>
              <w:t xml:space="preserve">”), or for such time as determined by each Party to demonstrate its compliance with Applicable Law or its obligations under this Agreement. Records shall be considered Confidential Information (as defined in Section </w:t>
            </w:r>
            <w:r w:rsidRPr="00D22083">
              <w:rPr>
                <w:rFonts w:eastAsia="Times New Roman"/>
                <w:w w:val="100"/>
                <w:sz w:val="24"/>
                <w:szCs w:val="24"/>
                <w:lang w:val="en-GB"/>
              </w:rPr>
              <w:fldChar w:fldCharType="begin" w:fldLock="1"/>
            </w:r>
            <w:r w:rsidRPr="00D22083">
              <w:rPr>
                <w:rFonts w:eastAsia="Times New Roman"/>
                <w:w w:val="100"/>
                <w:sz w:val="24"/>
                <w:szCs w:val="24"/>
                <w:lang w:val="en-GB"/>
              </w:rPr>
              <w:instrText xml:space="preserve"> REF _Ref39127152 \r \h  \* MERGEFORMAT </w:instrText>
            </w:r>
            <w:r w:rsidRPr="00D22083">
              <w:rPr>
                <w:rFonts w:eastAsia="Times New Roman"/>
                <w:w w:val="100"/>
                <w:sz w:val="24"/>
                <w:szCs w:val="24"/>
                <w:lang w:val="en-GB"/>
              </w:rPr>
            </w:r>
            <w:r w:rsidRPr="00D22083">
              <w:rPr>
                <w:rFonts w:eastAsia="Times New Roman"/>
                <w:w w:val="100"/>
                <w:sz w:val="24"/>
                <w:szCs w:val="24"/>
                <w:lang w:val="en-GB"/>
              </w:rPr>
              <w:fldChar w:fldCharType="separate"/>
            </w:r>
            <w:r w:rsidR="00816D6D">
              <w:rPr>
                <w:rFonts w:eastAsia="Times New Roman"/>
                <w:w w:val="100"/>
                <w:sz w:val="24"/>
                <w:szCs w:val="24"/>
                <w:lang w:val="en-GB"/>
              </w:rPr>
              <w:t>11</w:t>
            </w:r>
            <w:r w:rsidRPr="00D22083">
              <w:rPr>
                <w:rFonts w:eastAsia="Times New Roman"/>
                <w:w w:val="100"/>
                <w:sz w:val="24"/>
                <w:szCs w:val="24"/>
                <w:lang w:val="en-GB"/>
              </w:rPr>
              <w:fldChar w:fldCharType="end"/>
            </w:r>
            <w:r w:rsidRPr="00D22083">
              <w:rPr>
                <w:w w:val="100"/>
                <w:sz w:val="24"/>
                <w:szCs w:val="24"/>
                <w:lang w:val="en-GB"/>
              </w:rPr>
              <w:t xml:space="preserve"> below).  Upon reasonable request, the Parties shall make available, or provide copies of its Records to the other Party for purposes of each Party’s compliance with Applicable Law or to address requests from a Regulatory Authority. </w:t>
            </w:r>
          </w:p>
        </w:tc>
      </w:tr>
    </w:tbl>
    <w:p w14:paraId="454B5012" w14:textId="77777777" w:rsidR="006F2F7F" w:rsidRDefault="006F2F7F">
      <w:bookmarkStart w:id="99" w:name="_Ref39069727"/>
      <w: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4590"/>
      </w:tblGrid>
      <w:tr w:rsidR="00C32FF1" w:rsidRPr="0031164B" w14:paraId="395295F7" w14:textId="18856D67" w:rsidTr="00830D19">
        <w:tc>
          <w:tcPr>
            <w:tcW w:w="2548" w:type="pct"/>
          </w:tcPr>
          <w:p w14:paraId="18561439" w14:textId="71437E25"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lastRenderedPageBreak/>
              <w:t xml:space="preserve">Audity </w:t>
            </w:r>
            <w:r w:rsidR="00A04A3B">
              <w:rPr>
                <w:w w:val="100"/>
                <w:sz w:val="24"/>
                <w:szCs w:val="24"/>
                <w:u w:val="single"/>
              </w:rPr>
              <w:t>Centra</w:t>
            </w:r>
            <w:r w:rsidRPr="006D689E">
              <w:rPr>
                <w:w w:val="100"/>
                <w:sz w:val="24"/>
                <w:szCs w:val="24"/>
                <w:u w:val="single"/>
              </w:rPr>
              <w:t xml:space="preserve"> ze strany BMS.</w:t>
            </w:r>
            <w:bookmarkEnd w:id="99"/>
          </w:p>
        </w:tc>
        <w:tc>
          <w:tcPr>
            <w:tcW w:w="2452" w:type="pct"/>
          </w:tcPr>
          <w:p w14:paraId="51C2C230" w14:textId="03787696" w:rsidR="00C32FF1" w:rsidRPr="00D22083" w:rsidRDefault="00C32FF1" w:rsidP="00D22083">
            <w:pPr>
              <w:pStyle w:val="Legal1L2"/>
              <w:numPr>
                <w:ilvl w:val="1"/>
                <w:numId w:val="75"/>
              </w:numPr>
              <w:rPr>
                <w:rFonts w:eastAsia="Times New Roman"/>
                <w:w w:val="100"/>
                <w:u w:val="single"/>
                <w:lang w:val="en-GB"/>
              </w:rPr>
            </w:pPr>
            <w:r w:rsidRPr="00D22083">
              <w:rPr>
                <w:w w:val="100"/>
                <w:u w:val="single"/>
                <w:lang w:val="en-GB"/>
              </w:rPr>
              <w:t>BMS</w:t>
            </w:r>
            <w:r w:rsidRPr="00D22083">
              <w:rPr>
                <w:w w:val="100"/>
                <w:sz w:val="24"/>
                <w:szCs w:val="24"/>
                <w:u w:val="single"/>
                <w:lang w:val="en-GB"/>
              </w:rPr>
              <w:t xml:space="preserve"> audits of Center.</w:t>
            </w:r>
          </w:p>
        </w:tc>
      </w:tr>
      <w:tr w:rsidR="00D22083" w:rsidRPr="0031164B" w14:paraId="0667A9EA" w14:textId="2467E37E" w:rsidTr="00830D19">
        <w:trPr>
          <w:trHeight w:val="10139"/>
        </w:trPr>
        <w:tc>
          <w:tcPr>
            <w:tcW w:w="2548" w:type="pct"/>
          </w:tcPr>
          <w:p w14:paraId="0AE54BCF" w14:textId="00D6B5DD" w:rsidR="00D22083" w:rsidRPr="006D689E" w:rsidRDefault="00D22083" w:rsidP="00C32FF1">
            <w:pPr>
              <w:pStyle w:val="Legal1L3"/>
              <w:widowControl/>
              <w:numPr>
                <w:ilvl w:val="2"/>
                <w:numId w:val="1"/>
              </w:numPr>
              <w:adjustRightInd/>
              <w:ind w:left="0"/>
              <w:rPr>
                <w:w w:val="100"/>
              </w:rPr>
            </w:pPr>
            <w:r w:rsidRPr="006D689E">
              <w:rPr>
                <w:w w:val="100"/>
                <w:u w:val="single"/>
              </w:rPr>
              <w:t>Obecné podmínky kontrol.</w:t>
            </w:r>
            <w:r w:rsidRPr="006D689E">
              <w:rPr>
                <w:w w:val="100"/>
              </w:rPr>
              <w:t xml:space="preserve"> </w:t>
            </w:r>
            <w:bookmarkStart w:id="100" w:name="_Hlk13421580"/>
            <w:r w:rsidRPr="006D689E">
              <w:rPr>
                <w:w w:val="100"/>
              </w:rPr>
              <w:t xml:space="preserve">Společnost BMS (nebo její zástupci či zmocněnci) má právo po předchozím </w:t>
            </w:r>
            <w:r w:rsidR="00915ED1">
              <w:rPr>
                <w:w w:val="100"/>
              </w:rPr>
              <w:t>důvodném</w:t>
            </w:r>
            <w:r w:rsidR="00915ED1" w:rsidRPr="006D689E">
              <w:rPr>
                <w:w w:val="100"/>
              </w:rPr>
              <w:t xml:space="preserve"> </w:t>
            </w:r>
            <w:r w:rsidRPr="006D689E">
              <w:rPr>
                <w:w w:val="100"/>
              </w:rPr>
              <w:t xml:space="preserve">oznámení </w:t>
            </w:r>
            <w:r w:rsidR="006747A9">
              <w:rPr>
                <w:w w:val="100"/>
              </w:rPr>
              <w:t>Centru</w:t>
            </w:r>
            <w:r w:rsidRPr="006D689E">
              <w:rPr>
                <w:w w:val="100"/>
              </w:rPr>
              <w:t xml:space="preserve"> pravidelně kontrolovat </w:t>
            </w:r>
            <w:r w:rsidR="006747A9">
              <w:rPr>
                <w:w w:val="100"/>
              </w:rPr>
              <w:t>Centrum</w:t>
            </w:r>
            <w:r w:rsidRPr="006D689E">
              <w:rPr>
                <w:w w:val="100"/>
              </w:rPr>
              <w:t xml:space="preserve">, a to ve vzájemně dohodnutých termínech v běžné pracovní době, po dobu platnosti této smlouvy (jak je definováno v níže uvedeném oddíle </w:t>
            </w:r>
            <w:r w:rsidRPr="006D689E">
              <w:rPr>
                <w:w w:val="100"/>
              </w:rPr>
              <w:fldChar w:fldCharType="begin" w:fldLock="1"/>
            </w:r>
            <w:r w:rsidRPr="006D689E">
              <w:rPr>
                <w:w w:val="100"/>
              </w:rPr>
              <w:instrText xml:space="preserve"> REF _Ref39069941 \r \h  \* MERGEFORMAT </w:instrText>
            </w:r>
            <w:r w:rsidRPr="006D689E">
              <w:rPr>
                <w:w w:val="100"/>
              </w:rPr>
            </w:r>
            <w:r w:rsidRPr="006D689E">
              <w:rPr>
                <w:w w:val="100"/>
              </w:rPr>
              <w:fldChar w:fldCharType="separate"/>
            </w:r>
            <w:r w:rsidR="00816D6D">
              <w:rPr>
                <w:w w:val="100"/>
              </w:rPr>
              <w:t>12.1</w:t>
            </w:r>
            <w:r w:rsidRPr="006D689E">
              <w:rPr>
                <w:w w:val="100"/>
              </w:rPr>
              <w:fldChar w:fldCharType="end"/>
            </w:r>
            <w:r w:rsidRPr="006D689E">
              <w:rPr>
                <w:w w:val="100"/>
              </w:rPr>
              <w:t xml:space="preserve">) a po dobu tří (3) let poté, aby vyhodnotila, zda </w:t>
            </w:r>
            <w:r w:rsidR="00B6425F">
              <w:rPr>
                <w:w w:val="100"/>
              </w:rPr>
              <w:t>Centrum</w:t>
            </w:r>
            <w:r w:rsidRPr="006D689E">
              <w:rPr>
                <w:w w:val="100"/>
              </w:rPr>
              <w:t xml:space="preserve"> trvale plní své povinnosti spojené se statusem kvalifikovaného </w:t>
            </w:r>
            <w:r w:rsidR="00B6425F">
              <w:rPr>
                <w:w w:val="100"/>
              </w:rPr>
              <w:t>centra</w:t>
            </w:r>
            <w:r w:rsidRPr="006D689E">
              <w:rPr>
                <w:w w:val="100"/>
              </w:rPr>
              <w:t xml:space="preserve">. </w:t>
            </w:r>
            <w:r w:rsidR="00B6425F">
              <w:rPr>
                <w:w w:val="100"/>
              </w:rPr>
              <w:t>Centrum</w:t>
            </w:r>
            <w:r w:rsidRPr="006D689E">
              <w:rPr>
                <w:w w:val="100"/>
              </w:rPr>
              <w:t xml:space="preserve"> nebude vyžadovat, aby společnost BMS (nebo její zástupci či pověřené osoby provádějící takové audity) uzavírala další dohody o mlčenlivosti nebo důvěrnosti za účelem provedení takové kontroly či kontrol.  Během každé takové kontroly nebo na </w:t>
            </w:r>
            <w:r w:rsidR="00C5263C">
              <w:rPr>
                <w:w w:val="100"/>
              </w:rPr>
              <w:t>důvodnou</w:t>
            </w:r>
            <w:r w:rsidRPr="006D689E">
              <w:rPr>
                <w:w w:val="100"/>
              </w:rPr>
              <w:t xml:space="preserve"> žádost společnosti BMS zpřístupní </w:t>
            </w:r>
            <w:r w:rsidR="00C5263C">
              <w:rPr>
                <w:w w:val="100"/>
              </w:rPr>
              <w:t>Centrum</w:t>
            </w:r>
            <w:r w:rsidRPr="006D689E">
              <w:rPr>
                <w:w w:val="100"/>
              </w:rPr>
              <w:t xml:space="preserve"> společnosti BMS (nebo jejím zástupcům či pověřeným osobám) své záznamy týkající se produktů, jejího plnění nebo povinností podle této smlouvy.  Společnost BMS poskytne </w:t>
            </w:r>
            <w:r w:rsidR="00D221F8">
              <w:rPr>
                <w:w w:val="100"/>
              </w:rPr>
              <w:t>Centru</w:t>
            </w:r>
            <w:r w:rsidRPr="006D689E">
              <w:rPr>
                <w:w w:val="100"/>
              </w:rPr>
              <w:t xml:space="preserve"> písemné shrnutí svých auditních zjištění. Pokud společnost BMS během těchto auditů zjistí jakékoli smluvní nedostatky nebo nedostatky v dodržování předpisů, přijme </w:t>
            </w:r>
            <w:r w:rsidR="00D221F8">
              <w:rPr>
                <w:w w:val="100"/>
              </w:rPr>
              <w:t>Centrum</w:t>
            </w:r>
            <w:r w:rsidRPr="006D689E">
              <w:rPr>
                <w:w w:val="100"/>
              </w:rPr>
              <w:t xml:space="preserve"> na vlastní náklady opatření a řešení přijatelné pro společnost BMS (toto přijetí nelze bezdůvodně odepřít).  Každá strana nese své vlastní náklady spojené s těmito audity a řešením nedostatků.</w:t>
            </w:r>
          </w:p>
          <w:bookmarkEnd w:id="100"/>
          <w:p w14:paraId="304FF49B" w14:textId="1615D2F4" w:rsidR="005F4D6A" w:rsidRPr="005F4D6A" w:rsidRDefault="00852DDB" w:rsidP="005F4D6A">
            <w:pPr>
              <w:pStyle w:val="Zkladntext"/>
            </w:pPr>
            <w:r>
              <w:rPr>
                <w:u w:val="single"/>
              </w:rPr>
              <w:t xml:space="preserve">(b) </w:t>
            </w:r>
            <w:r w:rsidR="00D22083" w:rsidRPr="004C5D36">
              <w:rPr>
                <w:u w:val="single"/>
              </w:rPr>
              <w:t>Audit dohledu nad aferézními službami.</w:t>
            </w:r>
            <w:r w:rsidR="00D22083" w:rsidRPr="006D689E">
              <w:t xml:space="preserve">  </w:t>
            </w:r>
            <w:bookmarkStart w:id="101" w:name="_Hlk13421824"/>
            <w:r w:rsidR="00D22083" w:rsidRPr="006D689E">
              <w:t xml:space="preserve">Audit dohledu k posouzení toho, zda </w:t>
            </w:r>
            <w:r w:rsidR="0016196E">
              <w:t>Centrum</w:t>
            </w:r>
            <w:r w:rsidR="00D22083" w:rsidRPr="006D689E">
              <w:t xml:space="preserve"> splňuje požadavky na aferézy, provádí společnost BMS, jak je stanoveno ve smlouvě o kvalitě. </w:t>
            </w:r>
            <w:bookmarkEnd w:id="101"/>
          </w:p>
        </w:tc>
        <w:tc>
          <w:tcPr>
            <w:tcW w:w="2452" w:type="pct"/>
          </w:tcPr>
          <w:p w14:paraId="3600CBBA" w14:textId="1658B8E9" w:rsidR="00D22083" w:rsidRPr="0031164B" w:rsidRDefault="00D22083" w:rsidP="00D22083">
            <w:pPr>
              <w:pStyle w:val="Legal1L3"/>
              <w:widowControl/>
              <w:numPr>
                <w:ilvl w:val="2"/>
                <w:numId w:val="76"/>
              </w:numPr>
              <w:adjustRightInd/>
              <w:ind w:left="0"/>
              <w:rPr>
                <w:w w:val="100"/>
                <w:u w:val="single"/>
                <w:lang w:val="en-GB"/>
              </w:rPr>
            </w:pPr>
            <w:r w:rsidRPr="0031164B">
              <w:rPr>
                <w:w w:val="100"/>
                <w:u w:val="single"/>
                <w:lang w:val="en-GB"/>
              </w:rPr>
              <w:t>General Audit Terms</w:t>
            </w:r>
            <w:r w:rsidRPr="0031164B">
              <w:rPr>
                <w:w w:val="100"/>
                <w:lang w:val="en-GB"/>
              </w:rPr>
              <w:t xml:space="preserve">. Upon prior reasonable notice to Center, BMS (or its agents or designees) shall have the right to periodically inspect Center, at mutually agreed upon times during regular business hours, during the Term of this Agreement (as defined in Section </w:t>
            </w:r>
            <w:r w:rsidRPr="0031164B">
              <w:rPr>
                <w:w w:val="100"/>
                <w:lang w:val="en-GB"/>
              </w:rPr>
              <w:fldChar w:fldCharType="begin" w:fldLock="1"/>
            </w:r>
            <w:r w:rsidRPr="0031164B">
              <w:rPr>
                <w:w w:val="100"/>
                <w:lang w:val="en-GB"/>
              </w:rPr>
              <w:instrText xml:space="preserve"> REF _Ref39069941 \r \h  \* MERGEFORMAT </w:instrText>
            </w:r>
            <w:r w:rsidRPr="0031164B">
              <w:rPr>
                <w:w w:val="100"/>
                <w:lang w:val="en-GB"/>
              </w:rPr>
            </w:r>
            <w:r w:rsidRPr="0031164B">
              <w:rPr>
                <w:w w:val="100"/>
                <w:lang w:val="en-GB"/>
              </w:rPr>
              <w:fldChar w:fldCharType="separate"/>
            </w:r>
            <w:r w:rsidR="00816D6D">
              <w:rPr>
                <w:w w:val="100"/>
                <w:lang w:val="en-GB"/>
              </w:rPr>
              <w:t>12.1</w:t>
            </w:r>
            <w:r w:rsidRPr="0031164B">
              <w:rPr>
                <w:w w:val="100"/>
                <w:lang w:val="en-GB"/>
              </w:rPr>
              <w:fldChar w:fldCharType="end"/>
            </w:r>
            <w:r w:rsidRPr="0031164B">
              <w:rPr>
                <w:w w:val="100"/>
                <w:lang w:val="en-GB"/>
              </w:rPr>
              <w:t xml:space="preserve"> below) and for a period of three (3) years thereafter to evaluate Center’s ongoing compliance with its obligations to be a Qualified Center. Center shall not require BMS (or its agents or designees performing such audits) to execute any additional non-disclosure or confidentiality agreements to conduct such inspection(s).  During any such inspection or upon BMS’ reasonable request, Center shall make available its Records applicable to Products, its performance, or obligations under this Agreement to BMS (or its agents or designees).  BMS shall provide Center a summary of its audit findings in writing. If BMS finds any contractual or compliance deficiencies during such audits, Center, at its sole cost, shall take a course of action and resolution acceptable to BMS (such acceptance shall not be unreasonably withheld).  Each Party shall bear its own costs pertaining to such audits and addressing deficiencies.</w:t>
            </w:r>
          </w:p>
          <w:p w14:paraId="408F201B" w14:textId="57947D5A" w:rsidR="00D22083" w:rsidRPr="0031164B" w:rsidRDefault="00D22083" w:rsidP="00C32FF1">
            <w:pPr>
              <w:pStyle w:val="Legal1L3"/>
              <w:numPr>
                <w:ilvl w:val="2"/>
                <w:numId w:val="1"/>
              </w:numPr>
              <w:ind w:left="0"/>
              <w:rPr>
                <w:w w:val="100"/>
                <w:u w:val="single"/>
                <w:lang w:val="en-GB"/>
              </w:rPr>
            </w:pPr>
            <w:r w:rsidRPr="0031164B">
              <w:rPr>
                <w:w w:val="100"/>
                <w:u w:val="single"/>
                <w:lang w:val="en-GB"/>
              </w:rPr>
              <w:t>Apheresis Services Surveillance Audit</w:t>
            </w:r>
            <w:r w:rsidRPr="0031164B">
              <w:rPr>
                <w:w w:val="100"/>
                <w:lang w:val="en-GB"/>
              </w:rPr>
              <w:t xml:space="preserve">.  Surveillance auditing to assess Center’s compliance with Apheresis Services requirements shall be conducted by BMS as set forth in the Quality Agreement. </w:t>
            </w:r>
          </w:p>
        </w:tc>
      </w:tr>
    </w:tbl>
    <w:p w14:paraId="044B3181" w14:textId="77777777" w:rsidR="006F2F7F" w:rsidRDefault="006F2F7F">
      <w:bookmarkStart w:id="102" w:name="_Toc6234326"/>
      <w:bookmarkStart w:id="103" w:name="_Toc6234004"/>
      <w:bookmarkStart w:id="104" w:name="_Toc256000030"/>
      <w: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4590"/>
      </w:tblGrid>
      <w:tr w:rsidR="00C32FF1" w:rsidRPr="0031164B" w14:paraId="5279179C" w14:textId="34248E76" w:rsidTr="00830D19">
        <w:tc>
          <w:tcPr>
            <w:tcW w:w="2548" w:type="pct"/>
          </w:tcPr>
          <w:p w14:paraId="1ABFFDD2" w14:textId="1D594224"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lastRenderedPageBreak/>
              <w:t>Audity regulačních orgánů a komunikace</w:t>
            </w:r>
            <w:bookmarkEnd w:id="102"/>
            <w:bookmarkEnd w:id="103"/>
            <w:bookmarkEnd w:id="104"/>
          </w:p>
        </w:tc>
        <w:tc>
          <w:tcPr>
            <w:tcW w:w="2452" w:type="pct"/>
          </w:tcPr>
          <w:p w14:paraId="797A236C" w14:textId="7E0D83A5" w:rsidR="00C32FF1" w:rsidRPr="00D22083" w:rsidRDefault="00C32FF1" w:rsidP="00D22083">
            <w:pPr>
              <w:pStyle w:val="Legal1L2"/>
              <w:numPr>
                <w:ilvl w:val="1"/>
                <w:numId w:val="77"/>
              </w:numPr>
              <w:ind w:left="0" w:firstLine="180"/>
              <w:rPr>
                <w:rFonts w:eastAsia="Times New Roman"/>
                <w:w w:val="100"/>
                <w:sz w:val="24"/>
                <w:szCs w:val="24"/>
                <w:u w:val="single"/>
                <w:lang w:val="en-GB"/>
              </w:rPr>
            </w:pPr>
            <w:r w:rsidRPr="00D22083">
              <w:rPr>
                <w:w w:val="100"/>
                <w:sz w:val="24"/>
                <w:szCs w:val="24"/>
                <w:u w:val="single"/>
                <w:lang w:val="en-GB"/>
              </w:rPr>
              <w:t>Regulatory Authority Audits and Communications</w:t>
            </w:r>
          </w:p>
        </w:tc>
      </w:tr>
      <w:tr w:rsidR="00D22083" w:rsidRPr="0031164B" w14:paraId="2BEA469C" w14:textId="74C1592C" w:rsidTr="00830D19">
        <w:trPr>
          <w:trHeight w:val="12071"/>
        </w:trPr>
        <w:tc>
          <w:tcPr>
            <w:tcW w:w="2548" w:type="pct"/>
          </w:tcPr>
          <w:p w14:paraId="21569D88" w14:textId="57A4F2D6" w:rsidR="00D22083" w:rsidRPr="006D689E" w:rsidRDefault="00D22083" w:rsidP="00C32FF1">
            <w:pPr>
              <w:pStyle w:val="Legal1L3"/>
              <w:widowControl/>
              <w:numPr>
                <w:ilvl w:val="2"/>
                <w:numId w:val="1"/>
              </w:numPr>
              <w:adjustRightInd/>
              <w:ind w:left="0"/>
              <w:rPr>
                <w:w w:val="100"/>
              </w:rPr>
            </w:pPr>
            <w:r w:rsidRPr="006D689E">
              <w:rPr>
                <w:w w:val="100"/>
                <w:u w:val="single"/>
              </w:rPr>
              <w:t>Audity regulačních orgánů.</w:t>
            </w:r>
            <w:r w:rsidRPr="006D689E">
              <w:rPr>
                <w:w w:val="100"/>
              </w:rPr>
              <w:t xml:space="preserve">  </w:t>
            </w:r>
            <w:r w:rsidR="00863762">
              <w:rPr>
                <w:w w:val="100"/>
              </w:rPr>
              <w:t>Centrum</w:t>
            </w:r>
            <w:r w:rsidRPr="006D689E">
              <w:rPr>
                <w:w w:val="100"/>
              </w:rPr>
              <w:t xml:space="preserve"> neprodleně informuje společnost BMS o obdržení oznámení jakéhokoli regulačního orgánu o provedení auditu </w:t>
            </w:r>
            <w:r w:rsidR="00CD4393">
              <w:rPr>
                <w:w w:val="100"/>
              </w:rPr>
              <w:t>Centra</w:t>
            </w:r>
            <w:r w:rsidRPr="006D689E">
              <w:rPr>
                <w:w w:val="100"/>
              </w:rPr>
              <w:t xml:space="preserve"> v souvislosti s produktem nebo s poskytováním aferézních služeb podle této smlouvy. Pokud to není zakázáno platnými právními předpisy nebo regulačním orgánem, má společnost BMS právo být přítomna prostřednictvím zaměstnanců a/nebo zástupců při každé takové kontrole a </w:t>
            </w:r>
            <w:r w:rsidR="00CD4393">
              <w:rPr>
                <w:w w:val="100"/>
              </w:rPr>
              <w:t>Centrum</w:t>
            </w:r>
            <w:r w:rsidRPr="006D689E">
              <w:rPr>
                <w:w w:val="100"/>
              </w:rPr>
              <w:t xml:space="preserve"> neprodleně poskytne společnosti BMS kopie veškeré korespondence mezi </w:t>
            </w:r>
            <w:r w:rsidR="00D505BE">
              <w:rPr>
                <w:w w:val="100"/>
              </w:rPr>
              <w:t>Centrem</w:t>
            </w:r>
            <w:r w:rsidRPr="006D689E">
              <w:rPr>
                <w:w w:val="100"/>
              </w:rPr>
              <w:t xml:space="preserve"> a regulačním orgánem týkající se takových kontrol.  </w:t>
            </w:r>
            <w:r w:rsidR="00D505BE">
              <w:rPr>
                <w:w w:val="100"/>
              </w:rPr>
              <w:t>Centrum</w:t>
            </w:r>
            <w:r w:rsidRPr="006D689E">
              <w:rPr>
                <w:w w:val="100"/>
              </w:rPr>
              <w:t xml:space="preserve"> bude odpovědné za nápravu jakýchkoli nedostatků zjištěných při jakékoli kontrole zařízení </w:t>
            </w:r>
            <w:r w:rsidR="003A4A29">
              <w:rPr>
                <w:w w:val="100"/>
              </w:rPr>
              <w:t>Centra</w:t>
            </w:r>
            <w:r w:rsidRPr="006D689E">
              <w:rPr>
                <w:w w:val="100"/>
              </w:rPr>
              <w:t xml:space="preserve"> v souvislosti s produkty, kterou provede jakýkoli regulační orgán, a to na náklady </w:t>
            </w:r>
            <w:r w:rsidR="00CC6CA8">
              <w:rPr>
                <w:w w:val="100"/>
              </w:rPr>
              <w:t>Centra</w:t>
            </w:r>
            <w:r w:rsidRPr="006D689E">
              <w:rPr>
                <w:w w:val="100"/>
              </w:rPr>
              <w:t xml:space="preserve">.  </w:t>
            </w:r>
          </w:p>
          <w:p w14:paraId="0A8BAFF7" w14:textId="152127B0" w:rsidR="00D22083" w:rsidRPr="006D689E" w:rsidRDefault="00D22083" w:rsidP="00C32FF1">
            <w:pPr>
              <w:pStyle w:val="Legal1L3"/>
              <w:numPr>
                <w:ilvl w:val="2"/>
                <w:numId w:val="1"/>
              </w:numPr>
              <w:ind w:left="0"/>
              <w:rPr>
                <w:w w:val="100"/>
              </w:rPr>
            </w:pPr>
            <w:r w:rsidRPr="006D689E">
              <w:rPr>
                <w:w w:val="100"/>
                <w:u w:val="single"/>
              </w:rPr>
              <w:t>Komunikace s regulačními orgány.</w:t>
            </w:r>
            <w:r w:rsidRPr="006D689E">
              <w:rPr>
                <w:w w:val="100"/>
              </w:rPr>
              <w:t xml:space="preserve">  S výjimkou auditů prováděných regulačním orgánem v </w:t>
            </w:r>
            <w:r w:rsidR="00152201">
              <w:rPr>
                <w:w w:val="100"/>
              </w:rPr>
              <w:t>Centru</w:t>
            </w:r>
            <w:r w:rsidRPr="006D689E">
              <w:rPr>
                <w:w w:val="100"/>
              </w:rPr>
              <w:t xml:space="preserve"> nebo na základě povolení společnosti BMS je společnost BMS výhradně odpovědná za (a) veškeré kontakty a komunikaci s jakýmikoliv regulačními orgány v záležitostech týkajících se produktů a (b) dodržování všech požadavků EU a příslušných vnitrostátních regulačních předpisů týkajících se přijímání, přezkoumávání, vyhodnocování a případně vyšetřování všech stížností obdržených v souvislosti s produkty.  </w:t>
            </w:r>
            <w:r w:rsidR="00631E42">
              <w:rPr>
                <w:w w:val="100"/>
              </w:rPr>
              <w:t>Centrum</w:t>
            </w:r>
            <w:r w:rsidRPr="006D689E">
              <w:rPr>
                <w:w w:val="100"/>
              </w:rPr>
              <w:t xml:space="preserve"> poskytne společnosti BMS veškerou přiměřenou pomoc, o kterou společnost BMS požádá, při vyšetřování všech stížností obdržených v souvislosti s produkty, pokud tyto stížnosti mohly vzniknout v důsledku produktů poskytnutých </w:t>
            </w:r>
            <w:r w:rsidR="000813E9">
              <w:rPr>
                <w:w w:val="100"/>
              </w:rPr>
              <w:t>Centru</w:t>
            </w:r>
            <w:r w:rsidRPr="006D689E">
              <w:rPr>
                <w:w w:val="100"/>
              </w:rPr>
              <w:t xml:space="preserve"> nebo aferézních služeb prováděných </w:t>
            </w:r>
            <w:r w:rsidR="000813E9">
              <w:rPr>
                <w:w w:val="100"/>
              </w:rPr>
              <w:t>Centrem</w:t>
            </w:r>
            <w:r w:rsidRPr="006D689E">
              <w:rPr>
                <w:w w:val="100"/>
              </w:rPr>
              <w:t>, nebo poskytne společnosti BMS veškeré informace na podporu jejích případných podání v reakci na dotazy regulačních orgánů týkající se produktů.</w:t>
            </w:r>
          </w:p>
        </w:tc>
        <w:tc>
          <w:tcPr>
            <w:tcW w:w="2452" w:type="pct"/>
          </w:tcPr>
          <w:p w14:paraId="1DDE4DEE" w14:textId="77777777" w:rsidR="00D22083" w:rsidRPr="0031164B" w:rsidRDefault="00D22083" w:rsidP="00D22083">
            <w:pPr>
              <w:pStyle w:val="Legal1L3"/>
              <w:widowControl/>
              <w:numPr>
                <w:ilvl w:val="2"/>
                <w:numId w:val="78"/>
              </w:numPr>
              <w:adjustRightInd/>
              <w:ind w:left="-10"/>
              <w:rPr>
                <w:w w:val="100"/>
                <w:u w:val="single"/>
                <w:lang w:val="en-GB"/>
              </w:rPr>
            </w:pPr>
            <w:r w:rsidRPr="0031164B">
              <w:rPr>
                <w:w w:val="100"/>
                <w:u w:val="single"/>
                <w:lang w:val="en-GB"/>
              </w:rPr>
              <w:t>Regulatory Authority Audits</w:t>
            </w:r>
            <w:r w:rsidRPr="0031164B">
              <w:rPr>
                <w:w w:val="100"/>
                <w:lang w:val="en-GB"/>
              </w:rPr>
              <w:t xml:space="preserve">.  Center shall promptly notify BMS upon receipt of notice by any Regulatory Authority to conduct an audit of Center related to Product or to its conduct of Apheresis Services hereunder. Where not prohibited by Applicable Law or the Regulatory Authority, BMS shall have the right to have an employee and/or agent present at any such inspection, and Center shall promptly provide BMS copies of any correspondence between Center and the Regulatory authority related to such audits.  Center will be responsible for correcting any deficiencies identified in any inspection of the Center’s facilities with respect to the Products conducted by any Regulatory Authority, at the cost of Center.  </w:t>
            </w:r>
          </w:p>
          <w:p w14:paraId="3886D9C8" w14:textId="249DAB19" w:rsidR="00D22083" w:rsidRPr="0031164B" w:rsidRDefault="00D22083" w:rsidP="00C32FF1">
            <w:pPr>
              <w:pStyle w:val="Legal1L3"/>
              <w:numPr>
                <w:ilvl w:val="2"/>
                <w:numId w:val="1"/>
              </w:numPr>
              <w:ind w:left="0"/>
              <w:rPr>
                <w:w w:val="100"/>
                <w:u w:val="single"/>
                <w:lang w:val="en-GB"/>
              </w:rPr>
            </w:pPr>
            <w:r w:rsidRPr="0031164B">
              <w:rPr>
                <w:w w:val="100"/>
                <w:u w:val="single"/>
                <w:lang w:val="en-GB"/>
              </w:rPr>
              <w:t>Regulatory Authorit Communications</w:t>
            </w:r>
            <w:r w:rsidRPr="0031164B">
              <w:rPr>
                <w:w w:val="100"/>
                <w:lang w:val="en-GB"/>
              </w:rPr>
              <w:t>.  Except for audits a Regulatory Authority conducts at Center or as allowed by BMS, BMS will be solely responsible for (a) all contacts and communications with any Regulatory Authorities with respect to matters relating to the Products, and (b) complying with all EU and applicable national regulatory requirements relating to the receipt, review, evaluation, and where applicable, investigation of all complaints received relating to the Products.  Center shall provide all reasonable assistance requested by BMS in the investigation of all complaints received relating to the Products to the extent that such complaints may have arisen from Product provided to Center or Apheresis Services conducted by Center or provide BMS any information in support of its filings, if any, in response to questions from Regulatory Authorities, concerning the Products.</w:t>
            </w:r>
          </w:p>
        </w:tc>
      </w:tr>
      <w:tr w:rsidR="00C32FF1" w:rsidRPr="0031164B" w14:paraId="596DD542" w14:textId="6F9F19AC" w:rsidTr="00830D19">
        <w:tc>
          <w:tcPr>
            <w:tcW w:w="2548" w:type="pct"/>
          </w:tcPr>
          <w:p w14:paraId="431A0CE7" w14:textId="427D42FE" w:rsidR="00C32FF1" w:rsidRPr="006D689E" w:rsidRDefault="00C32FF1" w:rsidP="00C32FF1">
            <w:pPr>
              <w:pStyle w:val="Legal1L2"/>
              <w:ind w:left="0" w:firstLine="180"/>
              <w:rPr>
                <w:w w:val="100"/>
                <w:u w:val="single"/>
              </w:rPr>
            </w:pPr>
            <w:bookmarkStart w:id="105" w:name="_Hlk12293664"/>
            <w:bookmarkStart w:id="106" w:name="_Ref_ContractCompanion_9kb9Ur155"/>
            <w:bookmarkStart w:id="107" w:name="_Toc6234328"/>
            <w:bookmarkStart w:id="108" w:name="_Toc6234006"/>
            <w:bookmarkStart w:id="109" w:name="_Toc256000032"/>
            <w:r w:rsidRPr="006D689E">
              <w:rPr>
                <w:w w:val="100"/>
                <w:sz w:val="24"/>
                <w:szCs w:val="24"/>
                <w:u w:val="single"/>
              </w:rPr>
              <w:lastRenderedPageBreak/>
              <w:t>Požadavky na program minimalizace rizik:</w:t>
            </w:r>
            <w:r w:rsidRPr="006D689E">
              <w:rPr>
                <w:w w:val="100"/>
                <w:sz w:val="24"/>
                <w:szCs w:val="24"/>
              </w:rPr>
              <w:t xml:space="preserve"> </w:t>
            </w:r>
            <w:r w:rsidR="00ED7AAE">
              <w:rPr>
                <w:w w:val="100"/>
                <w:sz w:val="24"/>
                <w:szCs w:val="24"/>
              </w:rPr>
              <w:t>Centrum</w:t>
            </w:r>
            <w:r w:rsidRPr="006D689E">
              <w:rPr>
                <w:w w:val="100"/>
                <w:sz w:val="24"/>
                <w:szCs w:val="24"/>
              </w:rPr>
              <w:t xml:space="preserve"> vykonává činnosti a související povinnosti, mimo jiné včetně stanovení povinnosti hlásit a předkládat nežádoucí příhody, které se vyskytly během aferézy, příslušným orgánům v souladu s platnými vnitrostátními právními předpisy o vigilanc</w:t>
            </w:r>
            <w:r w:rsidR="00355A80">
              <w:rPr>
                <w:w w:val="100"/>
                <w:sz w:val="24"/>
                <w:szCs w:val="24"/>
              </w:rPr>
              <w:t>í</w:t>
            </w:r>
            <w:r w:rsidRPr="006D689E">
              <w:rPr>
                <w:w w:val="100"/>
                <w:sz w:val="24"/>
                <w:szCs w:val="24"/>
              </w:rPr>
              <w:t xml:space="preserve">. V případě, že </w:t>
            </w:r>
            <w:r w:rsidR="00355A80">
              <w:rPr>
                <w:w w:val="100"/>
                <w:sz w:val="24"/>
                <w:szCs w:val="24"/>
              </w:rPr>
              <w:t>Centrum</w:t>
            </w:r>
            <w:r w:rsidRPr="006D689E">
              <w:rPr>
                <w:w w:val="100"/>
                <w:sz w:val="24"/>
                <w:szCs w:val="24"/>
              </w:rPr>
              <w:t xml:space="preserve"> obdrží oznámení o nežádoucí příhodě týkající se léčivého přípravku společnosti Bristol-Myers Squibb, bude o tom neprodleně informovat společnost Bristol-Myers Squibb, nejdéle však do jednoho pracovního dne nebo do tří kalendářních dnů, podle toho, která doba je kratší. Kontaktní informace naleznete na adrese </w:t>
            </w:r>
            <w:hyperlink r:id="rId12" w:history="1">
              <w:r w:rsidRPr="006D689E">
                <w:rPr>
                  <w:w w:val="100"/>
                  <w:sz w:val="24"/>
                  <w:szCs w:val="24"/>
                </w:rPr>
                <w:t>http://www.globalbmsmedinfo.com</w:t>
              </w:r>
            </w:hyperlink>
            <w:r w:rsidRPr="006D689E">
              <w:rPr>
                <w:w w:val="100"/>
                <w:sz w:val="24"/>
                <w:szCs w:val="24"/>
              </w:rPr>
              <w:t xml:space="preserve">. Strany souhlasí s požadavky a povinnostmi programu minimalizace rizik popsanými v příloze E této smlouvy („požadavky programu minimalizace rizik“). </w:t>
            </w:r>
            <w:r w:rsidR="00535652">
              <w:rPr>
                <w:w w:val="100"/>
                <w:sz w:val="24"/>
                <w:szCs w:val="24"/>
              </w:rPr>
              <w:t>Centrum</w:t>
            </w:r>
            <w:r w:rsidRPr="006D689E">
              <w:rPr>
                <w:w w:val="100"/>
                <w:sz w:val="24"/>
                <w:szCs w:val="24"/>
              </w:rPr>
              <w:t xml:space="preserve"> poskytuje služby a plní své povinnosti podle této smlouvy v souladu s těmito požadavky programu minimalizace rizik.</w:t>
            </w:r>
          </w:p>
        </w:tc>
        <w:tc>
          <w:tcPr>
            <w:tcW w:w="2452" w:type="pct"/>
          </w:tcPr>
          <w:p w14:paraId="45A8C9EE" w14:textId="4ACAEDDF" w:rsidR="00C32FF1" w:rsidRPr="00D22083" w:rsidRDefault="00D22083" w:rsidP="00D22083">
            <w:pPr>
              <w:pStyle w:val="Legal1L2"/>
              <w:numPr>
                <w:ilvl w:val="0"/>
                <w:numId w:val="0"/>
              </w:numPr>
              <w:rPr>
                <w:rFonts w:eastAsia="Times New Roman"/>
                <w:w w:val="100"/>
                <w:sz w:val="24"/>
                <w:szCs w:val="24"/>
                <w:lang w:val="en-GB"/>
              </w:rPr>
            </w:pPr>
            <w:r w:rsidRPr="00D22083">
              <w:rPr>
                <w:rFonts w:eastAsia="Times New Roman"/>
                <w:w w:val="100"/>
                <w:sz w:val="24"/>
                <w:szCs w:val="24"/>
                <w:lang w:val="en-GB"/>
              </w:rPr>
              <w:t>9.4</w:t>
            </w:r>
            <w:r w:rsidRPr="00D22083">
              <w:rPr>
                <w:rFonts w:eastAsia="Times New Roman"/>
                <w:w w:val="100"/>
                <w:sz w:val="24"/>
                <w:szCs w:val="24"/>
                <w:lang w:val="en-GB"/>
              </w:rPr>
              <w:tab/>
            </w:r>
            <w:r w:rsidRPr="00D22083">
              <w:rPr>
                <w:rFonts w:eastAsia="Times New Roman"/>
                <w:w w:val="100"/>
                <w:sz w:val="24"/>
                <w:szCs w:val="24"/>
                <w:u w:val="single"/>
                <w:lang w:val="en-GB"/>
              </w:rPr>
              <w:t>Risk Minimization Program Requirements</w:t>
            </w:r>
            <w:r w:rsidRPr="00D22083">
              <w:rPr>
                <w:rFonts w:eastAsia="Times New Roman"/>
                <w:w w:val="100"/>
                <w:sz w:val="24"/>
                <w:szCs w:val="24"/>
                <w:lang w:val="en-GB"/>
              </w:rPr>
              <w:t>: The Center shall perform the activities and associated obligations, including but not limited to the determination of reportability and submission of adverse events occurred during apheresis to the competent authorities, in accordance with applicable national vigilance legislation. In the event the Center receives notice of an adverse event involving a Bristol-Myers Squibb medicinal product, the Center will inform Bristol-Myers Squibb promptly, but not to exceed the lesser of one business day or three calendar days. Contact information can be found at http://www.globalbmsmedinfo.com. The Parties agree to the risk minimization program requirements and responsibilities as described in Attachment E to this Agreement (“Risk Minimization Program Requirements”). Center shall perform the services and its obligations pursuant to this Agreement in accordance with such Risk Minimization Program Requirements.</w:t>
            </w:r>
          </w:p>
        </w:tc>
      </w:tr>
      <w:tr w:rsidR="00C32FF1" w:rsidRPr="0031164B" w14:paraId="0B16C84F" w14:textId="72BFB1B6" w:rsidTr="00830D19">
        <w:tc>
          <w:tcPr>
            <w:tcW w:w="2548" w:type="pct"/>
          </w:tcPr>
          <w:p w14:paraId="659B1F90" w14:textId="7528B7AE" w:rsidR="00C32FF1" w:rsidRPr="006D689E" w:rsidRDefault="00C32FF1" w:rsidP="00C32FF1">
            <w:pPr>
              <w:pStyle w:val="Legal1L2"/>
              <w:ind w:left="0"/>
              <w:rPr>
                <w:rFonts w:eastAsia="Times New Roman"/>
                <w:w w:val="100"/>
                <w:sz w:val="24"/>
                <w:szCs w:val="24"/>
              </w:rPr>
            </w:pPr>
            <w:bookmarkStart w:id="110" w:name="_Hlk12294984"/>
            <w:bookmarkEnd w:id="105"/>
            <w:r w:rsidRPr="006D689E">
              <w:rPr>
                <w:w w:val="100"/>
                <w:sz w:val="24"/>
                <w:szCs w:val="24"/>
                <w:u w:val="single"/>
              </w:rPr>
              <w:t>Reklamace kvality produktů.</w:t>
            </w:r>
            <w:r w:rsidRPr="006D689E">
              <w:rPr>
                <w:w w:val="100"/>
                <w:sz w:val="24"/>
                <w:szCs w:val="24"/>
              </w:rPr>
              <w:t xml:space="preserve">  </w:t>
            </w:r>
            <w:r w:rsidR="00E13EE4">
              <w:rPr>
                <w:w w:val="100"/>
                <w:sz w:val="24"/>
                <w:szCs w:val="24"/>
              </w:rPr>
              <w:t>Centrum</w:t>
            </w:r>
            <w:r w:rsidRPr="006D689E">
              <w:rPr>
                <w:w w:val="100"/>
                <w:sz w:val="24"/>
                <w:szCs w:val="24"/>
              </w:rPr>
              <w:t xml:space="preserve"> co nejdříve, nejpozději však do jednoho (1) pracovního dne, oznámí společnosti </w:t>
            </w:r>
            <w:r w:rsidRPr="006D689E">
              <w:rPr>
                <w:w w:val="100"/>
              </w:rPr>
              <w:t>BMS</w:t>
            </w:r>
            <w:r w:rsidRPr="006D689E">
              <w:rPr>
                <w:w w:val="100"/>
                <w:sz w:val="24"/>
                <w:szCs w:val="24"/>
              </w:rPr>
              <w:t xml:space="preserve">, že se dozvědělo o stížnosti na kvalitu produktu (mimo jiné včetně: cizorodých částic, závad na etiketě, prasklých lahviček, netěsných sáčků, chyb v konfiguraci při přepravě, chybějící dokumentace), a to telefonicky na provozní linku CAR T. </w:t>
            </w:r>
            <w:bookmarkEnd w:id="106"/>
            <w:bookmarkEnd w:id="107"/>
            <w:bookmarkEnd w:id="108"/>
            <w:bookmarkEnd w:id="109"/>
            <w:r w:rsidRPr="006D689E">
              <w:rPr>
                <w:w w:val="100"/>
                <w:sz w:val="24"/>
                <w:szCs w:val="24"/>
              </w:rPr>
              <w:t xml:space="preserve">Kromě toho se na všechny žádosti </w:t>
            </w:r>
            <w:r w:rsidR="003059BA">
              <w:rPr>
                <w:w w:val="100"/>
                <w:sz w:val="24"/>
                <w:szCs w:val="24"/>
              </w:rPr>
              <w:t>Centra</w:t>
            </w:r>
            <w:r w:rsidRPr="006D689E">
              <w:rPr>
                <w:w w:val="100"/>
                <w:sz w:val="24"/>
                <w:szCs w:val="24"/>
              </w:rPr>
              <w:t xml:space="preserve"> o vrácení nebo výměnu produktu vztahují podmínky uvedené v přiložených podmínkách.</w:t>
            </w:r>
            <w:bookmarkEnd w:id="110"/>
          </w:p>
        </w:tc>
        <w:tc>
          <w:tcPr>
            <w:tcW w:w="2452" w:type="pct"/>
          </w:tcPr>
          <w:p w14:paraId="3F1199EA" w14:textId="37B87504" w:rsidR="00C32FF1" w:rsidRPr="0031164B" w:rsidRDefault="00D22083" w:rsidP="00D22083">
            <w:pPr>
              <w:pStyle w:val="Legal1L2"/>
              <w:numPr>
                <w:ilvl w:val="0"/>
                <w:numId w:val="0"/>
              </w:numPr>
              <w:rPr>
                <w:rFonts w:eastAsia="Times New Roman"/>
                <w:w w:val="100"/>
                <w:sz w:val="24"/>
                <w:szCs w:val="24"/>
                <w:u w:val="single"/>
                <w:lang w:val="en-GB"/>
              </w:rPr>
            </w:pPr>
            <w:r w:rsidRPr="00D22083">
              <w:rPr>
                <w:w w:val="100"/>
                <w:sz w:val="24"/>
                <w:szCs w:val="24"/>
                <w:lang w:val="en-GB"/>
              </w:rPr>
              <w:t>9.5</w:t>
            </w:r>
            <w:r w:rsidRPr="00D22083">
              <w:rPr>
                <w:w w:val="100"/>
                <w:sz w:val="24"/>
                <w:szCs w:val="24"/>
                <w:lang w:val="en-GB"/>
              </w:rPr>
              <w:tab/>
            </w:r>
            <w:r w:rsidR="00C32FF1" w:rsidRPr="0031164B">
              <w:rPr>
                <w:w w:val="100"/>
                <w:sz w:val="24"/>
                <w:szCs w:val="24"/>
                <w:u w:val="single"/>
                <w:lang w:val="en-GB"/>
              </w:rPr>
              <w:t>Product Quality Complaints</w:t>
            </w:r>
            <w:r w:rsidR="00C32FF1" w:rsidRPr="0031164B">
              <w:rPr>
                <w:w w:val="100"/>
                <w:sz w:val="24"/>
                <w:szCs w:val="24"/>
                <w:lang w:val="en-GB"/>
              </w:rPr>
              <w:t xml:space="preserve">.  Center shall notify </w:t>
            </w:r>
            <w:r w:rsidR="00C32FF1" w:rsidRPr="0031164B">
              <w:rPr>
                <w:w w:val="100"/>
                <w:lang w:val="en-GB"/>
              </w:rPr>
              <w:t>BMS</w:t>
            </w:r>
            <w:r w:rsidR="00C32FF1" w:rsidRPr="0031164B">
              <w:rPr>
                <w:w w:val="100"/>
                <w:sz w:val="24"/>
                <w:szCs w:val="24"/>
                <w:lang w:val="en-GB"/>
              </w:rPr>
              <w:t xml:space="preserve"> as soon as possible but no later than one (1) business day of its knowledge of a Product Quality Complaint (including but not limited to: extrinsic particles, label defects, cracked vials, leaking bags, shipping configuration errors, missing documentation) by calling the CAR T Operations Line. In addition, requests for a Product return or replacement shall be subject to the terms of the Terms and Conditions.</w:t>
            </w:r>
          </w:p>
        </w:tc>
      </w:tr>
      <w:tr w:rsidR="00C32FF1" w:rsidRPr="0031164B" w14:paraId="55863FB5" w14:textId="40CA0882" w:rsidTr="00830D19">
        <w:tc>
          <w:tcPr>
            <w:tcW w:w="2548" w:type="pct"/>
          </w:tcPr>
          <w:p w14:paraId="040F2EE2" w14:textId="2B66AF0A" w:rsidR="00C32FF1" w:rsidRPr="006D689E" w:rsidRDefault="00C32FF1" w:rsidP="00C32FF1">
            <w:pPr>
              <w:pStyle w:val="Legal1L2"/>
              <w:tabs>
                <w:tab w:val="num" w:pos="0"/>
              </w:tabs>
              <w:ind w:left="0"/>
              <w:rPr>
                <w:rFonts w:eastAsia="Times New Roman"/>
                <w:w w:val="100"/>
                <w:sz w:val="24"/>
                <w:szCs w:val="24"/>
              </w:rPr>
            </w:pPr>
            <w:r w:rsidRPr="006D689E">
              <w:rPr>
                <w:w w:val="100"/>
                <w:sz w:val="24"/>
                <w:szCs w:val="24"/>
                <w:u w:val="single"/>
              </w:rPr>
              <w:t>Dodržování předpisů proti úplatkářství.</w:t>
            </w:r>
            <w:r w:rsidRPr="006D689E">
              <w:rPr>
                <w:w w:val="100"/>
                <w:sz w:val="24"/>
                <w:szCs w:val="24"/>
              </w:rPr>
              <w:t xml:space="preserve"> </w:t>
            </w:r>
            <w:r w:rsidR="00020A56" w:rsidRPr="00020A56">
              <w:rPr>
                <w:w w:val="100"/>
                <w:sz w:val="24"/>
                <w:szCs w:val="24"/>
              </w:rPr>
              <w:t xml:space="preserve">Centrum je informováno, že BMS dodržuje všechny platné zákony týkající se boje proti úplatkářství a korupci, které zahrnují mimo jiné americký zákon o korupčních praktikách v zahraničí a britský zákon o úplatkářství, a Centrum prohlašuje a zaručuje, že bude dodržovat všechny platné zákony, předpisy a předpisy týkající se boje proti </w:t>
            </w:r>
            <w:r w:rsidR="00020A56" w:rsidRPr="00020A56">
              <w:rPr>
                <w:w w:val="100"/>
                <w:sz w:val="24"/>
                <w:szCs w:val="24"/>
              </w:rPr>
              <w:lastRenderedPageBreak/>
              <w:t>úplatkářství a korupci („zákony proti úplatkářství“), které se na Centrum vztahují. Centru je zakázáno nabízet nebo platit přímo či nepřímo cokoli hodnotného vládnímu úředníkovi nebo jakékoli jiné osobě, subjektu nebo instituci, na kterou se vztahují zákony proti úplatkářství, za účelem: (i) získání nebo udržení obchodů pro BMS; (ii) neoprávněného ovlivnění jednání nebo rozhodnutí, které bude pro BMS přínosem; (iii) získání neoprávněné výhody pro BMS.</w:t>
            </w:r>
          </w:p>
        </w:tc>
        <w:tc>
          <w:tcPr>
            <w:tcW w:w="2452" w:type="pct"/>
          </w:tcPr>
          <w:p w14:paraId="21B527F0" w14:textId="51C2BE6B" w:rsidR="00C32FF1" w:rsidRPr="00D17D8A" w:rsidRDefault="00D22083" w:rsidP="00E11717">
            <w:pPr>
              <w:pStyle w:val="Legal1L2"/>
              <w:numPr>
                <w:ilvl w:val="0"/>
                <w:numId w:val="0"/>
              </w:numPr>
              <w:ind w:left="180"/>
              <w:rPr>
                <w:rFonts w:eastAsia="Times New Roman"/>
                <w:w w:val="100"/>
                <w:sz w:val="24"/>
                <w:szCs w:val="24"/>
                <w:u w:val="single"/>
                <w:lang w:val="en-GB"/>
              </w:rPr>
            </w:pPr>
            <w:r w:rsidRPr="00D22083">
              <w:rPr>
                <w:w w:val="100"/>
                <w:sz w:val="24"/>
                <w:szCs w:val="24"/>
                <w:lang w:val="en-GB"/>
              </w:rPr>
              <w:lastRenderedPageBreak/>
              <w:t>9.6</w:t>
            </w:r>
            <w:r w:rsidRPr="00D22083">
              <w:rPr>
                <w:w w:val="100"/>
                <w:sz w:val="24"/>
                <w:szCs w:val="24"/>
                <w:lang w:val="en-GB"/>
              </w:rPr>
              <w:tab/>
            </w:r>
            <w:r w:rsidR="00C32FF1" w:rsidRPr="0031164B">
              <w:rPr>
                <w:w w:val="100"/>
                <w:sz w:val="24"/>
                <w:szCs w:val="24"/>
                <w:u w:val="single"/>
                <w:lang w:val="en-GB"/>
              </w:rPr>
              <w:t>Anti-bribery compliance.</w:t>
            </w:r>
            <w:r w:rsidR="00E11717">
              <w:rPr>
                <w:w w:val="100"/>
                <w:sz w:val="24"/>
                <w:szCs w:val="24"/>
                <w:u w:val="single"/>
                <w:lang w:val="en-GB"/>
              </w:rPr>
              <w:t xml:space="preserve"> </w:t>
            </w:r>
            <w:r w:rsidR="004A4ABC">
              <w:rPr>
                <w:w w:val="100"/>
                <w:sz w:val="24"/>
                <w:szCs w:val="24"/>
                <w:lang w:val="en-GB"/>
              </w:rPr>
              <w:t>C</w:t>
            </w:r>
            <w:r w:rsidR="001B7289" w:rsidRPr="00D17D8A">
              <w:rPr>
                <w:w w:val="100"/>
                <w:sz w:val="24"/>
                <w:szCs w:val="24"/>
                <w:lang w:val="en-GB"/>
              </w:rPr>
              <w:t xml:space="preserve">enter is advised that BMS adheres to all applicable laws relating to anti-bribery and anti-corruption, which includes but is not limited to the US Foreign Corrupt Practices Act and the UK Bribery Act, and Center represents and warrants that it shall comply with all applicable laws regulations and codes relating to anti-bribery and anti-corruption </w:t>
            </w:r>
            <w:r w:rsidR="001B7289" w:rsidRPr="00D17D8A">
              <w:rPr>
                <w:w w:val="100"/>
                <w:sz w:val="24"/>
                <w:szCs w:val="24"/>
                <w:lang w:val="en-GB"/>
              </w:rPr>
              <w:lastRenderedPageBreak/>
              <w:t>(the “Anti-Bribery Laws”), applying to Center. Center is prohibited from offering or paying directly or indirectly anything of value to a government official or any other person, entity or institution covered under the Anti-Bribery Laws in order to:</w:t>
            </w:r>
            <w:r w:rsidR="006C0CC7">
              <w:rPr>
                <w:w w:val="100"/>
                <w:sz w:val="24"/>
                <w:szCs w:val="24"/>
                <w:lang w:val="en-GB"/>
              </w:rPr>
              <w:t xml:space="preserve">  </w:t>
            </w:r>
            <w:r w:rsidR="001B7289" w:rsidRPr="00D17D8A">
              <w:rPr>
                <w:w w:val="100"/>
                <w:sz w:val="24"/>
                <w:szCs w:val="24"/>
                <w:lang w:val="en-GB"/>
              </w:rPr>
              <w:t>(i)</w:t>
            </w:r>
            <w:r w:rsidR="006C0CC7">
              <w:rPr>
                <w:w w:val="100"/>
                <w:sz w:val="24"/>
                <w:szCs w:val="24"/>
                <w:lang w:val="en-GB"/>
              </w:rPr>
              <w:t xml:space="preserve"> </w:t>
            </w:r>
            <w:r w:rsidR="001B7289" w:rsidRPr="00D17D8A">
              <w:rPr>
                <w:w w:val="100"/>
                <w:sz w:val="24"/>
                <w:szCs w:val="24"/>
                <w:lang w:val="en-GB"/>
              </w:rPr>
              <w:t>win or retain business for BMS;</w:t>
            </w:r>
            <w:r w:rsidR="006C0CC7">
              <w:rPr>
                <w:w w:val="100"/>
                <w:sz w:val="24"/>
                <w:szCs w:val="24"/>
                <w:lang w:val="en-GB"/>
              </w:rPr>
              <w:t xml:space="preserve"> </w:t>
            </w:r>
            <w:r w:rsidR="001B7289" w:rsidRPr="00D17D8A">
              <w:rPr>
                <w:w w:val="100"/>
                <w:sz w:val="24"/>
                <w:szCs w:val="24"/>
                <w:lang w:val="en-GB"/>
              </w:rPr>
              <w:t>(ii)</w:t>
            </w:r>
            <w:r w:rsidR="006C0CC7">
              <w:rPr>
                <w:w w:val="100"/>
                <w:sz w:val="24"/>
                <w:szCs w:val="24"/>
                <w:lang w:val="en-GB"/>
              </w:rPr>
              <w:t xml:space="preserve"> </w:t>
            </w:r>
            <w:r w:rsidR="001B7289" w:rsidRPr="00D17D8A">
              <w:rPr>
                <w:w w:val="100"/>
                <w:sz w:val="24"/>
                <w:szCs w:val="24"/>
                <w:lang w:val="en-GB"/>
              </w:rPr>
              <w:t>improperly influence an act or decision that will benefit BMS;</w:t>
            </w:r>
            <w:r w:rsidR="00D17D8A" w:rsidRPr="00D17D8A">
              <w:rPr>
                <w:w w:val="100"/>
                <w:sz w:val="24"/>
                <w:szCs w:val="24"/>
                <w:lang w:val="en-GB"/>
              </w:rPr>
              <w:t xml:space="preserve"> </w:t>
            </w:r>
            <w:r w:rsidR="001B7289" w:rsidRPr="00D17D8A">
              <w:rPr>
                <w:w w:val="100"/>
                <w:sz w:val="24"/>
                <w:szCs w:val="24"/>
                <w:lang w:val="en-GB"/>
              </w:rPr>
              <w:t>(iii)</w:t>
            </w:r>
            <w:r w:rsidR="007D503B">
              <w:rPr>
                <w:w w:val="100"/>
                <w:sz w:val="24"/>
                <w:szCs w:val="24"/>
                <w:lang w:val="en-GB"/>
              </w:rPr>
              <w:t xml:space="preserve"> </w:t>
            </w:r>
            <w:r w:rsidR="001B7289" w:rsidRPr="00D17D8A">
              <w:rPr>
                <w:w w:val="100"/>
                <w:sz w:val="24"/>
                <w:szCs w:val="24"/>
                <w:lang w:val="en-GB"/>
              </w:rPr>
              <w:t>gain an improper advantage for BMS.</w:t>
            </w:r>
          </w:p>
        </w:tc>
      </w:tr>
      <w:tr w:rsidR="00C32FF1" w:rsidRPr="0031164B" w14:paraId="5AD50822" w14:textId="6E23D4CC" w:rsidTr="00830D19">
        <w:tc>
          <w:tcPr>
            <w:tcW w:w="2548" w:type="pct"/>
          </w:tcPr>
          <w:p w14:paraId="5F299F66" w14:textId="77777777" w:rsidR="00C32FF1" w:rsidRPr="006D689E" w:rsidRDefault="00C32FF1" w:rsidP="00C32FF1">
            <w:pPr>
              <w:tabs>
                <w:tab w:val="num" w:pos="567"/>
              </w:tabs>
              <w:jc w:val="both"/>
            </w:pPr>
          </w:p>
        </w:tc>
        <w:tc>
          <w:tcPr>
            <w:tcW w:w="2452" w:type="pct"/>
          </w:tcPr>
          <w:p w14:paraId="6FA786B9" w14:textId="77777777" w:rsidR="00C32FF1" w:rsidRPr="0031164B" w:rsidRDefault="00C32FF1" w:rsidP="00C32FF1">
            <w:pPr>
              <w:tabs>
                <w:tab w:val="num" w:pos="567"/>
              </w:tabs>
              <w:jc w:val="both"/>
              <w:rPr>
                <w:lang w:val="en-GB"/>
              </w:rPr>
            </w:pPr>
          </w:p>
        </w:tc>
      </w:tr>
      <w:tr w:rsidR="00C32FF1" w:rsidRPr="0031164B" w14:paraId="2F4526B6" w14:textId="56DF785F" w:rsidTr="00830D19">
        <w:tc>
          <w:tcPr>
            <w:tcW w:w="2548" w:type="pct"/>
          </w:tcPr>
          <w:p w14:paraId="39A5F8C3" w14:textId="0DDC952F" w:rsidR="00C32FF1" w:rsidRPr="006D689E" w:rsidRDefault="006D7349" w:rsidP="00C32FF1">
            <w:pPr>
              <w:widowControl/>
              <w:tabs>
                <w:tab w:val="left" w:pos="-720"/>
                <w:tab w:val="left" w:pos="720"/>
                <w:tab w:val="num" w:pos="792"/>
              </w:tabs>
              <w:autoSpaceDE/>
              <w:adjustRightInd/>
              <w:jc w:val="both"/>
            </w:pPr>
            <w:r>
              <w:t>Centrum</w:t>
            </w:r>
            <w:r w:rsidR="00C32FF1" w:rsidRPr="006D689E">
              <w:t xml:space="preserve"> se zavazuje vést přesné a přehledné záznamy o transakcích a platbách. Pokud </w:t>
            </w:r>
            <w:r w:rsidR="00535948">
              <w:t>Centrum</w:t>
            </w:r>
            <w:r w:rsidR="00C32FF1" w:rsidRPr="006D689E">
              <w:t xml:space="preserve"> poruší nebo má jakýkoli důvod se domnívat, že by mohlo porušit ustanoven</w:t>
            </w:r>
            <w:r w:rsidR="00535948">
              <w:t>í</w:t>
            </w:r>
            <w:r w:rsidR="00C32FF1" w:rsidRPr="006D689E">
              <w:t xml:space="preserve"> tohoto článku, je povinno o tom neprodleně písemně informovat BMS a spolupracovat s BMS na prošetření a zdokumentování těchto skutečností.</w:t>
            </w:r>
          </w:p>
        </w:tc>
        <w:tc>
          <w:tcPr>
            <w:tcW w:w="2452" w:type="pct"/>
          </w:tcPr>
          <w:p w14:paraId="5619CABF" w14:textId="79FEC011" w:rsidR="00C32FF1" w:rsidRPr="0031164B" w:rsidRDefault="00C32FF1" w:rsidP="00C32FF1">
            <w:pPr>
              <w:widowControl/>
              <w:tabs>
                <w:tab w:val="left" w:pos="-720"/>
                <w:tab w:val="left" w:pos="720"/>
                <w:tab w:val="num" w:pos="792"/>
              </w:tabs>
              <w:autoSpaceDE/>
              <w:adjustRightInd/>
              <w:jc w:val="both"/>
              <w:rPr>
                <w:lang w:val="en-GB"/>
              </w:rPr>
            </w:pPr>
            <w:r w:rsidRPr="0031164B">
              <w:rPr>
                <w:lang w:val="en-GB"/>
              </w:rPr>
              <w:t>Center undertakes to keep accurate and transparent records to reflect transactions and payments. Should Center breach or have any reason to believe that it might have breached this section, it shall inform BMS immediately, in writing, and cooperate with BMS to investigate and document the facts.</w:t>
            </w:r>
          </w:p>
        </w:tc>
      </w:tr>
      <w:tr w:rsidR="00C32FF1" w:rsidRPr="0031164B" w14:paraId="6CE39949" w14:textId="7F1BA818" w:rsidTr="00830D19">
        <w:tc>
          <w:tcPr>
            <w:tcW w:w="2548" w:type="pct"/>
          </w:tcPr>
          <w:p w14:paraId="0AEACDBE" w14:textId="77777777" w:rsidR="00C32FF1" w:rsidRPr="006D689E" w:rsidRDefault="00C32FF1" w:rsidP="00C32FF1">
            <w:pPr>
              <w:widowControl/>
              <w:tabs>
                <w:tab w:val="left" w:pos="-720"/>
                <w:tab w:val="left" w:pos="720"/>
                <w:tab w:val="num" w:pos="792"/>
              </w:tabs>
              <w:autoSpaceDE/>
              <w:adjustRightInd/>
              <w:jc w:val="both"/>
            </w:pPr>
          </w:p>
        </w:tc>
        <w:tc>
          <w:tcPr>
            <w:tcW w:w="2452" w:type="pct"/>
          </w:tcPr>
          <w:p w14:paraId="630CB034" w14:textId="77777777" w:rsidR="00C32FF1" w:rsidRPr="0031164B" w:rsidRDefault="00C32FF1" w:rsidP="00C32FF1">
            <w:pPr>
              <w:widowControl/>
              <w:tabs>
                <w:tab w:val="left" w:pos="-720"/>
                <w:tab w:val="left" w:pos="720"/>
                <w:tab w:val="num" w:pos="792"/>
              </w:tabs>
              <w:autoSpaceDE/>
              <w:adjustRightInd/>
              <w:jc w:val="both"/>
              <w:rPr>
                <w:lang w:val="en-GB"/>
              </w:rPr>
            </w:pPr>
          </w:p>
        </w:tc>
      </w:tr>
      <w:tr w:rsidR="00C32FF1" w:rsidRPr="0031164B" w14:paraId="296B9246" w14:textId="79C063BC" w:rsidTr="00830D19">
        <w:tc>
          <w:tcPr>
            <w:tcW w:w="2548" w:type="pct"/>
          </w:tcPr>
          <w:p w14:paraId="727C6640"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bookmarkStart w:id="111" w:name="_DV_M285"/>
            <w:bookmarkStart w:id="112" w:name="_Toc256000039"/>
            <w:bookmarkStart w:id="113" w:name="_Toc6234013"/>
            <w:bookmarkStart w:id="114" w:name="_Toc6234335"/>
            <w:bookmarkStart w:id="115" w:name="_Ref39069709"/>
            <w:bookmarkStart w:id="116" w:name="_Ref39069906"/>
            <w:bookmarkStart w:id="117" w:name="_Ref39070183"/>
            <w:bookmarkStart w:id="118" w:name="_Ref_ContractCompanion_9kb9Ur14A"/>
            <w:bookmarkStart w:id="119" w:name="_Hlk10453018"/>
            <w:bookmarkEnd w:id="111"/>
            <w:r w:rsidRPr="006D689E">
              <w:rPr>
                <w:b/>
                <w:u w:val="none"/>
              </w:rPr>
              <w:t>OCHRANA OSOBNÍCH ÚDAJŮ</w:t>
            </w:r>
          </w:p>
        </w:tc>
        <w:tc>
          <w:tcPr>
            <w:tcW w:w="2452" w:type="pct"/>
          </w:tcPr>
          <w:p w14:paraId="64BF139D" w14:textId="3D1B44F6" w:rsidR="00C32FF1" w:rsidRPr="0031164B" w:rsidRDefault="00C32FF1" w:rsidP="00D22083">
            <w:pPr>
              <w:pStyle w:val="Legal1L1"/>
              <w:widowControl/>
              <w:numPr>
                <w:ilvl w:val="0"/>
                <w:numId w:val="80"/>
              </w:numPr>
              <w:tabs>
                <w:tab w:val="left" w:pos="1620"/>
              </w:tabs>
              <w:adjustRightInd/>
              <w:outlineLvl w:val="9"/>
              <w:rPr>
                <w:b/>
                <w:u w:val="none"/>
                <w:lang w:val="en-GB"/>
              </w:rPr>
            </w:pPr>
            <w:r w:rsidRPr="0031164B">
              <w:rPr>
                <w:b/>
                <w:u w:val="none"/>
                <w:lang w:val="en-GB"/>
              </w:rPr>
              <w:t>DATA PRIVACY</w:t>
            </w:r>
          </w:p>
        </w:tc>
      </w:tr>
      <w:tr w:rsidR="00C32FF1" w:rsidRPr="0031164B" w14:paraId="43A514D0" w14:textId="37501B6D" w:rsidTr="00830D19">
        <w:tc>
          <w:tcPr>
            <w:tcW w:w="2548" w:type="pct"/>
          </w:tcPr>
          <w:p w14:paraId="1ED745FF" w14:textId="77777777" w:rsidR="00C32FF1" w:rsidRPr="006D689E" w:rsidRDefault="00C32FF1" w:rsidP="00C32FF1">
            <w:pPr>
              <w:pStyle w:val="Legal1L2"/>
              <w:tabs>
                <w:tab w:val="clear" w:pos="180"/>
                <w:tab w:val="num" w:pos="450"/>
              </w:tabs>
              <w:ind w:left="0"/>
              <w:rPr>
                <w:rFonts w:eastAsia="Times New Roman"/>
                <w:w w:val="100"/>
                <w:sz w:val="24"/>
                <w:szCs w:val="24"/>
              </w:rPr>
            </w:pPr>
            <w:r w:rsidRPr="006D689E">
              <w:rPr>
                <w:w w:val="100"/>
                <w:sz w:val="24"/>
                <w:szCs w:val="24"/>
              </w:rPr>
              <w:t xml:space="preserve">Pokud výroba a poskytování produktu nebo služeb aferézy podle této smlouvy vyžaduje, aby některá ze stran zpracovávala osobní údaje (jak jsou definovány v dodatku o ochraně osobních údajů) pro účely plnění této smlouvy, strany dodržují podmínky, kterými se řídí takové operace zpracování v souladu s podmínkami stanovenými v dodatku o ochraně osobních údajů. </w:t>
            </w:r>
          </w:p>
        </w:tc>
        <w:tc>
          <w:tcPr>
            <w:tcW w:w="2452" w:type="pct"/>
          </w:tcPr>
          <w:p w14:paraId="1738EC02" w14:textId="4583E3DD" w:rsidR="00C32FF1" w:rsidRPr="0031164B" w:rsidRDefault="00D22083" w:rsidP="00D22083">
            <w:pPr>
              <w:pStyle w:val="Legal1L2"/>
              <w:numPr>
                <w:ilvl w:val="0"/>
                <w:numId w:val="0"/>
              </w:numPr>
              <w:rPr>
                <w:rFonts w:eastAsia="Times New Roman"/>
                <w:w w:val="100"/>
                <w:sz w:val="24"/>
                <w:szCs w:val="24"/>
                <w:lang w:val="en-GB"/>
              </w:rPr>
            </w:pPr>
            <w:r>
              <w:rPr>
                <w:w w:val="100"/>
                <w:sz w:val="24"/>
                <w:szCs w:val="24"/>
                <w:lang w:val="en-GB"/>
              </w:rPr>
              <w:t>10.1</w:t>
            </w:r>
            <w:r>
              <w:rPr>
                <w:w w:val="100"/>
                <w:sz w:val="24"/>
                <w:szCs w:val="24"/>
                <w:lang w:val="en-GB"/>
              </w:rPr>
              <w:tab/>
            </w:r>
            <w:r w:rsidR="00C32FF1" w:rsidRPr="0031164B">
              <w:rPr>
                <w:w w:val="100"/>
                <w:sz w:val="24"/>
                <w:szCs w:val="24"/>
                <w:lang w:val="en-GB"/>
              </w:rPr>
              <w:t xml:space="preserve">Where the manufacturing and the provision of the Product or the Apheresis Services under this Agreement require either Party to Process Personal Data (as defined in the Data Privacy Addendum) for the performance of this Agreement, the Parties shall comply with the terms governing such processing operations in accordance with the terms set out in the Data Privacy Addendum. </w:t>
            </w:r>
          </w:p>
        </w:tc>
      </w:tr>
      <w:tr w:rsidR="00C32FF1" w:rsidRPr="0031164B" w14:paraId="6BBD0023" w14:textId="335341B6" w:rsidTr="00830D19">
        <w:tc>
          <w:tcPr>
            <w:tcW w:w="2548" w:type="pct"/>
          </w:tcPr>
          <w:p w14:paraId="2F1C4CD9"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bookmarkStart w:id="120" w:name="_Ref39127152"/>
            <w:r w:rsidRPr="006D689E">
              <w:rPr>
                <w:b/>
                <w:u w:val="none"/>
              </w:rPr>
              <w:t>DŮVĚRNOST INFORMACÍ</w:t>
            </w:r>
            <w:bookmarkEnd w:id="112"/>
            <w:bookmarkEnd w:id="113"/>
            <w:bookmarkEnd w:id="114"/>
            <w:bookmarkEnd w:id="115"/>
            <w:bookmarkEnd w:id="116"/>
            <w:bookmarkEnd w:id="117"/>
            <w:bookmarkEnd w:id="120"/>
            <w:r w:rsidRPr="006D689E">
              <w:rPr>
                <w:b/>
                <w:u w:val="none"/>
              </w:rPr>
              <w:t xml:space="preserve"> </w:t>
            </w:r>
            <w:bookmarkEnd w:id="118"/>
          </w:p>
        </w:tc>
        <w:tc>
          <w:tcPr>
            <w:tcW w:w="2452" w:type="pct"/>
          </w:tcPr>
          <w:p w14:paraId="1C0CA1FC" w14:textId="33CB2EDC" w:rsidR="00C32FF1" w:rsidRPr="0031164B" w:rsidRDefault="00C32FF1" w:rsidP="00D22083">
            <w:pPr>
              <w:pStyle w:val="Legal1L1"/>
              <w:widowControl/>
              <w:numPr>
                <w:ilvl w:val="0"/>
                <w:numId w:val="81"/>
              </w:numPr>
              <w:tabs>
                <w:tab w:val="left" w:pos="1620"/>
              </w:tabs>
              <w:adjustRightInd/>
              <w:outlineLvl w:val="9"/>
              <w:rPr>
                <w:b/>
                <w:u w:val="none"/>
                <w:lang w:val="en-GB"/>
              </w:rPr>
            </w:pPr>
            <w:r w:rsidRPr="0031164B">
              <w:rPr>
                <w:b/>
                <w:u w:val="none"/>
                <w:lang w:val="en-GB"/>
              </w:rPr>
              <w:t xml:space="preserve">CONFIDENTIALITY </w:t>
            </w:r>
          </w:p>
        </w:tc>
      </w:tr>
      <w:tr w:rsidR="00C32FF1" w:rsidRPr="0031164B" w14:paraId="46AE8C04" w14:textId="741BE198" w:rsidTr="00830D19">
        <w:tc>
          <w:tcPr>
            <w:tcW w:w="2548" w:type="pct"/>
          </w:tcPr>
          <w:p w14:paraId="4CBB40B7" w14:textId="6253E385" w:rsidR="00C32FF1" w:rsidRPr="006D689E" w:rsidRDefault="00C32FF1" w:rsidP="00C32FF1">
            <w:pPr>
              <w:pStyle w:val="Legal1L2"/>
              <w:ind w:left="0"/>
              <w:rPr>
                <w:rFonts w:eastAsia="Times New Roman"/>
                <w:w w:val="100"/>
                <w:sz w:val="24"/>
                <w:szCs w:val="24"/>
              </w:rPr>
            </w:pPr>
            <w:bookmarkStart w:id="121" w:name="_DV_M361"/>
            <w:bookmarkStart w:id="122" w:name="_Toc256000040"/>
            <w:bookmarkStart w:id="123" w:name="_Toc6234014"/>
            <w:bookmarkStart w:id="124" w:name="_Toc6234336"/>
            <w:bookmarkEnd w:id="121"/>
            <w:r w:rsidRPr="006D689E">
              <w:rPr>
                <w:w w:val="100"/>
                <w:sz w:val="24"/>
                <w:szCs w:val="24"/>
                <w:u w:val="single"/>
              </w:rPr>
              <w:t>Důvěrné informace</w:t>
            </w:r>
            <w:bookmarkEnd w:id="122"/>
            <w:bookmarkEnd w:id="123"/>
            <w:bookmarkEnd w:id="124"/>
            <w:r w:rsidRPr="006D689E">
              <w:rPr>
                <w:w w:val="100"/>
                <w:sz w:val="24"/>
                <w:szCs w:val="24"/>
              </w:rPr>
              <w:t>. „</w:t>
            </w:r>
            <w:r w:rsidRPr="006D689E">
              <w:rPr>
                <w:b/>
                <w:w w:val="100"/>
                <w:sz w:val="24"/>
                <w:szCs w:val="24"/>
              </w:rPr>
              <w:t>Důvěrnými informacemi</w:t>
            </w:r>
            <w:r w:rsidRPr="006D689E">
              <w:rPr>
                <w:w w:val="100"/>
                <w:sz w:val="24"/>
                <w:szCs w:val="24"/>
              </w:rPr>
              <w:t>“ se rozumí veškeré informace v jakékoli hmotné či nehmotné podobě, které může kterákoli ze smluvních stran („</w:t>
            </w:r>
            <w:r w:rsidRPr="006D689E">
              <w:rPr>
                <w:b/>
                <w:w w:val="100"/>
                <w:sz w:val="24"/>
                <w:szCs w:val="24"/>
              </w:rPr>
              <w:t>sdělující strana</w:t>
            </w:r>
            <w:r w:rsidRPr="006D689E">
              <w:rPr>
                <w:w w:val="100"/>
                <w:sz w:val="24"/>
                <w:szCs w:val="24"/>
              </w:rPr>
              <w:t>“) nebo jejím jménem sdělit druhé smluvní straně („</w:t>
            </w:r>
            <w:r w:rsidRPr="006D689E">
              <w:rPr>
                <w:b/>
                <w:w w:val="100"/>
                <w:sz w:val="24"/>
                <w:szCs w:val="24"/>
              </w:rPr>
              <w:t>přijímající strana</w:t>
            </w:r>
            <w:r w:rsidRPr="006D689E">
              <w:rPr>
                <w:w w:val="100"/>
                <w:sz w:val="24"/>
                <w:szCs w:val="24"/>
              </w:rPr>
              <w:t xml:space="preserve">“) nebo jejím zástupcům či schváleným subdodavatelům, a to písemně, ústně nebo na základě pozorování, a které nejsou veřejné, vlastnické právo, obchodní tajemství nebo důvěrnou povahu pro sdělující stranu, bez </w:t>
            </w:r>
            <w:r w:rsidRPr="006D689E">
              <w:rPr>
                <w:w w:val="100"/>
                <w:sz w:val="24"/>
                <w:szCs w:val="24"/>
              </w:rPr>
              <w:lastRenderedPageBreak/>
              <w:t xml:space="preserve">ohledu na to, zda byly v době sdělení označeny jako „důvěrné“, nebo informace získané nebo zaznamenané při provádění aferézních služeb nebo jakýchkoli jiných závazků podle této smlouvy nebo jakéhokoli prohlášení o pracovní činnosti.  </w:t>
            </w:r>
            <w:bookmarkStart w:id="125" w:name="_Hlk13413800"/>
            <w:r w:rsidRPr="006D689E">
              <w:rPr>
                <w:w w:val="100"/>
                <w:sz w:val="24"/>
                <w:szCs w:val="24"/>
              </w:rPr>
              <w:t xml:space="preserve">Kromě toho se podmínky této smlouvy považují za důvěrné informace, pokud to nezakazují platné právní předpisy týkající se </w:t>
            </w:r>
            <w:r w:rsidR="008F3A57">
              <w:rPr>
                <w:w w:val="100"/>
                <w:sz w:val="24"/>
                <w:szCs w:val="24"/>
              </w:rPr>
              <w:t>Centra</w:t>
            </w:r>
            <w:r w:rsidRPr="006D689E">
              <w:rPr>
                <w:w w:val="100"/>
                <w:sz w:val="24"/>
                <w:szCs w:val="24"/>
              </w:rPr>
              <w:t>.</w:t>
            </w:r>
            <w:bookmarkEnd w:id="125"/>
            <w:r w:rsidRPr="006D689E">
              <w:rPr>
                <w:w w:val="100"/>
                <w:sz w:val="24"/>
                <w:szCs w:val="24"/>
              </w:rPr>
              <w:t xml:space="preserve"> Neoznačení důvěrných informací jako „důvěrné“ je nezbavuje důvěrného zacházení podle této smlouvy, pokud by rozumná osoba na základě povahy informací nebo okolností jejich zveřejnění dospěla k závěru, že se jedná o důvěrné a proprietární vlastnictví </w:t>
            </w:r>
            <w:r w:rsidR="001B3E54">
              <w:rPr>
                <w:w w:val="100"/>
                <w:sz w:val="24"/>
                <w:szCs w:val="24"/>
              </w:rPr>
              <w:t xml:space="preserve">jedné </w:t>
            </w:r>
            <w:r w:rsidRPr="006D689E">
              <w:rPr>
                <w:w w:val="100"/>
                <w:sz w:val="24"/>
                <w:szCs w:val="24"/>
              </w:rPr>
              <w:t>strany. Přijímající strana nepoužije žádné důvěrné informace, které obdržela od sdělující strany, k jinému účelu než k plnění svých povinností podle této smlouvy, ani žádné takové důvěrné informace žádným způsobem nezpřístupní žádné třetí straně, pokud k tomu není výslovně zmocněna druhou stranou.  Důvěrné informace budou zpřístupněny pouze těm, kteří je potřebují znát v souvislosti s poskytováním služeb aferézy</w:t>
            </w:r>
            <w:bookmarkStart w:id="126" w:name="_Hlk13413998"/>
            <w:r w:rsidRPr="006D689E">
              <w:rPr>
                <w:w w:val="100"/>
                <w:sz w:val="24"/>
                <w:szCs w:val="24"/>
              </w:rPr>
              <w:t xml:space="preserve"> nebo v souvislosti s plněním jakýchkoli jiných závazků podle této smlouvy </w:t>
            </w:r>
            <w:bookmarkEnd w:id="126"/>
            <w:r w:rsidRPr="006D689E">
              <w:rPr>
                <w:w w:val="100"/>
                <w:sz w:val="24"/>
                <w:szCs w:val="24"/>
              </w:rPr>
              <w:t>a kteří písemně souhlasili s tím, že budou vázáni podmínkami, které jsou přinejmenším stejně přísné jako podmínky uvedené v této smlouvě, mimo jiné včetně zaměstnanců a zástupců stran, schválených subdodavatelů nebo nezávislých dodavatelů, kteří se podílejí na provádění služeb aferézy nebo jakýchkoli jiných závazků podle této smlouvy, a musí být chráněny se stejnou péčí, jaká je obvykle věnována důvěrným informacím v držení, opatrování nebo pod kontrolou strany, která důvěrné informace přijímá, avšak v žádném případě ne s menší než komerčně přiměřenou mírou péče. Povinnost mlčenlivosti a zákazu použití podle tohoto oddílu platí i po skončení platnosti smlouvy, dokud nejsou příslušné důvěrné informace známy veřejnosti.</w:t>
            </w:r>
          </w:p>
        </w:tc>
        <w:tc>
          <w:tcPr>
            <w:tcW w:w="2452" w:type="pct"/>
          </w:tcPr>
          <w:p w14:paraId="6CAA8B63" w14:textId="3BACD8A4" w:rsidR="00C32FF1" w:rsidRPr="0031164B" w:rsidRDefault="00D22083" w:rsidP="00D22083">
            <w:pPr>
              <w:pStyle w:val="Legal1L2"/>
              <w:numPr>
                <w:ilvl w:val="0"/>
                <w:numId w:val="0"/>
              </w:numPr>
              <w:rPr>
                <w:rFonts w:eastAsia="Times New Roman"/>
                <w:w w:val="100"/>
                <w:sz w:val="24"/>
                <w:szCs w:val="24"/>
                <w:u w:val="single"/>
                <w:lang w:val="en-GB"/>
              </w:rPr>
            </w:pPr>
            <w:r w:rsidRPr="00D22083">
              <w:rPr>
                <w:w w:val="100"/>
                <w:sz w:val="24"/>
                <w:szCs w:val="24"/>
                <w:lang w:val="en-GB"/>
              </w:rPr>
              <w:lastRenderedPageBreak/>
              <w:t>11.1</w:t>
            </w:r>
            <w:r w:rsidRPr="00D22083">
              <w:rPr>
                <w:w w:val="100"/>
                <w:sz w:val="24"/>
                <w:szCs w:val="24"/>
                <w:lang w:val="en-GB"/>
              </w:rPr>
              <w:tab/>
            </w:r>
            <w:r w:rsidR="00C32FF1" w:rsidRPr="0031164B">
              <w:rPr>
                <w:w w:val="100"/>
                <w:sz w:val="24"/>
                <w:szCs w:val="24"/>
                <w:u w:val="single"/>
                <w:lang w:val="en-GB"/>
              </w:rPr>
              <w:t>Confidential Information</w:t>
            </w:r>
            <w:r w:rsidR="00C32FF1" w:rsidRPr="0031164B">
              <w:rPr>
                <w:w w:val="100"/>
                <w:sz w:val="24"/>
                <w:szCs w:val="24"/>
                <w:lang w:val="en-GB"/>
              </w:rPr>
              <w:t>. “</w:t>
            </w:r>
            <w:r w:rsidR="00C32FF1" w:rsidRPr="0031164B">
              <w:rPr>
                <w:b/>
                <w:w w:val="100"/>
                <w:sz w:val="24"/>
                <w:szCs w:val="24"/>
                <w:lang w:val="en-GB"/>
              </w:rPr>
              <w:t>Confidential Information”</w:t>
            </w:r>
            <w:r w:rsidR="00C32FF1" w:rsidRPr="0031164B">
              <w:rPr>
                <w:w w:val="100"/>
                <w:sz w:val="24"/>
                <w:szCs w:val="24"/>
                <w:lang w:val="en-GB"/>
              </w:rPr>
              <w:t xml:space="preserve"> shall mean all information in any form, tangible or intangible, which may be disclosed by or on behalf of either Party (the “</w:t>
            </w:r>
            <w:r w:rsidR="00C32FF1" w:rsidRPr="0031164B">
              <w:rPr>
                <w:b/>
                <w:w w:val="100"/>
                <w:sz w:val="24"/>
                <w:szCs w:val="24"/>
                <w:lang w:val="en-GB"/>
              </w:rPr>
              <w:t>Disclosing Party</w:t>
            </w:r>
            <w:r w:rsidR="00C32FF1" w:rsidRPr="0031164B">
              <w:rPr>
                <w:w w:val="100"/>
                <w:sz w:val="24"/>
                <w:szCs w:val="24"/>
                <w:lang w:val="en-GB"/>
              </w:rPr>
              <w:t>”) to the other Party (the “</w:t>
            </w:r>
            <w:r w:rsidR="00C32FF1" w:rsidRPr="0031164B">
              <w:rPr>
                <w:b/>
                <w:w w:val="100"/>
                <w:sz w:val="24"/>
                <w:szCs w:val="24"/>
                <w:lang w:val="en-GB"/>
              </w:rPr>
              <w:t>Receiving Party</w:t>
            </w:r>
            <w:r w:rsidR="00C32FF1" w:rsidRPr="0031164B">
              <w:rPr>
                <w:w w:val="100"/>
                <w:sz w:val="24"/>
                <w:szCs w:val="24"/>
                <w:lang w:val="en-GB"/>
              </w:rPr>
              <w:t xml:space="preserve">”) or its representatives or Approved Subcontractors, in writing, orally or by observation, which is nonpublic, proprietary, a trade secret, or confidential in nature to the Disclosing Party, whether or not designated as </w:t>
            </w:r>
            <w:r w:rsidR="00C32FF1" w:rsidRPr="0031164B">
              <w:rPr>
                <w:w w:val="100"/>
                <w:sz w:val="24"/>
                <w:szCs w:val="24"/>
                <w:lang w:val="en-GB"/>
              </w:rPr>
              <w:lastRenderedPageBreak/>
              <w:t>“Confidential” at the time of the disclosure, or information developed or recorded in the conduct of performing Apheresis Services or any other obligations under this Agreement or any Statement of Work.  In addition, unless prohibited by Applicable Law pertaining to Center, the terms of this Agreement shall be considered Confidential Information. A failure to mark Confidential Information as “Confidential” shall not exempt it from confidential treatment hereunder if a reasonable person would conclude from the nature of the information or the circumstances of disclosure that it is the confidential and proprietary property of a Party. The Receiving Party shall not use any Confidential Information received from the Disclosing Party for any purpose other than for performing its obligations under this Agreement, nor disclose any such Confidential Information, in any way, to any Third Party, unless expressly authorized by the other Party.  Confidential Information shall be disclosed only to those who have a need to know it in connection with the performance of Apheresis Services or any other obligations under this Agreement and who have agreed, in writing, to be bound by terms at least as restrictive as those herein this Agreement, including, without limitation, the Parties’ employees, agents, Approved Subcontractors or independent contractors participating in the conduct of Apheresis Services or any other obligations under this Agreement, and shall be safeguarded with the same care normally afforded confidential information in the possession, custody or control of the Party receiving the Confidential Information, but in no event less than a commercially reasonable degree of care. The non-disclosure and non-use obligations under this section shall continue to apply upon expiry of the Agreement for as long as the relevant Confidential Information is not known to the public.</w:t>
            </w:r>
          </w:p>
        </w:tc>
      </w:tr>
      <w:tr w:rsidR="00C32FF1" w:rsidRPr="0031164B" w14:paraId="3C1BFCF3" w14:textId="03A2B995" w:rsidTr="00830D19">
        <w:tc>
          <w:tcPr>
            <w:tcW w:w="2548" w:type="pct"/>
          </w:tcPr>
          <w:p w14:paraId="313E3FA2" w14:textId="77777777" w:rsidR="00C32FF1" w:rsidRPr="006D689E" w:rsidRDefault="00C32FF1" w:rsidP="00C32FF1">
            <w:pPr>
              <w:pStyle w:val="Legal1L2"/>
              <w:ind w:left="0"/>
              <w:rPr>
                <w:rFonts w:eastAsia="Times New Roman"/>
                <w:w w:val="100"/>
                <w:sz w:val="24"/>
                <w:szCs w:val="24"/>
              </w:rPr>
            </w:pPr>
            <w:bookmarkStart w:id="127" w:name="_Toc6234337"/>
            <w:bookmarkStart w:id="128" w:name="_Toc6234015"/>
            <w:bookmarkStart w:id="129" w:name="_Toc256000041"/>
            <w:bookmarkStart w:id="130" w:name="_Ref39070047"/>
            <w:r w:rsidRPr="006D689E">
              <w:rPr>
                <w:w w:val="100"/>
                <w:sz w:val="24"/>
                <w:szCs w:val="24"/>
                <w:u w:val="single"/>
              </w:rPr>
              <w:lastRenderedPageBreak/>
              <w:t>Výjimky</w:t>
            </w:r>
            <w:bookmarkEnd w:id="127"/>
            <w:bookmarkEnd w:id="128"/>
            <w:bookmarkEnd w:id="129"/>
            <w:r w:rsidRPr="006D689E">
              <w:rPr>
                <w:w w:val="100"/>
                <w:sz w:val="24"/>
                <w:szCs w:val="24"/>
              </w:rPr>
              <w:t>. Výše uvedená ustanovení o důvěrnosti se nevztahují na tu část důvěrných informací, pro kterou je přijímající strana schopna prokázat příslušnými listinnými důkazy:</w:t>
            </w:r>
            <w:bookmarkEnd w:id="130"/>
            <w:r w:rsidRPr="006D689E">
              <w:rPr>
                <w:w w:val="100"/>
                <w:sz w:val="24"/>
                <w:szCs w:val="24"/>
              </w:rPr>
              <w:t xml:space="preserve"> </w:t>
            </w:r>
          </w:p>
        </w:tc>
        <w:tc>
          <w:tcPr>
            <w:tcW w:w="2452" w:type="pct"/>
          </w:tcPr>
          <w:p w14:paraId="14B63471" w14:textId="4C66BC14" w:rsidR="00C32FF1" w:rsidRPr="0031164B" w:rsidRDefault="00D22083" w:rsidP="00D22083">
            <w:pPr>
              <w:pStyle w:val="Legal1L2"/>
              <w:numPr>
                <w:ilvl w:val="0"/>
                <w:numId w:val="0"/>
              </w:numPr>
              <w:rPr>
                <w:rFonts w:eastAsia="Times New Roman"/>
                <w:w w:val="100"/>
                <w:sz w:val="24"/>
                <w:szCs w:val="24"/>
                <w:u w:val="single"/>
                <w:lang w:val="en-GB"/>
              </w:rPr>
            </w:pPr>
            <w:r w:rsidRPr="00D22083">
              <w:rPr>
                <w:w w:val="100"/>
                <w:sz w:val="24"/>
                <w:szCs w:val="24"/>
                <w:lang w:val="en-GB"/>
              </w:rPr>
              <w:t>11.2</w:t>
            </w:r>
            <w:r w:rsidRPr="00D22083">
              <w:rPr>
                <w:w w:val="100"/>
                <w:sz w:val="24"/>
                <w:szCs w:val="24"/>
                <w:lang w:val="en-GB"/>
              </w:rPr>
              <w:tab/>
            </w:r>
            <w:r w:rsidR="00C32FF1" w:rsidRPr="0031164B">
              <w:rPr>
                <w:w w:val="100"/>
                <w:sz w:val="24"/>
                <w:szCs w:val="24"/>
                <w:u w:val="single"/>
                <w:lang w:val="en-GB"/>
              </w:rPr>
              <w:t>Exceptions</w:t>
            </w:r>
            <w:r w:rsidR="00C32FF1" w:rsidRPr="0031164B">
              <w:rPr>
                <w:w w:val="100"/>
                <w:sz w:val="24"/>
                <w:szCs w:val="24"/>
                <w:lang w:val="en-GB"/>
              </w:rPr>
              <w:t xml:space="preserve">. The above provisions of confidentiality shall not apply to that part of the Confidential Information which the Receiving Party is able to demonstrate by competent documentary evidence: </w:t>
            </w:r>
          </w:p>
        </w:tc>
      </w:tr>
      <w:tr w:rsidR="00D22083" w:rsidRPr="0031164B" w14:paraId="27DAE5B0" w14:textId="6E527B7D" w:rsidTr="00830D19">
        <w:trPr>
          <w:trHeight w:val="8927"/>
        </w:trPr>
        <w:tc>
          <w:tcPr>
            <w:tcW w:w="2548" w:type="pct"/>
          </w:tcPr>
          <w:p w14:paraId="6FAC4078" w14:textId="77777777" w:rsidR="00D22083" w:rsidRPr="006D689E" w:rsidRDefault="00D22083" w:rsidP="00C32FF1">
            <w:pPr>
              <w:pStyle w:val="Legal1L3"/>
              <w:widowControl/>
              <w:numPr>
                <w:ilvl w:val="2"/>
                <w:numId w:val="1"/>
              </w:numPr>
              <w:adjustRightInd/>
              <w:ind w:left="0" w:firstLine="720"/>
              <w:rPr>
                <w:w w:val="100"/>
              </w:rPr>
            </w:pPr>
            <w:r w:rsidRPr="006D689E">
              <w:rPr>
                <w:w w:val="100"/>
              </w:rPr>
              <w:t xml:space="preserve">že byla v držení přijímající strany před jejich obdržením od sdělující strany a před jejich vytvořením podle této smlouvy; </w:t>
            </w:r>
          </w:p>
          <w:p w14:paraId="3E323DAB" w14:textId="77777777" w:rsidR="00D22083" w:rsidRPr="006D689E" w:rsidRDefault="00D22083" w:rsidP="00C32FF1">
            <w:pPr>
              <w:pStyle w:val="Legal1L3"/>
              <w:widowControl/>
              <w:numPr>
                <w:ilvl w:val="2"/>
                <w:numId w:val="1"/>
              </w:numPr>
              <w:adjustRightInd/>
              <w:ind w:left="720"/>
              <w:rPr>
                <w:w w:val="100"/>
              </w:rPr>
            </w:pPr>
            <w:r w:rsidRPr="006D689E">
              <w:rPr>
                <w:w w:val="100"/>
              </w:rPr>
              <w:t xml:space="preserve">že byla v době obdržení od sdělující strany veřejně dostupné; </w:t>
            </w:r>
          </w:p>
          <w:p w14:paraId="2874AF8D" w14:textId="77777777" w:rsidR="00D22083" w:rsidRPr="006D689E" w:rsidRDefault="00D22083" w:rsidP="00C32FF1">
            <w:pPr>
              <w:pStyle w:val="Legal1L3"/>
              <w:widowControl/>
              <w:numPr>
                <w:ilvl w:val="2"/>
                <w:numId w:val="1"/>
              </w:numPr>
              <w:adjustRightInd/>
              <w:ind w:left="0" w:firstLine="720"/>
              <w:rPr>
                <w:w w:val="100"/>
              </w:rPr>
            </w:pPr>
            <w:r w:rsidRPr="006D689E">
              <w:rPr>
                <w:w w:val="100"/>
              </w:rPr>
              <w:t xml:space="preserve">že se stala součástí veřejného prostoru bez zavinění přijímající strany, jejích ředitelů, vedoucích pracovníků, zaměstnanců nebo zástupců; </w:t>
            </w:r>
          </w:p>
          <w:p w14:paraId="1F7F7351" w14:textId="77777777" w:rsidR="00D22083" w:rsidRPr="006D689E" w:rsidRDefault="00D22083" w:rsidP="00C32FF1">
            <w:pPr>
              <w:pStyle w:val="Legal1L3"/>
              <w:widowControl/>
              <w:numPr>
                <w:ilvl w:val="2"/>
                <w:numId w:val="1"/>
              </w:numPr>
              <w:adjustRightInd/>
              <w:ind w:left="0" w:firstLine="720"/>
              <w:rPr>
                <w:w w:val="100"/>
              </w:rPr>
            </w:pPr>
            <w:r w:rsidRPr="006D689E">
              <w:rPr>
                <w:w w:val="100"/>
              </w:rPr>
              <w:t xml:space="preserve">že byla přijímající stranou zákonně získána od třetí strany, která nezveřejňuje informace jménem sdělující strany a má právo na jejich další zveřejnění; </w:t>
            </w:r>
          </w:p>
          <w:p w14:paraId="18C3BA9D" w14:textId="77779BA7" w:rsidR="00D22083" w:rsidRPr="006D689E" w:rsidRDefault="00D22083" w:rsidP="00C32FF1">
            <w:pPr>
              <w:pStyle w:val="Legal1L3"/>
              <w:numPr>
                <w:ilvl w:val="2"/>
                <w:numId w:val="1"/>
              </w:numPr>
              <w:ind w:left="0" w:firstLine="720"/>
              <w:rPr>
                <w:w w:val="100"/>
              </w:rPr>
            </w:pPr>
            <w:r w:rsidRPr="006D689E">
              <w:rPr>
                <w:w w:val="100"/>
              </w:rPr>
              <w:t>že musí být zveřejněna na základě zákona nebo jiného právního předpisu platného pro přijímající stranu za předpokladu, že přijímající strana neprodleně oznámí sdělující straně, že je povinna takové zveřejnění provést, aby sdělující strana mohla přijmout opatření k omezení rozsahu zveřejněných důvěrných informací nebo k jiné ochraně důvěrných informací, a dále za předpokladu, že přijímající strana omezí takové zveřejnění důvěrných informací v maximální možné míře.</w:t>
            </w:r>
          </w:p>
        </w:tc>
        <w:tc>
          <w:tcPr>
            <w:tcW w:w="2452" w:type="pct"/>
          </w:tcPr>
          <w:p w14:paraId="0D393420" w14:textId="77777777" w:rsidR="00D22083" w:rsidRPr="0031164B" w:rsidRDefault="00D22083" w:rsidP="00D22083">
            <w:pPr>
              <w:pStyle w:val="Legal1L3"/>
              <w:widowControl/>
              <w:numPr>
                <w:ilvl w:val="2"/>
                <w:numId w:val="82"/>
              </w:numPr>
              <w:adjustRightInd/>
              <w:ind w:left="0" w:firstLine="699"/>
              <w:rPr>
                <w:w w:val="100"/>
                <w:lang w:val="en-GB"/>
              </w:rPr>
            </w:pPr>
            <w:r w:rsidRPr="0031164B">
              <w:rPr>
                <w:w w:val="100"/>
                <w:lang w:val="en-GB"/>
              </w:rPr>
              <w:t xml:space="preserve">was in the Receiving Party’s possession prior to receipt from the Disclosing Party and prior to being generated under this Agreement; </w:t>
            </w:r>
          </w:p>
          <w:p w14:paraId="6691705C" w14:textId="77777777" w:rsidR="00D22083" w:rsidRPr="0031164B" w:rsidRDefault="00D22083" w:rsidP="00C32FF1">
            <w:pPr>
              <w:pStyle w:val="Legal1L3"/>
              <w:widowControl/>
              <w:numPr>
                <w:ilvl w:val="2"/>
                <w:numId w:val="1"/>
              </w:numPr>
              <w:adjustRightInd/>
              <w:ind w:left="720"/>
              <w:rPr>
                <w:w w:val="100"/>
                <w:lang w:val="en-GB"/>
              </w:rPr>
            </w:pPr>
            <w:r w:rsidRPr="0031164B">
              <w:rPr>
                <w:w w:val="100"/>
                <w:lang w:val="en-GB"/>
              </w:rPr>
              <w:t xml:space="preserve">was in the public domain at the time of receipt from the Disclosing Party; </w:t>
            </w:r>
          </w:p>
          <w:p w14:paraId="74907739" w14:textId="77777777" w:rsidR="00D22083" w:rsidRPr="0031164B" w:rsidRDefault="00D22083" w:rsidP="00C32FF1">
            <w:pPr>
              <w:pStyle w:val="Legal1L3"/>
              <w:widowControl/>
              <w:numPr>
                <w:ilvl w:val="2"/>
                <w:numId w:val="1"/>
              </w:numPr>
              <w:adjustRightInd/>
              <w:ind w:left="0" w:firstLine="720"/>
              <w:rPr>
                <w:w w:val="100"/>
                <w:lang w:val="en-GB"/>
              </w:rPr>
            </w:pPr>
            <w:r w:rsidRPr="0031164B">
              <w:rPr>
                <w:w w:val="100"/>
                <w:lang w:val="en-GB"/>
              </w:rPr>
              <w:t xml:space="preserve">became part of the public domain through no fault of the Receiving Party, its directors, officers, employees or agents; </w:t>
            </w:r>
          </w:p>
          <w:p w14:paraId="653AC4EF" w14:textId="77777777" w:rsidR="00D22083" w:rsidRPr="0031164B" w:rsidRDefault="00D22083" w:rsidP="00C32FF1">
            <w:pPr>
              <w:pStyle w:val="Legal1L3"/>
              <w:widowControl/>
              <w:numPr>
                <w:ilvl w:val="2"/>
                <w:numId w:val="1"/>
              </w:numPr>
              <w:adjustRightInd/>
              <w:ind w:left="0" w:firstLine="720"/>
              <w:rPr>
                <w:w w:val="100"/>
                <w:lang w:val="en-GB"/>
              </w:rPr>
            </w:pPr>
            <w:r w:rsidRPr="0031164B">
              <w:rPr>
                <w:w w:val="100"/>
                <w:lang w:val="en-GB"/>
              </w:rPr>
              <w:t xml:space="preserve">was lawfully received by the Receiving Party from a third party not disclosing the information on behalf of Disclosing Party and having a right of further disclosure; </w:t>
            </w:r>
          </w:p>
          <w:p w14:paraId="6D585C86" w14:textId="1AA1EF26" w:rsidR="00D22083" w:rsidRPr="0031164B" w:rsidRDefault="00D22083" w:rsidP="00C32FF1">
            <w:pPr>
              <w:pStyle w:val="Legal1L3"/>
              <w:numPr>
                <w:ilvl w:val="2"/>
                <w:numId w:val="1"/>
              </w:numPr>
              <w:ind w:left="0" w:firstLine="720"/>
              <w:rPr>
                <w:w w:val="100"/>
                <w:lang w:val="en-GB"/>
              </w:rPr>
            </w:pPr>
            <w:r w:rsidRPr="0031164B">
              <w:rPr>
                <w:w w:val="100"/>
                <w:lang w:val="en-GB"/>
              </w:rPr>
              <w:t>is required to be disclosed by law or regulation applicable to Receiving Party, provided that the Receiving Party gives prompt notice to the Disclosing Party that it is required to make such disclosure so that the Disclosing Party can take steps to limit the scope of the Confidential Information disclosed or otherwise to protect the Confidential Information and provided further that Receiving Party limits such disclosure of the Confidential Information to the maximum extent practicable.</w:t>
            </w:r>
          </w:p>
        </w:tc>
      </w:tr>
      <w:tr w:rsidR="00C32FF1" w:rsidRPr="0031164B" w14:paraId="78F0065E" w14:textId="2D15B41B" w:rsidTr="00830D19">
        <w:tc>
          <w:tcPr>
            <w:tcW w:w="2548" w:type="pct"/>
          </w:tcPr>
          <w:p w14:paraId="7B57F8C8" w14:textId="67333546" w:rsidR="00C32FF1" w:rsidRPr="006D689E" w:rsidRDefault="00C32FF1" w:rsidP="00C32FF1">
            <w:pPr>
              <w:jc w:val="both"/>
            </w:pPr>
            <w:bookmarkStart w:id="131" w:name="_Hlk13414654"/>
            <w:r w:rsidRPr="006D689E">
              <w:t xml:space="preserve">Bez ohledu na výše uvedené se důvěrné informace sdělené společností BMS </w:t>
            </w:r>
            <w:r w:rsidR="00C31532">
              <w:t>Centru</w:t>
            </w:r>
            <w:r w:rsidRPr="006D689E">
              <w:t xml:space="preserve"> nepovažují za veřejně dostupné nebo v držení </w:t>
            </w:r>
            <w:r w:rsidR="0075788A">
              <w:t>Centra</w:t>
            </w:r>
            <w:r w:rsidRPr="006D689E">
              <w:t xml:space="preserve"> jen proto, že jsou tyto důvěrné informace obsaženy v obecných sděleních, která jsou veřejně dostupná nebo v držení </w:t>
            </w:r>
            <w:r w:rsidR="0075788A">
              <w:t>Centra</w:t>
            </w:r>
            <w:r w:rsidRPr="006D689E">
              <w:t xml:space="preserve">, nebo je na ně v těchto sděleních odkazováno.  Kromě toho se jakákoli kombinace důvěrných </w:t>
            </w:r>
            <w:r w:rsidRPr="006D689E">
              <w:lastRenderedPageBreak/>
              <w:t xml:space="preserve">informací společnosti BMS nepovažuje za veřejně dostupnou nebo v držení </w:t>
            </w:r>
            <w:r w:rsidR="00193D07">
              <w:t>Centra</w:t>
            </w:r>
            <w:r w:rsidRPr="006D689E">
              <w:t xml:space="preserve"> jen proto, že její jednotlivé prvky jsou veřejně dostupné nebo v držení </w:t>
            </w:r>
            <w:r w:rsidR="00193D07">
              <w:t>Centra</w:t>
            </w:r>
            <w:r w:rsidRPr="006D689E">
              <w:t xml:space="preserve">, pokud tato kombinace a její principy nejsou veřejně dostupné nebo v držení </w:t>
            </w:r>
            <w:r w:rsidR="002F4714">
              <w:t>Centra</w:t>
            </w:r>
            <w:r w:rsidRPr="006D689E">
              <w:t>.</w:t>
            </w:r>
          </w:p>
        </w:tc>
        <w:tc>
          <w:tcPr>
            <w:tcW w:w="2452" w:type="pct"/>
          </w:tcPr>
          <w:p w14:paraId="34AB3E8F" w14:textId="5E124603" w:rsidR="00C32FF1" w:rsidRPr="0031164B" w:rsidRDefault="00C32FF1" w:rsidP="00C32FF1">
            <w:pPr>
              <w:jc w:val="both"/>
              <w:rPr>
                <w:lang w:val="en-GB"/>
              </w:rPr>
            </w:pPr>
            <w:r w:rsidRPr="0031164B">
              <w:rPr>
                <w:lang w:val="en-GB"/>
              </w:rPr>
              <w:lastRenderedPageBreak/>
              <w:t xml:space="preserve">Notwithstanding the foregoing, Confidential Information disclosed by BMS to Center shall not be deemed to be within the public domain or in the possession of Center merely because such Confidential Information is included in or referenced by general disclosures in the public domain or in the possession of Center.  In addition, any combination of Confidential </w:t>
            </w:r>
            <w:r w:rsidRPr="0031164B">
              <w:rPr>
                <w:lang w:val="en-GB"/>
              </w:rPr>
              <w:lastRenderedPageBreak/>
              <w:t>Information of BMS shall not be considered in the public domain or in the possession of Center merely because individual elements thereof are in the public domain or in the possession of Center, unless the combination and its principles are in the public domain or in the possession of Center.</w:t>
            </w:r>
          </w:p>
        </w:tc>
      </w:tr>
      <w:tr w:rsidR="00C32FF1" w:rsidRPr="0031164B" w14:paraId="6E3788BD" w14:textId="43BA5D88" w:rsidTr="00830D19">
        <w:tc>
          <w:tcPr>
            <w:tcW w:w="2548" w:type="pct"/>
          </w:tcPr>
          <w:p w14:paraId="15EADD46" w14:textId="328FB3C5" w:rsidR="00C32FF1" w:rsidRPr="006D689E" w:rsidRDefault="00C32FF1" w:rsidP="00C32FF1">
            <w:pPr>
              <w:pStyle w:val="Legal1L2"/>
              <w:ind w:left="0"/>
              <w:rPr>
                <w:rFonts w:eastAsia="Times New Roman"/>
                <w:w w:val="100"/>
                <w:sz w:val="24"/>
                <w:szCs w:val="24"/>
                <w:u w:val="single"/>
              </w:rPr>
            </w:pPr>
            <w:bookmarkStart w:id="132" w:name="_Toc6234338"/>
            <w:bookmarkStart w:id="133" w:name="_Toc6234016"/>
            <w:bookmarkStart w:id="134" w:name="_Toc256000042"/>
            <w:bookmarkEnd w:id="131"/>
            <w:r w:rsidRPr="006D689E">
              <w:rPr>
                <w:w w:val="100"/>
                <w:sz w:val="24"/>
                <w:szCs w:val="24"/>
                <w:u w:val="single"/>
              </w:rPr>
              <w:lastRenderedPageBreak/>
              <w:t>Vrácení důvěrných informací</w:t>
            </w:r>
            <w:bookmarkStart w:id="135" w:name="_Hlk13414771"/>
            <w:bookmarkEnd w:id="132"/>
            <w:bookmarkEnd w:id="133"/>
            <w:bookmarkEnd w:id="134"/>
            <w:r w:rsidRPr="006D689E">
              <w:rPr>
                <w:w w:val="100"/>
                <w:sz w:val="24"/>
                <w:szCs w:val="24"/>
                <w:u w:val="single"/>
              </w:rPr>
              <w:t>.</w:t>
            </w:r>
            <w:r w:rsidRPr="006D689E">
              <w:rPr>
                <w:w w:val="100"/>
                <w:sz w:val="24"/>
                <w:szCs w:val="24"/>
              </w:rPr>
              <w:t xml:space="preserve"> Přijímající strana souhlasí s tím, že na žádost sdělující strany vrátí sdělující straně nebo zničí veškeré kopie všech důvěrných informací, které si přijímající strana nebo její zástupci pořídili v listinné podobě, s výjimkou záznamů </w:t>
            </w:r>
            <w:r w:rsidR="00E0662B">
              <w:rPr>
                <w:w w:val="100"/>
                <w:sz w:val="24"/>
                <w:szCs w:val="24"/>
              </w:rPr>
              <w:t>Centra</w:t>
            </w:r>
            <w:r w:rsidRPr="006D689E">
              <w:rPr>
                <w:w w:val="100"/>
                <w:sz w:val="24"/>
                <w:szCs w:val="24"/>
              </w:rPr>
              <w:t>, avšak za předpokladu, že si přijímající strana může ponechat: (i) jednu (1) archivní kopii důvěrných informací sdělující strany v jejích zabezpečených souborech výhradně pro účely kontroly dodržování této smlouvy a platných právních předpisů; a (ii) kopie důvěrných informací sdělující strany vytvořené a uložené v rámci běžných technologických zálohovacích procesů přijímající strany.</w:t>
            </w:r>
            <w:bookmarkEnd w:id="135"/>
          </w:p>
        </w:tc>
        <w:tc>
          <w:tcPr>
            <w:tcW w:w="2452" w:type="pct"/>
          </w:tcPr>
          <w:p w14:paraId="5FA30298" w14:textId="11A66E0F" w:rsidR="00C32FF1" w:rsidRPr="0031164B" w:rsidRDefault="00112B70" w:rsidP="00D22083">
            <w:pPr>
              <w:pStyle w:val="Legal1L2"/>
              <w:numPr>
                <w:ilvl w:val="0"/>
                <w:numId w:val="0"/>
              </w:numPr>
              <w:rPr>
                <w:rFonts w:eastAsia="Times New Roman"/>
                <w:w w:val="100"/>
                <w:sz w:val="24"/>
                <w:szCs w:val="24"/>
                <w:u w:val="single"/>
                <w:lang w:val="en-GB"/>
              </w:rPr>
            </w:pPr>
            <w:r w:rsidRPr="00112B70">
              <w:rPr>
                <w:w w:val="100"/>
                <w:sz w:val="24"/>
                <w:szCs w:val="24"/>
                <w:lang w:val="en-GB"/>
              </w:rPr>
              <w:t>11.3</w:t>
            </w:r>
            <w:r w:rsidRPr="00112B70">
              <w:rPr>
                <w:w w:val="100"/>
                <w:sz w:val="24"/>
                <w:szCs w:val="24"/>
                <w:lang w:val="en-GB"/>
              </w:rPr>
              <w:tab/>
            </w:r>
            <w:r w:rsidR="00C32FF1" w:rsidRPr="0031164B">
              <w:rPr>
                <w:w w:val="100"/>
                <w:sz w:val="24"/>
                <w:szCs w:val="24"/>
                <w:u w:val="single"/>
                <w:lang w:val="en-GB"/>
              </w:rPr>
              <w:t>Return of Confidential Information.</w:t>
            </w:r>
            <w:r w:rsidR="00C32FF1" w:rsidRPr="0031164B">
              <w:rPr>
                <w:w w:val="100"/>
                <w:sz w:val="24"/>
                <w:szCs w:val="24"/>
                <w:lang w:val="en-GB"/>
              </w:rPr>
              <w:t xml:space="preserve"> The Receiving Party agrees that, at the Disclosing Party’s request, it shall return to the Disclosing Party or destroy any copies existing in documentary form thereof made by the Receiving Party or its representatives of all Confidential Information, not including Center’s Records, provided however, that the Receiving Party may retain: (i) one (1) archival copy of the Disclosing Party’s Confidential Information in its secure files solely for the purpose of monitoring compliance under this Agreement and Applicable Laws; and (ii) copies of the Disclosing Party’s Confidential Information made and stored as a part of the Receiving Party’s routine technology backup processes.</w:t>
            </w:r>
          </w:p>
        </w:tc>
      </w:tr>
      <w:tr w:rsidR="00C32FF1" w:rsidRPr="0031164B" w14:paraId="1AF17262" w14:textId="32E94BBF" w:rsidTr="00830D19">
        <w:tc>
          <w:tcPr>
            <w:tcW w:w="2548" w:type="pct"/>
          </w:tcPr>
          <w:p w14:paraId="6385B158" w14:textId="5EF68495" w:rsidR="00C32FF1" w:rsidRPr="006D689E" w:rsidRDefault="00C32FF1" w:rsidP="00C32FF1">
            <w:pPr>
              <w:pStyle w:val="Legal1L2"/>
              <w:ind w:left="0"/>
              <w:rPr>
                <w:rFonts w:eastAsia="Times New Roman"/>
                <w:w w:val="100"/>
                <w:sz w:val="24"/>
                <w:szCs w:val="24"/>
              </w:rPr>
            </w:pPr>
            <w:bookmarkStart w:id="136" w:name="_Hlk37059349"/>
            <w:r w:rsidRPr="006D689E">
              <w:rPr>
                <w:w w:val="100"/>
                <w:sz w:val="24"/>
                <w:szCs w:val="24"/>
                <w:u w:val="single"/>
              </w:rPr>
              <w:t>Osobní údaje.</w:t>
            </w:r>
            <w:r w:rsidRPr="006D689E">
              <w:rPr>
                <w:w w:val="100"/>
                <w:sz w:val="24"/>
                <w:szCs w:val="24"/>
              </w:rPr>
              <w:t xml:space="preserve"> Údaje poskytnuté </w:t>
            </w:r>
            <w:r w:rsidR="000C795B">
              <w:rPr>
                <w:w w:val="100"/>
                <w:sz w:val="24"/>
                <w:szCs w:val="24"/>
              </w:rPr>
              <w:t>Centr</w:t>
            </w:r>
            <w:r w:rsidR="0095635F">
              <w:rPr>
                <w:w w:val="100"/>
                <w:sz w:val="24"/>
                <w:szCs w:val="24"/>
              </w:rPr>
              <w:t>em</w:t>
            </w:r>
            <w:r w:rsidRPr="006D689E">
              <w:rPr>
                <w:w w:val="100"/>
                <w:sz w:val="24"/>
                <w:szCs w:val="24"/>
              </w:rPr>
              <w:t xml:space="preserve">, které zahrnují osobní údaje (jak jsou definovány v dodatku o ochraně osobních údajů), se považují za důvěrné informace podle této smlouvy; výjimky z důvěrnosti uvedené v oddíle </w:t>
            </w:r>
            <w:r w:rsidRPr="006D689E">
              <w:rPr>
                <w:rFonts w:eastAsia="Times New Roman"/>
                <w:w w:val="100"/>
                <w:sz w:val="24"/>
                <w:szCs w:val="24"/>
              </w:rPr>
              <w:fldChar w:fldCharType="begin" w:fldLock="1"/>
            </w:r>
            <w:r w:rsidRPr="006D689E">
              <w:rPr>
                <w:rFonts w:eastAsia="Times New Roman"/>
                <w:w w:val="100"/>
                <w:sz w:val="24"/>
                <w:szCs w:val="24"/>
              </w:rPr>
              <w:instrText xml:space="preserve"> REF _Ref39070047 \r \h  \* MERGEFORMAT </w:instrText>
            </w:r>
            <w:r w:rsidRPr="006D689E">
              <w:rPr>
                <w:rFonts w:eastAsia="Times New Roman"/>
                <w:w w:val="100"/>
                <w:sz w:val="24"/>
                <w:szCs w:val="24"/>
              </w:rPr>
            </w:r>
            <w:r w:rsidRPr="006D689E">
              <w:rPr>
                <w:rFonts w:eastAsia="Times New Roman"/>
                <w:w w:val="100"/>
                <w:sz w:val="24"/>
                <w:szCs w:val="24"/>
              </w:rPr>
              <w:fldChar w:fldCharType="separate"/>
            </w:r>
            <w:r w:rsidR="00816D6D">
              <w:rPr>
                <w:rFonts w:eastAsia="Times New Roman"/>
                <w:w w:val="100"/>
                <w:sz w:val="24"/>
                <w:szCs w:val="24"/>
              </w:rPr>
              <w:t>11.2</w:t>
            </w:r>
            <w:r w:rsidRPr="006D689E">
              <w:rPr>
                <w:rFonts w:eastAsia="Times New Roman"/>
                <w:w w:val="100"/>
                <w:sz w:val="24"/>
                <w:szCs w:val="24"/>
              </w:rPr>
              <w:fldChar w:fldCharType="end"/>
            </w:r>
            <w:r w:rsidRPr="006D689E">
              <w:rPr>
                <w:w w:val="100"/>
                <w:sz w:val="24"/>
                <w:szCs w:val="24"/>
              </w:rPr>
              <w:t xml:space="preserve"> se však nevztahují na osobní údaje sdílené mezi stranami podle této smlouvy.  Pokud je strana povinna zveřejnit osobní údaje za účelem dodržení platných právních předpisů o ochraně údajů (jak jsou definovány v dodatku o ochraně osobních údajů) nebo na žádost soudu či veřejného orgánu, strany použijí vhodná technická, administrativní a bezpečnostní opatření na jejich ochranu v souladu s podmínkami dodatku o ochraně osobních údajů. </w:t>
            </w:r>
          </w:p>
        </w:tc>
        <w:tc>
          <w:tcPr>
            <w:tcW w:w="2452" w:type="pct"/>
          </w:tcPr>
          <w:p w14:paraId="3B0BA45F" w14:textId="3A94D9AC" w:rsidR="00C32FF1" w:rsidRPr="0031164B" w:rsidRDefault="00112B70" w:rsidP="00112B70">
            <w:pPr>
              <w:pStyle w:val="Legal1L2"/>
              <w:numPr>
                <w:ilvl w:val="0"/>
                <w:numId w:val="0"/>
              </w:numPr>
              <w:rPr>
                <w:rFonts w:eastAsia="Times New Roman"/>
                <w:w w:val="100"/>
                <w:sz w:val="24"/>
                <w:szCs w:val="24"/>
                <w:u w:val="single"/>
                <w:lang w:val="en-GB"/>
              </w:rPr>
            </w:pPr>
            <w:r w:rsidRPr="00112B70">
              <w:rPr>
                <w:w w:val="100"/>
                <w:sz w:val="24"/>
                <w:szCs w:val="24"/>
                <w:lang w:val="en-GB"/>
              </w:rPr>
              <w:t>11.4</w:t>
            </w:r>
            <w:r w:rsidRPr="00112B70">
              <w:rPr>
                <w:w w:val="100"/>
                <w:sz w:val="24"/>
                <w:szCs w:val="24"/>
                <w:lang w:val="en-GB"/>
              </w:rPr>
              <w:tab/>
            </w:r>
            <w:r w:rsidR="00C32FF1" w:rsidRPr="0031164B">
              <w:rPr>
                <w:w w:val="100"/>
                <w:sz w:val="24"/>
                <w:szCs w:val="24"/>
                <w:u w:val="single"/>
                <w:lang w:val="en-GB"/>
              </w:rPr>
              <w:t>Personal Data.</w:t>
            </w:r>
            <w:r w:rsidR="00C32FF1" w:rsidRPr="0031164B">
              <w:rPr>
                <w:w w:val="100"/>
                <w:sz w:val="24"/>
                <w:szCs w:val="24"/>
                <w:lang w:val="en-GB"/>
              </w:rPr>
              <w:t xml:space="preserve"> Data provided by Center which includes Personal Data (as defined in the Data Privacy Addendum), shall be considered Confidential Information hereunder; however, the confidentiality exceptions noted under Section </w:t>
            </w:r>
            <w:r w:rsidR="00C32FF1" w:rsidRPr="0031164B">
              <w:rPr>
                <w:rFonts w:eastAsia="Times New Roman"/>
                <w:w w:val="100"/>
                <w:sz w:val="24"/>
                <w:szCs w:val="24"/>
                <w:lang w:val="en-GB"/>
              </w:rPr>
              <w:fldChar w:fldCharType="begin" w:fldLock="1"/>
            </w:r>
            <w:r w:rsidR="00C32FF1" w:rsidRPr="0031164B">
              <w:rPr>
                <w:rFonts w:eastAsia="Times New Roman"/>
                <w:w w:val="100"/>
                <w:sz w:val="24"/>
                <w:szCs w:val="24"/>
                <w:lang w:val="en-GB"/>
              </w:rPr>
              <w:instrText xml:space="preserve"> REF _Ref39070047 \r \h  \* MERGEFORMAT </w:instrText>
            </w:r>
            <w:r w:rsidR="00C32FF1" w:rsidRPr="0031164B">
              <w:rPr>
                <w:rFonts w:eastAsia="Times New Roman"/>
                <w:w w:val="100"/>
                <w:sz w:val="24"/>
                <w:szCs w:val="24"/>
                <w:lang w:val="en-GB"/>
              </w:rPr>
            </w:r>
            <w:r w:rsidR="00C32FF1" w:rsidRPr="0031164B">
              <w:rPr>
                <w:rFonts w:eastAsia="Times New Roman"/>
                <w:w w:val="100"/>
                <w:sz w:val="24"/>
                <w:szCs w:val="24"/>
                <w:lang w:val="en-GB"/>
              </w:rPr>
              <w:fldChar w:fldCharType="separate"/>
            </w:r>
            <w:r w:rsidR="00816D6D">
              <w:rPr>
                <w:rFonts w:eastAsia="Times New Roman"/>
                <w:w w:val="100"/>
                <w:sz w:val="24"/>
                <w:szCs w:val="24"/>
                <w:lang w:val="en-GB"/>
              </w:rPr>
              <w:t>11.2</w:t>
            </w:r>
            <w:r w:rsidR="00C32FF1" w:rsidRPr="0031164B">
              <w:rPr>
                <w:rFonts w:eastAsia="Times New Roman"/>
                <w:w w:val="100"/>
                <w:sz w:val="24"/>
                <w:szCs w:val="24"/>
                <w:lang w:val="en-GB"/>
              </w:rPr>
              <w:fldChar w:fldCharType="end"/>
            </w:r>
            <w:r w:rsidR="00C32FF1" w:rsidRPr="0031164B">
              <w:rPr>
                <w:w w:val="100"/>
                <w:sz w:val="24"/>
                <w:szCs w:val="24"/>
                <w:lang w:val="en-GB"/>
              </w:rPr>
              <w:t xml:space="preserve"> shall not apply to Personal Data shared between the Parties pursuant to this Agreement.  Where a Party is required to disclose Personal Data to comply with Applicable Data Protection Laws (as defined in the Data Privacy Addendum) or with a request from a court or an authority, the Parties shall employ appropriate technical, administrative, and security safeguards to protect it in accordance with the terms of the Data Privacy Addendum. </w:t>
            </w:r>
          </w:p>
        </w:tc>
      </w:tr>
      <w:tr w:rsidR="00C32FF1" w:rsidRPr="0031164B" w14:paraId="7F11C029" w14:textId="476D6763" w:rsidTr="00830D19">
        <w:tc>
          <w:tcPr>
            <w:tcW w:w="2548" w:type="pct"/>
          </w:tcPr>
          <w:p w14:paraId="3BBDE548" w14:textId="77777777" w:rsidR="00C32FF1" w:rsidRPr="006D689E" w:rsidRDefault="00C32FF1" w:rsidP="00C32FF1">
            <w:pPr>
              <w:pStyle w:val="Legal1L2"/>
              <w:ind w:left="0"/>
              <w:rPr>
                <w:rFonts w:eastAsia="Times New Roman"/>
                <w:w w:val="100"/>
                <w:sz w:val="24"/>
                <w:szCs w:val="24"/>
              </w:rPr>
            </w:pPr>
            <w:bookmarkStart w:id="137" w:name="_Hlk38869095"/>
            <w:bookmarkEnd w:id="136"/>
            <w:r w:rsidRPr="006D689E">
              <w:rPr>
                <w:w w:val="100"/>
                <w:sz w:val="24"/>
                <w:szCs w:val="24"/>
                <w:u w:val="single"/>
              </w:rPr>
              <w:t>Propagace.</w:t>
            </w:r>
            <w:r w:rsidRPr="006D689E">
              <w:rPr>
                <w:w w:val="100"/>
                <w:sz w:val="24"/>
                <w:szCs w:val="24"/>
              </w:rPr>
              <w:t xml:space="preserve"> Pokud není v tomto oddíle stanoveno jinak nebo pokud to nevyžadují platné právní předpisy, nesmí žádná ze stran používat jméno, loga, značky nebo obchodní názvy druhé strany (nebo jejích </w:t>
            </w:r>
            <w:r w:rsidRPr="006D689E">
              <w:rPr>
                <w:w w:val="100"/>
                <w:sz w:val="24"/>
                <w:szCs w:val="24"/>
              </w:rPr>
              <w:lastRenderedPageBreak/>
              <w:t xml:space="preserve">přidružených společností), mimo jiné v tiskových zprávách nebo veřejných oznámeních nebo při propagaci jakéhokoli produktu nebo služby bez předchozího písemného souhlasu druhé strany.  </w:t>
            </w:r>
          </w:p>
        </w:tc>
        <w:tc>
          <w:tcPr>
            <w:tcW w:w="2452" w:type="pct"/>
          </w:tcPr>
          <w:p w14:paraId="4B241F00" w14:textId="55C4AEE7" w:rsidR="00C32FF1" w:rsidRPr="0031164B" w:rsidRDefault="00112B70" w:rsidP="00112B70">
            <w:pPr>
              <w:pStyle w:val="Legal1L2"/>
              <w:numPr>
                <w:ilvl w:val="0"/>
                <w:numId w:val="0"/>
              </w:numPr>
              <w:rPr>
                <w:rFonts w:eastAsia="Times New Roman"/>
                <w:w w:val="100"/>
                <w:sz w:val="24"/>
                <w:szCs w:val="24"/>
                <w:u w:val="single"/>
                <w:lang w:val="en-GB"/>
              </w:rPr>
            </w:pPr>
            <w:r w:rsidRPr="00112B70">
              <w:rPr>
                <w:w w:val="100"/>
                <w:sz w:val="24"/>
                <w:szCs w:val="24"/>
                <w:lang w:val="en-GB"/>
              </w:rPr>
              <w:lastRenderedPageBreak/>
              <w:t>11.5</w:t>
            </w:r>
            <w:r w:rsidRPr="00112B70">
              <w:rPr>
                <w:w w:val="100"/>
                <w:sz w:val="24"/>
                <w:szCs w:val="24"/>
                <w:lang w:val="en-GB"/>
              </w:rPr>
              <w:tab/>
            </w:r>
            <w:r w:rsidR="00C32FF1" w:rsidRPr="0031164B">
              <w:rPr>
                <w:w w:val="100"/>
                <w:sz w:val="24"/>
                <w:szCs w:val="24"/>
                <w:u w:val="single"/>
                <w:lang w:val="en-GB"/>
              </w:rPr>
              <w:t>Publicity.</w:t>
            </w:r>
            <w:r w:rsidR="00C32FF1" w:rsidRPr="0031164B">
              <w:rPr>
                <w:w w:val="100"/>
                <w:sz w:val="24"/>
                <w:szCs w:val="24"/>
                <w:lang w:val="en-GB"/>
              </w:rPr>
              <w:t xml:space="preserve"> Except as otherwise set forth in this section, or as otherwise required by Applicable Law, neither Party shall use the name, logos, marks, or trade names of the other Party (or its Affiliates), including </w:t>
            </w:r>
            <w:r w:rsidR="00C32FF1" w:rsidRPr="0031164B">
              <w:rPr>
                <w:w w:val="100"/>
                <w:sz w:val="24"/>
                <w:szCs w:val="24"/>
                <w:lang w:val="en-GB"/>
              </w:rPr>
              <w:lastRenderedPageBreak/>
              <w:t xml:space="preserve">without limitation, in any press release or public announcement, or in the promotion of any Product or service without the prior written consent of the other Party.  </w:t>
            </w:r>
          </w:p>
        </w:tc>
      </w:tr>
      <w:tr w:rsidR="00112B70" w:rsidRPr="0031164B" w14:paraId="69DF0E7B" w14:textId="2210D87F" w:rsidTr="00830D19">
        <w:trPr>
          <w:trHeight w:val="9311"/>
        </w:trPr>
        <w:tc>
          <w:tcPr>
            <w:tcW w:w="2548" w:type="pct"/>
          </w:tcPr>
          <w:p w14:paraId="230ADD7D" w14:textId="7937175C" w:rsidR="00112B70" w:rsidRPr="006D689E" w:rsidRDefault="00112B70" w:rsidP="00C32FF1">
            <w:pPr>
              <w:pStyle w:val="Legal1L3"/>
              <w:widowControl/>
              <w:numPr>
                <w:ilvl w:val="2"/>
                <w:numId w:val="1"/>
              </w:numPr>
              <w:adjustRightInd/>
              <w:ind w:left="0"/>
              <w:rPr>
                <w:w w:val="100"/>
              </w:rPr>
            </w:pPr>
            <w:bookmarkStart w:id="138" w:name="_Hlk13440977"/>
            <w:bookmarkEnd w:id="137"/>
            <w:r w:rsidRPr="006D689E">
              <w:rPr>
                <w:w w:val="100"/>
              </w:rPr>
              <w:lastRenderedPageBreak/>
              <w:t xml:space="preserve">Společnost BMS může na svých webových stránkách a v dalších informačních materiálech pro veřejnost, a to jak v tištěné, tak v elektronické podobě, používat název, logo, telefonní číslo, místo (místa), kde se pacienti mohou léčit produktem či produkty, a odkaz na webové stránky </w:t>
            </w:r>
            <w:r w:rsidR="00825DEC">
              <w:rPr>
                <w:w w:val="100"/>
              </w:rPr>
              <w:t>Centra</w:t>
            </w:r>
            <w:r w:rsidRPr="006D689E">
              <w:rPr>
                <w:w w:val="100"/>
              </w:rPr>
              <w:t xml:space="preserve">, a to výhradně v souvislosti s identifikací kvalifikovaných </w:t>
            </w:r>
            <w:r w:rsidR="0075792C">
              <w:rPr>
                <w:w w:val="100"/>
              </w:rPr>
              <w:t>center</w:t>
            </w:r>
            <w:r w:rsidRPr="006D689E">
              <w:rPr>
                <w:w w:val="100"/>
              </w:rPr>
              <w:t xml:space="preserve"> pro zdravotnické pracovníky, kde se pacienti mohou léčit produktem či produkty.  </w:t>
            </w:r>
          </w:p>
          <w:p w14:paraId="6705F042" w14:textId="0E444B84" w:rsidR="00112B70" w:rsidRPr="006D689E" w:rsidRDefault="0075792C" w:rsidP="00C32FF1">
            <w:pPr>
              <w:pStyle w:val="Legal1L3"/>
              <w:numPr>
                <w:ilvl w:val="2"/>
                <w:numId w:val="1"/>
              </w:numPr>
              <w:ind w:left="0"/>
              <w:rPr>
                <w:w w:val="100"/>
              </w:rPr>
            </w:pPr>
            <w:r>
              <w:rPr>
                <w:w w:val="100"/>
              </w:rPr>
              <w:t>Centrum</w:t>
            </w:r>
            <w:r w:rsidR="00112B70" w:rsidRPr="006D689E">
              <w:rPr>
                <w:w w:val="100"/>
              </w:rPr>
              <w:t xml:space="preserve"> může používat obchodní název příslušného produktu nebo produktů v části svých webových stránek, která je určena výhradně pro zdravotnické pracovníky, a v dalších informačních materiálech v tištěné i elektronické podobě, které jsou určeny výhradně pro zdravotnické pracovníky, a to výhradně v souvislosti se svou identifikací jako kvalifikovaného </w:t>
            </w:r>
            <w:r w:rsidR="00B524C7">
              <w:rPr>
                <w:w w:val="100"/>
              </w:rPr>
              <w:t>centra</w:t>
            </w:r>
            <w:r w:rsidR="00112B70" w:rsidRPr="006D689E">
              <w:rPr>
                <w:w w:val="100"/>
              </w:rPr>
              <w:t xml:space="preserve"> oprávněného podávat takové produkty.  Strany berou na vědomí a souhlasí s tím, že společnost BMS nepožaduje, nežádá ani nenabádá </w:t>
            </w:r>
            <w:r w:rsidR="00FE1893">
              <w:rPr>
                <w:w w:val="100"/>
              </w:rPr>
              <w:t>Centrum</w:t>
            </w:r>
            <w:r w:rsidR="00112B70" w:rsidRPr="006D689E">
              <w:rPr>
                <w:w w:val="100"/>
              </w:rPr>
              <w:t xml:space="preserve">, aby jakýmkoli způsobem diskutovalo o produktech nebo je propagovalo, a neexistuje žádná povinnost ani očekávání, že </w:t>
            </w:r>
            <w:r w:rsidR="00366288">
              <w:rPr>
                <w:w w:val="100"/>
              </w:rPr>
              <w:t>Centrum</w:t>
            </w:r>
            <w:r w:rsidR="00112B70" w:rsidRPr="006D689E">
              <w:rPr>
                <w:w w:val="100"/>
              </w:rPr>
              <w:t xml:space="preserve"> bude o produktech diskutovat se zdravotnickými pracovníky.  </w:t>
            </w:r>
            <w:r w:rsidR="00366288">
              <w:rPr>
                <w:w w:val="100"/>
              </w:rPr>
              <w:t>Centrum</w:t>
            </w:r>
            <w:r w:rsidR="00112B70" w:rsidRPr="006D689E">
              <w:rPr>
                <w:w w:val="100"/>
              </w:rPr>
              <w:t xml:space="preserve"> je výhradně odpovědn</w:t>
            </w:r>
            <w:r w:rsidR="003A53BF">
              <w:rPr>
                <w:w w:val="100"/>
              </w:rPr>
              <w:t>é</w:t>
            </w:r>
            <w:r w:rsidR="00112B70" w:rsidRPr="006D689E">
              <w:rPr>
                <w:w w:val="100"/>
              </w:rPr>
              <w:t xml:space="preserve"> za obsah veškerých prohlášení a materiálů, které se rozhodne sdělit zdravotnickým pracovníkům o produktu, a za dodržování příslušných zákonů v souladu se svými interními zásadami a postupy.  </w:t>
            </w:r>
          </w:p>
        </w:tc>
        <w:tc>
          <w:tcPr>
            <w:tcW w:w="2452" w:type="pct"/>
          </w:tcPr>
          <w:p w14:paraId="4B95C267" w14:textId="77777777" w:rsidR="00112B70" w:rsidRPr="0031164B" w:rsidRDefault="00112B70" w:rsidP="00DC6A4A">
            <w:pPr>
              <w:pStyle w:val="Legal1L3"/>
              <w:widowControl/>
              <w:numPr>
                <w:ilvl w:val="2"/>
                <w:numId w:val="83"/>
              </w:numPr>
              <w:adjustRightInd/>
              <w:ind w:left="0"/>
              <w:rPr>
                <w:w w:val="100"/>
                <w:lang w:val="en-GB"/>
              </w:rPr>
            </w:pPr>
            <w:r w:rsidRPr="0031164B">
              <w:rPr>
                <w:w w:val="100"/>
                <w:lang w:val="en-GB"/>
              </w:rPr>
              <w:t xml:space="preserve">BMS may use Center’s name, logo, phone number, location(s) of Center, where patients may be treated with Product(s), and a link to Center’s website, on BMS’ website and in its other public-facing informational materials, both in print and electronic medium, solely in connection with identifying to healthcare professionals Qualified Centers where patients may receive treatment with Product(s).  </w:t>
            </w:r>
          </w:p>
          <w:p w14:paraId="7B4E3CFA" w14:textId="4B4FD05E" w:rsidR="00112B70" w:rsidRPr="0031164B" w:rsidRDefault="00112B70" w:rsidP="00C32FF1">
            <w:pPr>
              <w:pStyle w:val="Legal1L3"/>
              <w:numPr>
                <w:ilvl w:val="2"/>
                <w:numId w:val="1"/>
              </w:numPr>
              <w:ind w:left="0"/>
              <w:rPr>
                <w:w w:val="100"/>
                <w:lang w:val="en-GB"/>
              </w:rPr>
            </w:pPr>
            <w:r w:rsidRPr="0031164B">
              <w:rPr>
                <w:w w:val="100"/>
                <w:lang w:val="en-GB"/>
              </w:rPr>
              <w:t xml:space="preserve">Center may use the trade name of the applicable Product(s) on the section of its website that is exclusively intended for healthcare professionals and other informational materials, both in print and electronic medium, exclusively intended for healthcare professionals and solely in connection with identifying itself as a Qualified Center authorized to administer Product(s).  The Parties acknowledge and agree that BMS is not requiring, requesting or encouraging Center to discuss or promote the Products in any manner and there is no obligation or expectation that Center will discuss the Products with healthcare professionals.  Center will be solely responsible for the content of any statements and materials it chooses to communicate to healthcare professionals about the Product and compliance with Applicable Laws related thereto, in accordance with its internal policies and procedures.  </w:t>
            </w:r>
          </w:p>
        </w:tc>
      </w:tr>
      <w:tr w:rsidR="00C32FF1" w:rsidRPr="0031164B" w14:paraId="45925A35" w14:textId="419A04DC" w:rsidTr="00830D19">
        <w:tc>
          <w:tcPr>
            <w:tcW w:w="2548" w:type="pct"/>
          </w:tcPr>
          <w:p w14:paraId="45D9EAF1" w14:textId="77777777" w:rsidR="00C32FF1" w:rsidRDefault="00C32FF1" w:rsidP="00C32FF1">
            <w:pPr>
              <w:pStyle w:val="Legal1L2"/>
              <w:ind w:left="0"/>
              <w:rPr>
                <w:w w:val="100"/>
                <w:sz w:val="24"/>
                <w:szCs w:val="24"/>
              </w:rPr>
            </w:pPr>
            <w:bookmarkStart w:id="139" w:name="_Ref39070070"/>
            <w:bookmarkEnd w:id="138"/>
            <w:r w:rsidRPr="006D689E">
              <w:rPr>
                <w:w w:val="100"/>
                <w:sz w:val="24"/>
                <w:szCs w:val="24"/>
                <w:u w:val="single"/>
              </w:rPr>
              <w:t>Zveřejňování informací, podávání zpráv.</w:t>
            </w:r>
            <w:r w:rsidRPr="006D689E">
              <w:rPr>
                <w:w w:val="100"/>
                <w:sz w:val="24"/>
                <w:szCs w:val="24"/>
              </w:rPr>
              <w:t xml:space="preserve"> </w:t>
            </w:r>
            <w:bookmarkStart w:id="140" w:name="_Hlk13416876"/>
            <w:r w:rsidRPr="006D689E">
              <w:rPr>
                <w:w w:val="100"/>
                <w:sz w:val="24"/>
                <w:szCs w:val="24"/>
              </w:rPr>
              <w:t xml:space="preserve">Pokud to vyžadují platné právní předpisy, mají společnost </w:t>
            </w:r>
            <w:r w:rsidRPr="006D689E">
              <w:rPr>
                <w:w w:val="100"/>
              </w:rPr>
              <w:t>BMS</w:t>
            </w:r>
            <w:r w:rsidRPr="006D689E">
              <w:rPr>
                <w:w w:val="100"/>
                <w:sz w:val="24"/>
                <w:szCs w:val="24"/>
              </w:rPr>
              <w:t xml:space="preserve"> a </w:t>
            </w:r>
            <w:r w:rsidR="00C072B7">
              <w:rPr>
                <w:w w:val="100"/>
                <w:sz w:val="24"/>
                <w:szCs w:val="24"/>
              </w:rPr>
              <w:t>Centrum</w:t>
            </w:r>
            <w:r w:rsidRPr="006D689E">
              <w:rPr>
                <w:w w:val="100"/>
                <w:sz w:val="24"/>
                <w:szCs w:val="24"/>
              </w:rPr>
              <w:t xml:space="preserve"> právo zveřejňovat informace týkající se služeb aferézy a poskytování produktů.</w:t>
            </w:r>
            <w:bookmarkEnd w:id="139"/>
            <w:r w:rsidRPr="006D689E">
              <w:rPr>
                <w:w w:val="100"/>
                <w:sz w:val="24"/>
                <w:szCs w:val="24"/>
              </w:rPr>
              <w:t xml:space="preserve">  </w:t>
            </w:r>
            <w:bookmarkEnd w:id="140"/>
          </w:p>
          <w:p w14:paraId="7E8EC116" w14:textId="6D11BD59" w:rsidR="005F4D6A" w:rsidRPr="005F4D6A" w:rsidRDefault="005F4D6A" w:rsidP="005F4D6A">
            <w:pPr>
              <w:pStyle w:val="Zkladntext"/>
            </w:pPr>
          </w:p>
        </w:tc>
        <w:tc>
          <w:tcPr>
            <w:tcW w:w="2452" w:type="pct"/>
          </w:tcPr>
          <w:p w14:paraId="4CB94D41" w14:textId="682D7669" w:rsidR="00C32FF1" w:rsidRPr="0031164B" w:rsidRDefault="00112B70" w:rsidP="00112B70">
            <w:pPr>
              <w:pStyle w:val="Legal1L2"/>
              <w:numPr>
                <w:ilvl w:val="0"/>
                <w:numId w:val="0"/>
              </w:numPr>
              <w:rPr>
                <w:rFonts w:eastAsia="Times New Roman"/>
                <w:w w:val="100"/>
                <w:sz w:val="24"/>
                <w:szCs w:val="24"/>
                <w:u w:val="single"/>
                <w:lang w:val="en-GB"/>
              </w:rPr>
            </w:pPr>
            <w:r w:rsidRPr="00112B70">
              <w:rPr>
                <w:w w:val="100"/>
                <w:sz w:val="24"/>
                <w:szCs w:val="24"/>
                <w:lang w:val="en-GB"/>
              </w:rPr>
              <w:lastRenderedPageBreak/>
              <w:t>11.6</w:t>
            </w:r>
            <w:r w:rsidRPr="00112B70">
              <w:rPr>
                <w:w w:val="100"/>
                <w:sz w:val="24"/>
                <w:szCs w:val="24"/>
                <w:lang w:val="en-GB"/>
              </w:rPr>
              <w:tab/>
            </w:r>
            <w:r w:rsidR="00C32FF1" w:rsidRPr="0031164B">
              <w:rPr>
                <w:w w:val="100"/>
                <w:sz w:val="24"/>
                <w:szCs w:val="24"/>
                <w:u w:val="single"/>
                <w:lang w:val="en-GB"/>
              </w:rPr>
              <w:t>Disclosure, Reporting</w:t>
            </w:r>
            <w:r w:rsidR="00C32FF1" w:rsidRPr="0031164B">
              <w:rPr>
                <w:w w:val="100"/>
                <w:sz w:val="24"/>
                <w:szCs w:val="24"/>
                <w:lang w:val="en-GB"/>
              </w:rPr>
              <w:t xml:space="preserve">. In so far as required by Applicable Law, </w:t>
            </w:r>
            <w:r w:rsidR="00C32FF1" w:rsidRPr="0031164B">
              <w:rPr>
                <w:w w:val="100"/>
                <w:lang w:val="en-GB"/>
              </w:rPr>
              <w:t>BMS</w:t>
            </w:r>
            <w:r w:rsidR="00C32FF1" w:rsidRPr="0031164B">
              <w:rPr>
                <w:w w:val="100"/>
                <w:sz w:val="24"/>
                <w:szCs w:val="24"/>
                <w:lang w:val="en-GB"/>
              </w:rPr>
              <w:t xml:space="preserve"> and Center each have the right to disclose information relating to the Apheresis Services and provision of Product(s).  </w:t>
            </w:r>
          </w:p>
        </w:tc>
      </w:tr>
      <w:bookmarkEnd w:id="119"/>
      <w:tr w:rsidR="00C32FF1" w:rsidRPr="0031164B" w14:paraId="5CC134DE" w14:textId="4ACBA70C" w:rsidTr="00830D19">
        <w:tc>
          <w:tcPr>
            <w:tcW w:w="2548" w:type="pct"/>
          </w:tcPr>
          <w:p w14:paraId="1A9B8EC7"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r w:rsidRPr="006D689E">
              <w:rPr>
                <w:b/>
                <w:u w:val="none"/>
              </w:rPr>
              <w:t>DOBA TRVÁNÍ A UKONČENÍ</w:t>
            </w:r>
          </w:p>
        </w:tc>
        <w:tc>
          <w:tcPr>
            <w:tcW w:w="2452" w:type="pct"/>
          </w:tcPr>
          <w:p w14:paraId="01D444C4" w14:textId="3B4960AA" w:rsidR="00C32FF1" w:rsidRPr="0031164B" w:rsidRDefault="00C32FF1" w:rsidP="00DC6A4A">
            <w:pPr>
              <w:pStyle w:val="Legal1L1"/>
              <w:widowControl/>
              <w:numPr>
                <w:ilvl w:val="0"/>
                <w:numId w:val="84"/>
              </w:numPr>
              <w:tabs>
                <w:tab w:val="left" w:pos="1620"/>
              </w:tabs>
              <w:adjustRightInd/>
              <w:outlineLvl w:val="9"/>
              <w:rPr>
                <w:b/>
                <w:u w:val="none"/>
                <w:lang w:val="en-GB"/>
              </w:rPr>
            </w:pPr>
            <w:r w:rsidRPr="0031164B">
              <w:rPr>
                <w:b/>
                <w:u w:val="none"/>
                <w:lang w:val="en-GB"/>
              </w:rPr>
              <w:t>TERM AND TERMINATION</w:t>
            </w:r>
          </w:p>
        </w:tc>
      </w:tr>
      <w:tr w:rsidR="00C32FF1" w:rsidRPr="0031164B" w14:paraId="1A135CED" w14:textId="17DF4B12" w:rsidTr="00830D19">
        <w:tc>
          <w:tcPr>
            <w:tcW w:w="2548" w:type="pct"/>
          </w:tcPr>
          <w:p w14:paraId="7B161AE9" w14:textId="6A426BAA" w:rsidR="00C32FF1" w:rsidRPr="006D689E" w:rsidRDefault="00C32FF1" w:rsidP="00C32FF1">
            <w:pPr>
              <w:pStyle w:val="Legal1L2"/>
              <w:ind w:left="0"/>
              <w:rPr>
                <w:rFonts w:eastAsia="Times New Roman"/>
                <w:w w:val="100"/>
                <w:sz w:val="24"/>
                <w:szCs w:val="24"/>
              </w:rPr>
            </w:pPr>
            <w:bookmarkStart w:id="141" w:name="_Ref39069941"/>
            <w:r w:rsidRPr="006D689E">
              <w:rPr>
                <w:w w:val="100"/>
                <w:sz w:val="24"/>
                <w:szCs w:val="24"/>
                <w:u w:val="single"/>
              </w:rPr>
              <w:t>Doba trvání</w:t>
            </w:r>
            <w:bookmarkStart w:id="142" w:name="_Hlk13417214"/>
            <w:r w:rsidRPr="006D689E">
              <w:rPr>
                <w:w w:val="100"/>
                <w:sz w:val="24"/>
                <w:szCs w:val="24"/>
                <w:u w:val="single"/>
              </w:rPr>
              <w:t>.</w:t>
            </w:r>
            <w:r w:rsidRPr="006D689E">
              <w:rPr>
                <w:w w:val="100"/>
                <w:sz w:val="24"/>
                <w:szCs w:val="24"/>
              </w:rPr>
              <w:t xml:space="preserve"> Tato smlouva nabývá účinnosti ke dni účinnosti, a pokud nebude ukončena dříve podle tohoto oddílu, bude platit po dobu</w:t>
            </w:r>
            <w:r w:rsidR="004C0583">
              <w:rPr>
                <w:w w:val="100"/>
                <w:sz w:val="24"/>
                <w:szCs w:val="24"/>
              </w:rPr>
              <w:t xml:space="preserve"> </w:t>
            </w:r>
            <w:r w:rsidR="007427A5">
              <w:rPr>
                <w:w w:val="100"/>
                <w:sz w:val="24"/>
                <w:szCs w:val="24"/>
              </w:rPr>
              <w:t>platnosti Kupní smlouvy</w:t>
            </w:r>
            <w:r w:rsidR="007A3099">
              <w:rPr>
                <w:w w:val="100"/>
                <w:sz w:val="24"/>
                <w:szCs w:val="24"/>
              </w:rPr>
              <w:t xml:space="preserve"> vztahující se ke CAR-T produktům</w:t>
            </w:r>
            <w:r w:rsidR="00AA262C">
              <w:rPr>
                <w:w w:val="100"/>
                <w:sz w:val="24"/>
                <w:szCs w:val="24"/>
              </w:rPr>
              <w:t xml:space="preserve"> společnosti BMS</w:t>
            </w:r>
            <w:r w:rsidRPr="006D689E">
              <w:rPr>
                <w:w w:val="100"/>
                <w:sz w:val="24"/>
                <w:szCs w:val="24"/>
              </w:rPr>
              <w:t xml:space="preserve"> let („</w:t>
            </w:r>
            <w:r w:rsidRPr="006D689E">
              <w:rPr>
                <w:b/>
                <w:w w:val="100"/>
                <w:sz w:val="24"/>
                <w:szCs w:val="24"/>
              </w:rPr>
              <w:t>doba trvání</w:t>
            </w:r>
            <w:r w:rsidRPr="006D689E">
              <w:rPr>
                <w:w w:val="100"/>
                <w:sz w:val="24"/>
                <w:szCs w:val="24"/>
              </w:rPr>
              <w:t xml:space="preserve">“), </w:t>
            </w:r>
            <w:bookmarkEnd w:id="141"/>
            <w:bookmarkEnd w:id="142"/>
          </w:p>
        </w:tc>
        <w:tc>
          <w:tcPr>
            <w:tcW w:w="2452" w:type="pct"/>
          </w:tcPr>
          <w:p w14:paraId="6C4FBEF0" w14:textId="1CE4F7F2" w:rsidR="00C32FF1" w:rsidRPr="0031164B" w:rsidRDefault="006D689E" w:rsidP="006D689E">
            <w:pPr>
              <w:pStyle w:val="Legal1L2"/>
              <w:numPr>
                <w:ilvl w:val="0"/>
                <w:numId w:val="0"/>
              </w:numPr>
              <w:rPr>
                <w:rFonts w:eastAsia="Times New Roman"/>
                <w:w w:val="100"/>
                <w:sz w:val="24"/>
                <w:szCs w:val="24"/>
                <w:u w:val="single"/>
                <w:lang w:val="en-GB"/>
              </w:rPr>
            </w:pPr>
            <w:r w:rsidRPr="006D689E">
              <w:rPr>
                <w:w w:val="100"/>
                <w:sz w:val="24"/>
                <w:szCs w:val="24"/>
                <w:lang w:val="en-GB"/>
              </w:rPr>
              <w:t>12.1</w:t>
            </w:r>
            <w:r w:rsidRPr="006D689E">
              <w:rPr>
                <w:w w:val="100"/>
                <w:sz w:val="24"/>
                <w:szCs w:val="24"/>
                <w:lang w:val="en-GB"/>
              </w:rPr>
              <w:tab/>
            </w:r>
            <w:r w:rsidR="00C32FF1" w:rsidRPr="0031164B">
              <w:rPr>
                <w:w w:val="100"/>
                <w:sz w:val="24"/>
                <w:szCs w:val="24"/>
                <w:u w:val="single"/>
                <w:lang w:val="en-GB"/>
              </w:rPr>
              <w:t>Term.</w:t>
            </w:r>
            <w:r w:rsidR="00C32FF1" w:rsidRPr="0031164B">
              <w:rPr>
                <w:w w:val="100"/>
                <w:sz w:val="24"/>
                <w:szCs w:val="24"/>
                <w:lang w:val="en-GB"/>
              </w:rPr>
              <w:t xml:space="preserve"> This Agreement will become effective as of the Effective Date, and unless earlier terminated under this section, will continue in effect </w:t>
            </w:r>
            <w:r w:rsidR="00667B2A" w:rsidRPr="00667B2A">
              <w:rPr>
                <w:w w:val="100"/>
                <w:sz w:val="24"/>
                <w:szCs w:val="24"/>
                <w:lang w:val="en-GB"/>
              </w:rPr>
              <w:t>for the duration of the Purchase Agreement</w:t>
            </w:r>
            <w:r w:rsidR="00067E69">
              <w:rPr>
                <w:w w:val="100"/>
                <w:sz w:val="24"/>
                <w:szCs w:val="24"/>
                <w:lang w:val="en-GB"/>
              </w:rPr>
              <w:t xml:space="preserve"> </w:t>
            </w:r>
            <w:r w:rsidR="00067E69" w:rsidRPr="00067E69">
              <w:rPr>
                <w:w w:val="100"/>
                <w:sz w:val="24"/>
                <w:szCs w:val="24"/>
                <w:lang w:val="en-GB"/>
              </w:rPr>
              <w:t>relating to BMS CAR-T products</w:t>
            </w:r>
            <w:r w:rsidR="00067E69">
              <w:rPr>
                <w:w w:val="100"/>
                <w:sz w:val="24"/>
                <w:szCs w:val="24"/>
                <w:lang w:val="en-GB"/>
              </w:rPr>
              <w:t xml:space="preserve"> </w:t>
            </w:r>
            <w:r w:rsidR="00667B2A" w:rsidRPr="00667B2A" w:rsidDel="00667B2A">
              <w:rPr>
                <w:w w:val="100"/>
                <w:sz w:val="24"/>
                <w:szCs w:val="24"/>
                <w:lang w:val="en-GB"/>
              </w:rPr>
              <w:t xml:space="preserve"> </w:t>
            </w:r>
            <w:r w:rsidR="00C32FF1" w:rsidRPr="0031164B">
              <w:rPr>
                <w:w w:val="100"/>
                <w:sz w:val="24"/>
                <w:szCs w:val="24"/>
                <w:lang w:val="en-GB"/>
              </w:rPr>
              <w:t>(the “</w:t>
            </w:r>
            <w:r w:rsidR="00C32FF1" w:rsidRPr="0031164B">
              <w:rPr>
                <w:b/>
                <w:w w:val="100"/>
                <w:sz w:val="24"/>
                <w:szCs w:val="24"/>
                <w:lang w:val="en-GB"/>
              </w:rPr>
              <w:t>Term</w:t>
            </w:r>
            <w:r w:rsidR="00C32FF1" w:rsidRPr="0031164B">
              <w:rPr>
                <w:w w:val="100"/>
                <w:sz w:val="24"/>
                <w:szCs w:val="24"/>
                <w:lang w:val="en-GB"/>
              </w:rPr>
              <w:t xml:space="preserve"> </w:t>
            </w:r>
          </w:p>
        </w:tc>
      </w:tr>
      <w:tr w:rsidR="00C32FF1" w:rsidRPr="0031164B" w14:paraId="0BC21226" w14:textId="6A582F2F" w:rsidTr="00830D19">
        <w:tc>
          <w:tcPr>
            <w:tcW w:w="2548" w:type="pct"/>
          </w:tcPr>
          <w:p w14:paraId="73E0A25F" w14:textId="51807D31" w:rsidR="005F4D6A" w:rsidRPr="005F4D6A" w:rsidRDefault="00C32FF1" w:rsidP="005F4D6A">
            <w:pPr>
              <w:pStyle w:val="Zkladntext"/>
            </w:pPr>
            <w:r w:rsidRPr="006D689E">
              <w:rPr>
                <w:u w:val="single"/>
              </w:rPr>
              <w:t>Práva na ukončení smlouvy.</w:t>
            </w:r>
            <w:r w:rsidRPr="006D689E">
              <w:t xml:space="preserve">  Kterákoli ze stran („</w:t>
            </w:r>
            <w:r w:rsidRPr="006D689E">
              <w:rPr>
                <w:b/>
                <w:bCs/>
              </w:rPr>
              <w:t>strana, která neporušila smlouvu</w:t>
            </w:r>
            <w:r w:rsidRPr="006D689E">
              <w:t>“) může, aniž jsou dotčeny jakékoli jiné právní prostředky nápravy, vypovědět tuto smlouvu nebo jakékoli prohlášení o pracovní činnosti na základě písemného oznámení druhé straně („</w:t>
            </w:r>
            <w:r w:rsidRPr="006D689E">
              <w:rPr>
                <w:b/>
                <w:bCs/>
              </w:rPr>
              <w:t>strana, která porušila smlouvu</w:t>
            </w:r>
            <w:r w:rsidRPr="006D689E">
              <w:t>“) v případě, že strana, která porušila smlouvu, podstatně poruší tuto smlouvu a nenapraví toto porušení do třiceti (30) dnů (nebo v jiné lhůtě písemně dohodnuté stranami) od písemného oznámení strany, která neporušila smlouvu, v němž je údajné porušení smlouvy podrobně popsáno.</w:t>
            </w:r>
          </w:p>
        </w:tc>
        <w:tc>
          <w:tcPr>
            <w:tcW w:w="2452" w:type="pct"/>
          </w:tcPr>
          <w:p w14:paraId="5416FAD6" w14:textId="4F81B185" w:rsidR="00C32FF1" w:rsidRPr="0031164B" w:rsidRDefault="006D689E" w:rsidP="006D689E">
            <w:pPr>
              <w:pStyle w:val="Legal1L2"/>
              <w:numPr>
                <w:ilvl w:val="0"/>
                <w:numId w:val="0"/>
              </w:numPr>
              <w:rPr>
                <w:rFonts w:eastAsia="Times New Roman"/>
                <w:w w:val="100"/>
                <w:sz w:val="24"/>
                <w:szCs w:val="24"/>
                <w:u w:val="single"/>
                <w:lang w:val="en-GB"/>
              </w:rPr>
            </w:pPr>
            <w:r w:rsidRPr="006D689E">
              <w:rPr>
                <w:w w:val="100"/>
                <w:sz w:val="24"/>
                <w:szCs w:val="24"/>
                <w:lang w:val="en-GB"/>
              </w:rPr>
              <w:t>12.2</w:t>
            </w:r>
            <w:r w:rsidRPr="006D689E">
              <w:rPr>
                <w:w w:val="100"/>
                <w:sz w:val="24"/>
                <w:szCs w:val="24"/>
                <w:lang w:val="en-GB"/>
              </w:rPr>
              <w:tab/>
            </w:r>
            <w:r w:rsidR="00C32FF1" w:rsidRPr="0031164B">
              <w:rPr>
                <w:w w:val="100"/>
                <w:sz w:val="24"/>
                <w:szCs w:val="24"/>
                <w:u w:val="single"/>
                <w:lang w:val="en-GB"/>
              </w:rPr>
              <w:t>Termination Rights.</w:t>
            </w:r>
            <w:r w:rsidR="00C32FF1" w:rsidRPr="0031164B">
              <w:rPr>
                <w:w w:val="100"/>
                <w:sz w:val="24"/>
                <w:szCs w:val="24"/>
                <w:lang w:val="en-GB"/>
              </w:rPr>
              <w:t xml:space="preserve">  Either Party (the “</w:t>
            </w:r>
            <w:r w:rsidR="00C32FF1" w:rsidRPr="0031164B">
              <w:rPr>
                <w:b/>
                <w:bCs/>
                <w:w w:val="100"/>
                <w:sz w:val="24"/>
                <w:szCs w:val="24"/>
                <w:lang w:val="en-GB"/>
              </w:rPr>
              <w:t>Non-breaching Party</w:t>
            </w:r>
            <w:r w:rsidR="00C32FF1" w:rsidRPr="0031164B">
              <w:rPr>
                <w:w w:val="100"/>
                <w:sz w:val="24"/>
                <w:szCs w:val="24"/>
                <w:lang w:val="en-GB"/>
              </w:rPr>
              <w:t>”) may, without prejudice to any other remedies available to it at law, terminate this Agreement or any Statement of Work, upon written notice to the other Party (the “</w:t>
            </w:r>
            <w:r w:rsidR="00C32FF1" w:rsidRPr="0031164B">
              <w:rPr>
                <w:b/>
                <w:bCs/>
                <w:w w:val="100"/>
                <w:sz w:val="24"/>
                <w:szCs w:val="24"/>
                <w:lang w:val="en-GB"/>
              </w:rPr>
              <w:t>Breaching Party</w:t>
            </w:r>
            <w:r w:rsidR="00C32FF1" w:rsidRPr="0031164B">
              <w:rPr>
                <w:w w:val="100"/>
                <w:sz w:val="24"/>
                <w:szCs w:val="24"/>
                <w:lang w:val="en-GB"/>
              </w:rPr>
              <w:t xml:space="preserve">”) in the event the Breaching Party materially breaches this Agreement and does not cure such breach within thirty (30) days (or other timeframe agreed to in writing by the Parties) after written notice thereof from the Non-breaching Party describing with particularity the alleged breach.  </w:t>
            </w:r>
          </w:p>
        </w:tc>
      </w:tr>
      <w:tr w:rsidR="00C32FF1" w:rsidRPr="0031164B" w14:paraId="1AC501F9" w14:textId="27351757" w:rsidTr="00830D19">
        <w:tc>
          <w:tcPr>
            <w:tcW w:w="2548" w:type="pct"/>
          </w:tcPr>
          <w:p w14:paraId="2F3EE431" w14:textId="77777777" w:rsidR="00C32FF1" w:rsidRPr="006D689E" w:rsidRDefault="00C32FF1" w:rsidP="00C32FF1">
            <w:pPr>
              <w:pStyle w:val="Legal1L2"/>
              <w:ind w:left="0"/>
              <w:rPr>
                <w:rFonts w:eastAsia="Times New Roman"/>
                <w:w w:val="100"/>
                <w:sz w:val="24"/>
                <w:szCs w:val="24"/>
                <w:u w:val="single"/>
              </w:rPr>
            </w:pPr>
            <w:r w:rsidRPr="006D689E">
              <w:rPr>
                <w:w w:val="100"/>
                <w:sz w:val="24"/>
                <w:szCs w:val="24"/>
                <w:u w:val="single"/>
              </w:rPr>
              <w:t xml:space="preserve">Účinky ukončení.  </w:t>
            </w:r>
          </w:p>
        </w:tc>
        <w:tc>
          <w:tcPr>
            <w:tcW w:w="2452" w:type="pct"/>
          </w:tcPr>
          <w:p w14:paraId="3ACD1B14" w14:textId="62603A88" w:rsidR="00C32FF1" w:rsidRPr="006D689E" w:rsidRDefault="00C32FF1" w:rsidP="00DC6A4A">
            <w:pPr>
              <w:pStyle w:val="Legal1L2"/>
              <w:numPr>
                <w:ilvl w:val="1"/>
                <w:numId w:val="85"/>
              </w:numPr>
              <w:rPr>
                <w:rFonts w:eastAsia="Times New Roman"/>
                <w:w w:val="100"/>
                <w:sz w:val="24"/>
                <w:szCs w:val="24"/>
                <w:u w:val="single"/>
                <w:lang w:val="en-GB"/>
              </w:rPr>
            </w:pPr>
            <w:r w:rsidRPr="006D689E">
              <w:rPr>
                <w:w w:val="100"/>
                <w:sz w:val="24"/>
                <w:szCs w:val="24"/>
                <w:u w:val="single"/>
                <w:lang w:val="en-GB"/>
              </w:rPr>
              <w:t xml:space="preserve">Effects of Termination.  </w:t>
            </w:r>
          </w:p>
        </w:tc>
      </w:tr>
      <w:tr w:rsidR="006D689E" w:rsidRPr="0031164B" w14:paraId="1D91CA00" w14:textId="074F81FE" w:rsidTr="00830D19">
        <w:trPr>
          <w:trHeight w:val="3240"/>
        </w:trPr>
        <w:tc>
          <w:tcPr>
            <w:tcW w:w="2548" w:type="pct"/>
          </w:tcPr>
          <w:p w14:paraId="3F799D99" w14:textId="23907E62" w:rsidR="006D689E" w:rsidRPr="006D689E" w:rsidRDefault="006D689E" w:rsidP="00C32FF1">
            <w:pPr>
              <w:pStyle w:val="Legal1L3"/>
              <w:widowControl/>
              <w:numPr>
                <w:ilvl w:val="2"/>
                <w:numId w:val="1"/>
              </w:numPr>
              <w:adjustRightInd/>
              <w:ind w:left="-90"/>
              <w:rPr>
                <w:w w:val="100"/>
              </w:rPr>
            </w:pPr>
            <w:r w:rsidRPr="006D689E">
              <w:rPr>
                <w:w w:val="100"/>
                <w:u w:val="single"/>
              </w:rPr>
              <w:t>Důvěrné informace a záznamy.</w:t>
            </w:r>
            <w:r w:rsidRPr="006D689E">
              <w:rPr>
                <w:w w:val="100"/>
              </w:rPr>
              <w:t xml:space="preserve">  Každá strana přestane používat důvěrné informace druhé strany s výjimkou použití uvedených v oddílech </w:t>
            </w:r>
            <w:r w:rsidRPr="006D689E">
              <w:rPr>
                <w:w w:val="100"/>
              </w:rPr>
              <w:fldChar w:fldCharType="begin" w:fldLock="1"/>
            </w:r>
            <w:r w:rsidRPr="006D689E">
              <w:rPr>
                <w:w w:val="100"/>
              </w:rPr>
              <w:instrText xml:space="preserve"> REF _Ref39070047 \r \h  \* MERGEFORMAT </w:instrText>
            </w:r>
            <w:r w:rsidRPr="006D689E">
              <w:rPr>
                <w:w w:val="100"/>
              </w:rPr>
            </w:r>
            <w:r w:rsidRPr="006D689E">
              <w:rPr>
                <w:w w:val="100"/>
              </w:rPr>
              <w:fldChar w:fldCharType="separate"/>
            </w:r>
            <w:r w:rsidR="00816D6D">
              <w:rPr>
                <w:w w:val="100"/>
              </w:rPr>
              <w:t>11.2</w:t>
            </w:r>
            <w:r w:rsidRPr="006D689E">
              <w:rPr>
                <w:w w:val="100"/>
              </w:rPr>
              <w:fldChar w:fldCharType="end"/>
            </w:r>
            <w:r w:rsidRPr="006D689E">
              <w:rPr>
                <w:w w:val="100"/>
              </w:rPr>
              <w:t xml:space="preserve">(e) nebo </w:t>
            </w:r>
            <w:r w:rsidRPr="006D689E">
              <w:rPr>
                <w:w w:val="100"/>
              </w:rPr>
              <w:fldChar w:fldCharType="begin" w:fldLock="1"/>
            </w:r>
            <w:r w:rsidRPr="006D689E">
              <w:rPr>
                <w:w w:val="100"/>
              </w:rPr>
              <w:instrText xml:space="preserve"> REF _Ref39070070 \r \h  \* MERGEFORMAT </w:instrText>
            </w:r>
            <w:r w:rsidRPr="006D689E">
              <w:rPr>
                <w:w w:val="100"/>
              </w:rPr>
            </w:r>
            <w:r w:rsidRPr="006D689E">
              <w:rPr>
                <w:w w:val="100"/>
              </w:rPr>
              <w:fldChar w:fldCharType="separate"/>
            </w:r>
            <w:r w:rsidR="00816D6D">
              <w:rPr>
                <w:w w:val="100"/>
              </w:rPr>
              <w:t>11.6</w:t>
            </w:r>
            <w:r w:rsidRPr="006D689E">
              <w:rPr>
                <w:w w:val="100"/>
              </w:rPr>
              <w:fldChar w:fldCharType="end"/>
            </w:r>
            <w:r w:rsidRPr="006D689E">
              <w:rPr>
                <w:w w:val="100"/>
              </w:rPr>
              <w:t xml:space="preserve">.  </w:t>
            </w:r>
          </w:p>
          <w:p w14:paraId="12E95C97" w14:textId="2278E787" w:rsidR="006D689E" w:rsidRPr="006D689E" w:rsidRDefault="006D689E" w:rsidP="006D689E">
            <w:pPr>
              <w:pStyle w:val="Legal1L3"/>
              <w:numPr>
                <w:ilvl w:val="2"/>
                <w:numId w:val="1"/>
              </w:numPr>
              <w:ind w:left="0"/>
              <w:rPr>
                <w:w w:val="100"/>
              </w:rPr>
            </w:pPr>
            <w:r w:rsidRPr="006D689E">
              <w:rPr>
                <w:w w:val="100"/>
                <w:u w:val="single"/>
              </w:rPr>
              <w:t>Další povinnosti při ukončení smlouvy.</w:t>
            </w:r>
            <w:r w:rsidRPr="006D689E">
              <w:rPr>
                <w:w w:val="100"/>
              </w:rPr>
              <w:t xml:space="preserve">  Po ukončení této smlouvy (nebo jakéhokoli prohlášení o pracovní činnosti) podle tohoto oddílu přestane </w:t>
            </w:r>
            <w:r w:rsidR="00AC59BF">
              <w:rPr>
                <w:w w:val="100"/>
              </w:rPr>
              <w:t>Centrum</w:t>
            </w:r>
            <w:r w:rsidRPr="006D689E">
              <w:rPr>
                <w:w w:val="100"/>
              </w:rPr>
              <w:t xml:space="preserve"> zadávat jakékoli objednávky produktů na základě jakýchkoli provedených prohlášení o pracovní činnosti. </w:t>
            </w:r>
          </w:p>
        </w:tc>
        <w:tc>
          <w:tcPr>
            <w:tcW w:w="2452" w:type="pct"/>
          </w:tcPr>
          <w:p w14:paraId="25D5FE98" w14:textId="49FAF7EC" w:rsidR="006D689E" w:rsidRPr="0031164B" w:rsidRDefault="006D689E" w:rsidP="00DC6A4A">
            <w:pPr>
              <w:pStyle w:val="Legal1L3"/>
              <w:widowControl/>
              <w:numPr>
                <w:ilvl w:val="2"/>
                <w:numId w:val="86"/>
              </w:numPr>
              <w:adjustRightInd/>
              <w:ind w:left="0"/>
              <w:rPr>
                <w:w w:val="100"/>
                <w:u w:val="single"/>
                <w:lang w:val="en-GB"/>
              </w:rPr>
            </w:pPr>
            <w:r w:rsidRPr="0031164B">
              <w:rPr>
                <w:w w:val="100"/>
                <w:u w:val="single"/>
                <w:lang w:val="en-GB"/>
              </w:rPr>
              <w:t>Confidential Information and Records</w:t>
            </w:r>
            <w:r w:rsidRPr="0031164B">
              <w:rPr>
                <w:w w:val="100"/>
                <w:lang w:val="en-GB"/>
              </w:rPr>
              <w:t xml:space="preserve">.  Each Party will cease to make use of the other Party’s Confidential Information except for those uses specified in Sections </w:t>
            </w:r>
            <w:r w:rsidRPr="0031164B">
              <w:rPr>
                <w:w w:val="100"/>
                <w:lang w:val="en-GB"/>
              </w:rPr>
              <w:fldChar w:fldCharType="begin" w:fldLock="1"/>
            </w:r>
            <w:r w:rsidRPr="0031164B">
              <w:rPr>
                <w:w w:val="100"/>
                <w:lang w:val="en-GB"/>
              </w:rPr>
              <w:instrText xml:space="preserve"> REF _Ref39070047 \r \h  \* MERGEFORMAT </w:instrText>
            </w:r>
            <w:r w:rsidRPr="0031164B">
              <w:rPr>
                <w:w w:val="100"/>
                <w:lang w:val="en-GB"/>
              </w:rPr>
            </w:r>
            <w:r w:rsidRPr="0031164B">
              <w:rPr>
                <w:w w:val="100"/>
                <w:lang w:val="en-GB"/>
              </w:rPr>
              <w:fldChar w:fldCharType="separate"/>
            </w:r>
            <w:r w:rsidR="00816D6D">
              <w:rPr>
                <w:w w:val="100"/>
                <w:lang w:val="en-GB"/>
              </w:rPr>
              <w:t>11.2</w:t>
            </w:r>
            <w:r w:rsidRPr="0031164B">
              <w:rPr>
                <w:w w:val="100"/>
                <w:lang w:val="en-GB"/>
              </w:rPr>
              <w:fldChar w:fldCharType="end"/>
            </w:r>
            <w:r w:rsidRPr="0031164B">
              <w:rPr>
                <w:w w:val="100"/>
                <w:lang w:val="en-GB"/>
              </w:rPr>
              <w:t xml:space="preserve"> (e) or </w:t>
            </w:r>
            <w:r w:rsidRPr="0031164B">
              <w:rPr>
                <w:w w:val="100"/>
                <w:lang w:val="en-GB"/>
              </w:rPr>
              <w:fldChar w:fldCharType="begin" w:fldLock="1"/>
            </w:r>
            <w:r w:rsidRPr="0031164B">
              <w:rPr>
                <w:w w:val="100"/>
                <w:lang w:val="en-GB"/>
              </w:rPr>
              <w:instrText xml:space="preserve"> REF _Ref39070070 \r \h  \* MERGEFORMAT </w:instrText>
            </w:r>
            <w:r w:rsidRPr="0031164B">
              <w:rPr>
                <w:w w:val="100"/>
                <w:lang w:val="en-GB"/>
              </w:rPr>
            </w:r>
            <w:r w:rsidRPr="0031164B">
              <w:rPr>
                <w:w w:val="100"/>
                <w:lang w:val="en-GB"/>
              </w:rPr>
              <w:fldChar w:fldCharType="separate"/>
            </w:r>
            <w:r w:rsidR="00816D6D">
              <w:rPr>
                <w:w w:val="100"/>
                <w:lang w:val="en-GB"/>
              </w:rPr>
              <w:t>11.6</w:t>
            </w:r>
            <w:r w:rsidRPr="0031164B">
              <w:rPr>
                <w:w w:val="100"/>
                <w:lang w:val="en-GB"/>
              </w:rPr>
              <w:fldChar w:fldCharType="end"/>
            </w:r>
            <w:r w:rsidRPr="0031164B">
              <w:rPr>
                <w:w w:val="100"/>
                <w:lang w:val="en-GB"/>
              </w:rPr>
              <w:t xml:space="preserve">.  </w:t>
            </w:r>
          </w:p>
          <w:p w14:paraId="103AA420" w14:textId="1D94C558" w:rsidR="006D689E" w:rsidRPr="0031164B" w:rsidRDefault="006D689E" w:rsidP="006D689E">
            <w:pPr>
              <w:pStyle w:val="Legal1L3"/>
              <w:numPr>
                <w:ilvl w:val="2"/>
                <w:numId w:val="1"/>
              </w:numPr>
              <w:ind w:left="0"/>
              <w:rPr>
                <w:w w:val="100"/>
                <w:u w:val="single"/>
                <w:lang w:val="en-GB"/>
              </w:rPr>
            </w:pPr>
            <w:r w:rsidRPr="0031164B">
              <w:rPr>
                <w:w w:val="100"/>
                <w:u w:val="single"/>
                <w:lang w:val="en-GB"/>
              </w:rPr>
              <w:t>Other Obligations on Termination</w:t>
            </w:r>
            <w:r w:rsidRPr="0031164B">
              <w:rPr>
                <w:w w:val="100"/>
                <w:lang w:val="en-GB"/>
              </w:rPr>
              <w:t xml:space="preserve">.  Upon termination of this Agreement (or any Statement of Work) pursuant to this section, Center shall cease placing any Product Orders pursuant to any executed Statements of Work. </w:t>
            </w:r>
          </w:p>
        </w:tc>
      </w:tr>
      <w:tr w:rsidR="00C32FF1" w:rsidRPr="0031164B" w14:paraId="6CE6CD6F" w14:textId="2E2C696B" w:rsidTr="00830D19">
        <w:tc>
          <w:tcPr>
            <w:tcW w:w="2548" w:type="pct"/>
          </w:tcPr>
          <w:p w14:paraId="73CBCF90" w14:textId="77777777" w:rsidR="00C32FF1" w:rsidRPr="006D689E" w:rsidRDefault="00C32FF1" w:rsidP="00C32FF1">
            <w:pPr>
              <w:pStyle w:val="Legal1L2"/>
              <w:ind w:left="0"/>
              <w:rPr>
                <w:rFonts w:eastAsia="Times New Roman"/>
                <w:w w:val="100"/>
                <w:sz w:val="24"/>
                <w:szCs w:val="24"/>
              </w:rPr>
            </w:pPr>
            <w:r w:rsidRPr="006D689E">
              <w:rPr>
                <w:w w:val="100"/>
                <w:sz w:val="24"/>
                <w:szCs w:val="24"/>
                <w:u w:val="single"/>
              </w:rPr>
              <w:t>Opravné prostředky.</w:t>
            </w:r>
            <w:r w:rsidRPr="006D689E">
              <w:rPr>
                <w:w w:val="100"/>
                <w:sz w:val="24"/>
                <w:szCs w:val="24"/>
              </w:rPr>
              <w:t xml:space="preserve"> Ukončení, vypršení platnosti, zrušení nebo odstoupení od této smlouvy jakýmkoli způsobem a z jakéhokoli důvodu nezbavuje strany žádného závazku, který vznikl předtím, mimo jiné včetně závazku zaplatit peníze, a nejsou jím dotčena práva a opravné prostředky kterékoli </w:t>
            </w:r>
            <w:r w:rsidRPr="006D689E">
              <w:rPr>
                <w:w w:val="100"/>
                <w:sz w:val="24"/>
                <w:szCs w:val="24"/>
              </w:rPr>
              <w:lastRenderedPageBreak/>
              <w:t xml:space="preserve">strany v souvislosti s předchozím porušením kteréhokoli ustanovení této smlouvy.  </w:t>
            </w:r>
          </w:p>
        </w:tc>
        <w:tc>
          <w:tcPr>
            <w:tcW w:w="2452" w:type="pct"/>
          </w:tcPr>
          <w:p w14:paraId="78D4EBD5" w14:textId="702C18A0" w:rsidR="00C32FF1" w:rsidRPr="0031164B" w:rsidRDefault="006D689E" w:rsidP="006D689E">
            <w:pPr>
              <w:pStyle w:val="Legal1L2"/>
              <w:numPr>
                <w:ilvl w:val="0"/>
                <w:numId w:val="0"/>
              </w:numPr>
              <w:rPr>
                <w:rFonts w:eastAsia="Times New Roman"/>
                <w:w w:val="100"/>
                <w:sz w:val="24"/>
                <w:szCs w:val="24"/>
                <w:u w:val="single"/>
                <w:lang w:val="en-GB"/>
              </w:rPr>
            </w:pPr>
            <w:r w:rsidRPr="006D689E">
              <w:rPr>
                <w:w w:val="100"/>
                <w:sz w:val="24"/>
                <w:szCs w:val="24"/>
                <w:lang w:val="en-GB"/>
              </w:rPr>
              <w:lastRenderedPageBreak/>
              <w:t>12.4</w:t>
            </w:r>
            <w:r w:rsidRPr="006D689E">
              <w:rPr>
                <w:w w:val="100"/>
                <w:sz w:val="24"/>
                <w:szCs w:val="24"/>
                <w:lang w:val="en-GB"/>
              </w:rPr>
              <w:tab/>
            </w:r>
            <w:r w:rsidR="00C32FF1" w:rsidRPr="0031164B">
              <w:rPr>
                <w:w w:val="100"/>
                <w:sz w:val="24"/>
                <w:szCs w:val="24"/>
                <w:u w:val="single"/>
                <w:lang w:val="en-GB"/>
              </w:rPr>
              <w:t>Remedies</w:t>
            </w:r>
            <w:r w:rsidR="00C32FF1" w:rsidRPr="0031164B">
              <w:rPr>
                <w:w w:val="100"/>
                <w:sz w:val="24"/>
                <w:szCs w:val="24"/>
                <w:lang w:val="en-GB"/>
              </w:rPr>
              <w:t xml:space="preserve">. Termination, expiration, cancellation or abandonment of this Agreement through any means and for any reason will not relieve the Parties of any obligation accruing prior thereto, including, but not limited to, the obligation to pay money, and will be without prejudice to the rights and remedies of either Party with </w:t>
            </w:r>
            <w:r w:rsidR="00C32FF1" w:rsidRPr="0031164B">
              <w:rPr>
                <w:w w:val="100"/>
                <w:sz w:val="24"/>
                <w:szCs w:val="24"/>
                <w:lang w:val="en-GB"/>
              </w:rPr>
              <w:lastRenderedPageBreak/>
              <w:t xml:space="preserve">respect to the antecedent breach of any of the provisions of this Agreement.  </w:t>
            </w:r>
          </w:p>
        </w:tc>
      </w:tr>
      <w:tr w:rsidR="00C32FF1" w:rsidRPr="0031164B" w14:paraId="2F9014B2" w14:textId="0C411999" w:rsidTr="00830D19">
        <w:tc>
          <w:tcPr>
            <w:tcW w:w="2548" w:type="pct"/>
          </w:tcPr>
          <w:p w14:paraId="6D63FA8E" w14:textId="77777777" w:rsidR="00C32FF1" w:rsidRPr="006D689E" w:rsidRDefault="00C32FF1" w:rsidP="00C32FF1">
            <w:pPr>
              <w:pStyle w:val="Legal1L1"/>
              <w:widowControl/>
              <w:numPr>
                <w:ilvl w:val="0"/>
                <w:numId w:val="1"/>
              </w:numPr>
              <w:tabs>
                <w:tab w:val="left" w:pos="1440"/>
              </w:tabs>
              <w:adjustRightInd/>
              <w:ind w:left="0" w:firstLine="0"/>
              <w:outlineLvl w:val="9"/>
              <w:rPr>
                <w:b/>
                <w:u w:val="none"/>
              </w:rPr>
            </w:pPr>
            <w:r w:rsidRPr="006D689E">
              <w:rPr>
                <w:b/>
                <w:u w:val="none"/>
              </w:rPr>
              <w:lastRenderedPageBreak/>
              <w:t>DUŠEVNÍ VLASTNICTVÍ</w:t>
            </w:r>
          </w:p>
        </w:tc>
        <w:tc>
          <w:tcPr>
            <w:tcW w:w="2452" w:type="pct"/>
          </w:tcPr>
          <w:p w14:paraId="387FC678" w14:textId="7F92295E" w:rsidR="00C32FF1" w:rsidRPr="0031164B" w:rsidRDefault="00C32FF1" w:rsidP="00DC6A4A">
            <w:pPr>
              <w:pStyle w:val="Legal1L1"/>
              <w:widowControl/>
              <w:numPr>
                <w:ilvl w:val="0"/>
                <w:numId w:val="87"/>
              </w:numPr>
              <w:tabs>
                <w:tab w:val="left" w:pos="1440"/>
              </w:tabs>
              <w:adjustRightInd/>
              <w:outlineLvl w:val="9"/>
              <w:rPr>
                <w:b/>
                <w:u w:val="none"/>
                <w:lang w:val="en-GB"/>
              </w:rPr>
            </w:pPr>
            <w:r w:rsidRPr="0031164B">
              <w:rPr>
                <w:b/>
                <w:u w:val="none"/>
                <w:lang w:val="en-GB"/>
              </w:rPr>
              <w:t>INTELLECTUAL PROPERTY</w:t>
            </w:r>
          </w:p>
        </w:tc>
      </w:tr>
      <w:tr w:rsidR="00C32FF1" w:rsidRPr="0031164B" w14:paraId="7607ADC7" w14:textId="71F127B4" w:rsidTr="00830D19">
        <w:tc>
          <w:tcPr>
            <w:tcW w:w="2548" w:type="pct"/>
          </w:tcPr>
          <w:p w14:paraId="4576B4EC" w14:textId="77777777" w:rsidR="00C32FF1" w:rsidRPr="006D689E" w:rsidRDefault="00C32FF1" w:rsidP="00C32FF1">
            <w:pPr>
              <w:pStyle w:val="Legal1L2"/>
              <w:ind w:left="0"/>
              <w:rPr>
                <w:rFonts w:eastAsia="Times New Roman"/>
                <w:w w:val="100"/>
                <w:sz w:val="24"/>
                <w:szCs w:val="24"/>
              </w:rPr>
            </w:pPr>
            <w:r w:rsidRPr="006D689E">
              <w:rPr>
                <w:w w:val="100"/>
                <w:sz w:val="24"/>
                <w:szCs w:val="24"/>
                <w:u w:val="single"/>
              </w:rPr>
              <w:t>Duševní vlastnictví stávajících znalostí.</w:t>
            </w:r>
            <w:r w:rsidRPr="006D689E">
              <w:rPr>
                <w:w w:val="100"/>
                <w:sz w:val="24"/>
                <w:szCs w:val="24"/>
              </w:rPr>
              <w:t xml:space="preserve">  Žádná ze stran nepřevádí na druhou stranu žádná práva k vynálezům, patentovým přihláškám, patentům, přihláškám ochranných známek, ochranným známkám, přihláškám autorských práv, autorským právům nebo datům či jakýmkoli jiným vlastnickým právům, s výjimkou případů výslovně uvedených v této smlouvě.</w:t>
            </w:r>
          </w:p>
        </w:tc>
        <w:tc>
          <w:tcPr>
            <w:tcW w:w="2452" w:type="pct"/>
          </w:tcPr>
          <w:p w14:paraId="4B8D1E4C" w14:textId="70CBE9B9" w:rsidR="00C32FF1" w:rsidRPr="0031164B" w:rsidRDefault="006D689E" w:rsidP="006D689E">
            <w:pPr>
              <w:pStyle w:val="Legal1L2"/>
              <w:numPr>
                <w:ilvl w:val="0"/>
                <w:numId w:val="0"/>
              </w:numPr>
              <w:rPr>
                <w:rFonts w:eastAsia="Times New Roman"/>
                <w:w w:val="100"/>
                <w:sz w:val="24"/>
                <w:szCs w:val="24"/>
                <w:u w:val="single"/>
                <w:lang w:val="en-GB"/>
              </w:rPr>
            </w:pPr>
            <w:r w:rsidRPr="006D689E">
              <w:rPr>
                <w:w w:val="100"/>
                <w:sz w:val="24"/>
                <w:szCs w:val="24"/>
                <w:lang w:val="en-GB"/>
              </w:rPr>
              <w:t>13.1</w:t>
            </w:r>
            <w:r w:rsidRPr="006D689E">
              <w:rPr>
                <w:w w:val="100"/>
                <w:sz w:val="24"/>
                <w:szCs w:val="24"/>
                <w:lang w:val="en-GB"/>
              </w:rPr>
              <w:tab/>
            </w:r>
            <w:r w:rsidR="00C32FF1" w:rsidRPr="0031164B">
              <w:rPr>
                <w:w w:val="100"/>
                <w:sz w:val="24"/>
                <w:szCs w:val="24"/>
                <w:u w:val="single"/>
                <w:lang w:val="en-GB"/>
              </w:rPr>
              <w:t>Background Intellectual Property</w:t>
            </w:r>
            <w:r w:rsidR="00C32FF1" w:rsidRPr="0031164B">
              <w:rPr>
                <w:w w:val="100"/>
                <w:sz w:val="24"/>
                <w:szCs w:val="24"/>
                <w:lang w:val="en-GB"/>
              </w:rPr>
              <w:t>.  Neither Party transfers to the other Party any rights to any inventions, patent applications, patents, trademark applications, trademarks, copyright applications, copyrights or data or any other proprietary rights, except as expressly set forth in this Agreement.</w:t>
            </w:r>
          </w:p>
        </w:tc>
      </w:tr>
      <w:tr w:rsidR="00C32FF1" w:rsidRPr="0031164B" w14:paraId="3E2CBDCC" w14:textId="71FAA145" w:rsidTr="00830D19">
        <w:tc>
          <w:tcPr>
            <w:tcW w:w="2548" w:type="pct"/>
          </w:tcPr>
          <w:p w14:paraId="1FA2A8A6" w14:textId="70D5DB6E" w:rsidR="00C32FF1" w:rsidRPr="006D689E" w:rsidRDefault="00C32FF1" w:rsidP="00C32FF1">
            <w:pPr>
              <w:pStyle w:val="Legal1L2"/>
              <w:ind w:left="0"/>
              <w:rPr>
                <w:rFonts w:eastAsia="Times New Roman"/>
                <w:w w:val="100"/>
                <w:sz w:val="24"/>
                <w:szCs w:val="24"/>
              </w:rPr>
            </w:pPr>
            <w:bookmarkStart w:id="143" w:name="_Ref39070143"/>
            <w:bookmarkStart w:id="144" w:name="_Hlk38888323"/>
            <w:r w:rsidRPr="006D689E">
              <w:rPr>
                <w:w w:val="100"/>
                <w:sz w:val="24"/>
                <w:szCs w:val="24"/>
                <w:u w:val="single"/>
              </w:rPr>
              <w:t xml:space="preserve">Vlastnictví </w:t>
            </w:r>
            <w:r w:rsidR="008811E1">
              <w:rPr>
                <w:w w:val="100"/>
                <w:sz w:val="24"/>
                <w:szCs w:val="24"/>
                <w:u w:val="single"/>
              </w:rPr>
              <w:t>Centra</w:t>
            </w:r>
            <w:r w:rsidRPr="006D689E">
              <w:rPr>
                <w:w w:val="100"/>
                <w:sz w:val="24"/>
                <w:szCs w:val="24"/>
                <w:u w:val="single"/>
              </w:rPr>
              <w:t>.</w:t>
            </w:r>
            <w:r w:rsidRPr="006D689E">
              <w:rPr>
                <w:w w:val="100"/>
                <w:sz w:val="24"/>
                <w:szCs w:val="24"/>
              </w:rPr>
              <w:t xml:space="preserve"> </w:t>
            </w:r>
            <w:r w:rsidR="008811E1">
              <w:rPr>
                <w:w w:val="100"/>
                <w:sz w:val="24"/>
                <w:szCs w:val="24"/>
              </w:rPr>
              <w:t>Centrum</w:t>
            </w:r>
            <w:r w:rsidRPr="006D689E">
              <w:rPr>
                <w:w w:val="100"/>
                <w:sz w:val="24"/>
                <w:szCs w:val="24"/>
              </w:rPr>
              <w:t xml:space="preserve"> vlastní své vlastní technologie, postupy, know-how, obchodní tajemství a další duševní vlastnictví, které byly vyvinuty nezávisle bez využití důvěrných informací nebo jiného hmotného či nehmotného majetku společnosti </w:t>
            </w:r>
            <w:r w:rsidRPr="006D689E">
              <w:rPr>
                <w:w w:val="100"/>
              </w:rPr>
              <w:t>BMS</w:t>
            </w:r>
            <w:r w:rsidRPr="006D689E">
              <w:rPr>
                <w:w w:val="100"/>
                <w:sz w:val="24"/>
                <w:szCs w:val="24"/>
              </w:rPr>
              <w:t xml:space="preserve"> (společně jen „</w:t>
            </w:r>
            <w:r w:rsidRPr="006D689E">
              <w:rPr>
                <w:b/>
                <w:w w:val="100"/>
                <w:sz w:val="24"/>
                <w:szCs w:val="24"/>
              </w:rPr>
              <w:t xml:space="preserve">vlastnictví </w:t>
            </w:r>
            <w:r w:rsidR="007D55E2">
              <w:rPr>
                <w:b/>
                <w:w w:val="100"/>
                <w:sz w:val="24"/>
                <w:szCs w:val="24"/>
              </w:rPr>
              <w:t>Centra</w:t>
            </w:r>
            <w:r w:rsidRPr="006D689E">
              <w:rPr>
                <w:w w:val="100"/>
                <w:sz w:val="24"/>
                <w:szCs w:val="24"/>
              </w:rPr>
              <w:t xml:space="preserve">“).  Vlastnické právo k jakémukoli novému a patentovatelnému objevu nebo vynálezu a ke všem souvisejícím právům duševního vlastnictví, které byly vymyšleny, vytvořeny nebo převedeny do praxe výhradně </w:t>
            </w:r>
            <w:r w:rsidR="00C2749D">
              <w:rPr>
                <w:w w:val="100"/>
                <w:sz w:val="24"/>
                <w:szCs w:val="24"/>
              </w:rPr>
              <w:t>Centrem</w:t>
            </w:r>
            <w:r w:rsidRPr="006D689E">
              <w:rPr>
                <w:w w:val="100"/>
                <w:sz w:val="24"/>
                <w:szCs w:val="24"/>
              </w:rPr>
              <w:t xml:space="preserve"> k vlastnictví </w:t>
            </w:r>
            <w:r w:rsidR="00F5626A">
              <w:rPr>
                <w:w w:val="100"/>
                <w:sz w:val="24"/>
                <w:szCs w:val="24"/>
              </w:rPr>
              <w:t>Centra</w:t>
            </w:r>
            <w:r w:rsidRPr="006D689E">
              <w:rPr>
                <w:w w:val="100"/>
                <w:sz w:val="24"/>
                <w:szCs w:val="24"/>
              </w:rPr>
              <w:t xml:space="preserve"> při poskytování aferézních služeb („</w:t>
            </w:r>
            <w:r w:rsidRPr="006D689E">
              <w:rPr>
                <w:b/>
                <w:w w:val="100"/>
                <w:sz w:val="24"/>
                <w:szCs w:val="24"/>
              </w:rPr>
              <w:t>vynálezy střediska</w:t>
            </w:r>
            <w:r w:rsidRPr="006D689E">
              <w:rPr>
                <w:w w:val="100"/>
                <w:sz w:val="24"/>
                <w:szCs w:val="24"/>
              </w:rPr>
              <w:t xml:space="preserve">“), náleží výhradně </w:t>
            </w:r>
            <w:r w:rsidR="00517EB9">
              <w:rPr>
                <w:w w:val="100"/>
                <w:sz w:val="24"/>
                <w:szCs w:val="24"/>
              </w:rPr>
              <w:t>Centru</w:t>
            </w:r>
            <w:r w:rsidRPr="006D689E">
              <w:rPr>
                <w:w w:val="100"/>
                <w:sz w:val="24"/>
                <w:szCs w:val="24"/>
              </w:rPr>
              <w:t>.  .</w:t>
            </w:r>
            <w:bookmarkEnd w:id="143"/>
          </w:p>
        </w:tc>
        <w:tc>
          <w:tcPr>
            <w:tcW w:w="2452" w:type="pct"/>
          </w:tcPr>
          <w:p w14:paraId="3709CB94" w14:textId="030658D4" w:rsidR="00C32FF1" w:rsidRPr="0031164B" w:rsidRDefault="006D689E" w:rsidP="006D689E">
            <w:pPr>
              <w:pStyle w:val="Legal1L2"/>
              <w:numPr>
                <w:ilvl w:val="0"/>
                <w:numId w:val="0"/>
              </w:numPr>
              <w:rPr>
                <w:rFonts w:eastAsia="Times New Roman"/>
                <w:w w:val="100"/>
                <w:sz w:val="24"/>
                <w:szCs w:val="24"/>
                <w:u w:val="single"/>
                <w:lang w:val="en-GB"/>
              </w:rPr>
            </w:pPr>
            <w:r w:rsidRPr="006D689E">
              <w:rPr>
                <w:w w:val="100"/>
                <w:sz w:val="24"/>
                <w:szCs w:val="24"/>
                <w:lang w:val="en-GB"/>
              </w:rPr>
              <w:t>13.2</w:t>
            </w:r>
            <w:r w:rsidRPr="006D689E">
              <w:rPr>
                <w:w w:val="100"/>
                <w:sz w:val="24"/>
                <w:szCs w:val="24"/>
                <w:lang w:val="en-GB"/>
              </w:rPr>
              <w:tab/>
            </w:r>
            <w:r w:rsidR="00C32FF1" w:rsidRPr="0031164B">
              <w:rPr>
                <w:w w:val="100"/>
                <w:sz w:val="24"/>
                <w:szCs w:val="24"/>
                <w:u w:val="single"/>
                <w:lang w:val="en-GB"/>
              </w:rPr>
              <w:t>Center Property.</w:t>
            </w:r>
            <w:r w:rsidR="00C32FF1" w:rsidRPr="0031164B">
              <w:rPr>
                <w:w w:val="100"/>
                <w:sz w:val="24"/>
                <w:szCs w:val="24"/>
                <w:lang w:val="en-GB"/>
              </w:rPr>
              <w:t xml:space="preserve"> Center possesses its own technologies, processes, know-how, trade secrets, and other intellectual property which have been independently developed without the benefit of any Confidential Information or any other tangible or intangible property of </w:t>
            </w:r>
            <w:r w:rsidR="00C32FF1" w:rsidRPr="0031164B">
              <w:rPr>
                <w:w w:val="100"/>
                <w:lang w:val="en-GB"/>
              </w:rPr>
              <w:t>BMS</w:t>
            </w:r>
            <w:r w:rsidR="00C32FF1" w:rsidRPr="0031164B">
              <w:rPr>
                <w:w w:val="100"/>
                <w:sz w:val="24"/>
                <w:szCs w:val="24"/>
                <w:lang w:val="en-GB"/>
              </w:rPr>
              <w:t xml:space="preserve"> (collectively “</w:t>
            </w:r>
            <w:r w:rsidR="00C32FF1" w:rsidRPr="0031164B">
              <w:rPr>
                <w:b/>
                <w:w w:val="100"/>
                <w:sz w:val="24"/>
                <w:szCs w:val="24"/>
                <w:lang w:val="en-GB"/>
              </w:rPr>
              <w:t>Center Property</w:t>
            </w:r>
            <w:r w:rsidR="00C32FF1" w:rsidRPr="0031164B">
              <w:rPr>
                <w:w w:val="100"/>
                <w:sz w:val="24"/>
                <w:szCs w:val="24"/>
                <w:lang w:val="en-GB"/>
              </w:rPr>
              <w:t>”).  Title to any new and patentable discovery or invention and all related intellectual property rights conceived, made or reduced to practice solely by Center to Center Property in the performance of the Apheresis Services (“</w:t>
            </w:r>
            <w:r w:rsidR="00C32FF1" w:rsidRPr="0031164B">
              <w:rPr>
                <w:b/>
                <w:w w:val="100"/>
                <w:sz w:val="24"/>
                <w:szCs w:val="24"/>
                <w:lang w:val="en-GB"/>
              </w:rPr>
              <w:t>Center Inventions</w:t>
            </w:r>
            <w:r w:rsidR="00C32FF1" w:rsidRPr="0031164B">
              <w:rPr>
                <w:w w:val="100"/>
                <w:sz w:val="24"/>
                <w:szCs w:val="24"/>
                <w:lang w:val="en-GB"/>
              </w:rPr>
              <w:t xml:space="preserve">”) shall vest exclusively in Center.  </w:t>
            </w:r>
          </w:p>
        </w:tc>
      </w:tr>
      <w:tr w:rsidR="00C32FF1" w:rsidRPr="0031164B" w14:paraId="48F54F44" w14:textId="0ED90C9B" w:rsidTr="00830D19">
        <w:tc>
          <w:tcPr>
            <w:tcW w:w="2548" w:type="pct"/>
          </w:tcPr>
          <w:p w14:paraId="76DABBFB" w14:textId="7B433AEC" w:rsidR="00E364AB" w:rsidRDefault="00E63F78" w:rsidP="00615B72">
            <w:pPr>
              <w:pStyle w:val="Legal1L2"/>
              <w:numPr>
                <w:ilvl w:val="0"/>
                <w:numId w:val="0"/>
              </w:numPr>
              <w:rPr>
                <w:rFonts w:eastAsia="Times New Roman"/>
                <w:w w:val="100"/>
                <w:sz w:val="24"/>
                <w:szCs w:val="24"/>
                <w:lang w:val="en-US"/>
              </w:rPr>
            </w:pPr>
            <w:bookmarkStart w:id="145" w:name="_Ref39070104"/>
            <w:bookmarkStart w:id="146" w:name="_Hlk13419723"/>
            <w:r>
              <w:rPr>
                <w:rFonts w:eastAsia="Times New Roman"/>
                <w:w w:val="100"/>
                <w:sz w:val="24"/>
                <w:szCs w:val="24"/>
                <w:lang w:val="en-US"/>
              </w:rPr>
              <w:t xml:space="preserve">13.3 </w:t>
            </w:r>
            <w:r w:rsidR="00001028" w:rsidRPr="00615B72">
              <w:rPr>
                <w:rFonts w:eastAsia="Times New Roman"/>
                <w:w w:val="100"/>
                <w:sz w:val="24"/>
                <w:szCs w:val="24"/>
                <w:lang w:val="en-US"/>
              </w:rPr>
              <w:t>BMS souhlasí s tím, že s Centrem projedná podmínky, za kterých může BMS na základě samostatné písemné smlouvy udělit Centru licenci k využití neosobních údajů vzniklých při poskytování aferetických služeb, a to pouze pro vzdělávací a výzkumné účely.</w:t>
            </w:r>
          </w:p>
          <w:p w14:paraId="557A1E9D" w14:textId="094A93DF" w:rsidR="00880A70" w:rsidRPr="00442F47" w:rsidRDefault="004C68E5" w:rsidP="00615B72">
            <w:pPr>
              <w:pStyle w:val="Legal1L2"/>
              <w:numPr>
                <w:ilvl w:val="0"/>
                <w:numId w:val="0"/>
              </w:numPr>
              <w:ind w:firstLine="180"/>
              <w:rPr>
                <w:rFonts w:eastAsia="Times New Roman"/>
                <w:w w:val="100"/>
                <w:sz w:val="24"/>
                <w:szCs w:val="24"/>
                <w:lang w:val="en-US"/>
              </w:rPr>
            </w:pPr>
            <w:r>
              <w:rPr>
                <w:rFonts w:eastAsia="Times New Roman"/>
                <w:w w:val="100"/>
                <w:sz w:val="24"/>
                <w:szCs w:val="24"/>
                <w:lang w:val="en-US"/>
              </w:rPr>
              <w:br/>
            </w:r>
            <w:r w:rsidR="00001028" w:rsidRPr="00615B72">
              <w:rPr>
                <w:rFonts w:eastAsia="Times New Roman"/>
                <w:w w:val="100"/>
                <w:sz w:val="24"/>
                <w:szCs w:val="24"/>
                <w:lang w:val="en-US"/>
              </w:rPr>
              <w:t>Centrum souhlasí s tím, že s BMS projedná podmínky, za kterých může Centrum na základě samostatné písemné smlouvy udělit BMS licenci k vynálezům vyvinutým Centrem během trvání smlouvy, které mohou mít vliv na aferetické materiály a/nebo produkty.</w:t>
            </w:r>
            <w:bookmarkEnd w:id="145"/>
            <w:bookmarkEnd w:id="146"/>
          </w:p>
        </w:tc>
        <w:tc>
          <w:tcPr>
            <w:tcW w:w="2452" w:type="pct"/>
          </w:tcPr>
          <w:p w14:paraId="6D2597A9" w14:textId="12739EAA" w:rsidR="00151B1F" w:rsidRPr="00442F47" w:rsidRDefault="00151B1F" w:rsidP="00442F47">
            <w:pPr>
              <w:jc w:val="both"/>
              <w:rPr>
                <w:lang w:val="en-US"/>
              </w:rPr>
            </w:pPr>
            <w:r w:rsidRPr="00FC1D2D">
              <w:rPr>
                <w:lang w:val="en-US"/>
              </w:rPr>
              <w:t>1</w:t>
            </w:r>
            <w:r w:rsidR="00FC1D2D" w:rsidRPr="00442F47">
              <w:rPr>
                <w:lang w:val="en-US"/>
              </w:rPr>
              <w:t>3</w:t>
            </w:r>
            <w:r w:rsidRPr="00FC1D2D">
              <w:rPr>
                <w:lang w:val="en-US"/>
              </w:rPr>
              <w:t>.</w:t>
            </w:r>
            <w:r w:rsidR="00FC1D2D" w:rsidRPr="00442F47">
              <w:rPr>
                <w:lang w:val="en-US"/>
              </w:rPr>
              <w:t>3</w:t>
            </w:r>
            <w:r w:rsidRPr="00FC1D2D">
              <w:rPr>
                <w:lang w:val="en-US"/>
              </w:rPr>
              <w:t xml:space="preserve"> BMS agrees to discuss with Center the conditions under which, by a separate written agreement, BMS may grant the Center a license for the use of non-personal data arising from the performance of the Apheresis Services for educational and research purposes only.</w:t>
            </w:r>
          </w:p>
          <w:p w14:paraId="3AC86814" w14:textId="77777777" w:rsidR="00FC1D2D" w:rsidRPr="00FC1D2D" w:rsidRDefault="00FC1D2D" w:rsidP="00442F47">
            <w:pPr>
              <w:jc w:val="both"/>
              <w:rPr>
                <w:lang w:val="en-US"/>
              </w:rPr>
            </w:pPr>
          </w:p>
          <w:p w14:paraId="37C55B52" w14:textId="104F94C4" w:rsidR="00151B1F" w:rsidRPr="00442F47" w:rsidRDefault="00151B1F" w:rsidP="009F4B25">
            <w:pPr>
              <w:jc w:val="both"/>
              <w:rPr>
                <w:lang w:val="en-US"/>
              </w:rPr>
            </w:pPr>
            <w:r w:rsidRPr="00FC1D2D">
              <w:rPr>
                <w:lang w:val="en-US"/>
              </w:rPr>
              <w:t xml:space="preserve">The Center agrees to discuss with BMS the terms under which, by separate written agreement, the Center may license to BMS the Inventions developed by the Center during the term of the Agreement that may have an effect on </w:t>
            </w:r>
            <w:r w:rsidR="00FC1D2D" w:rsidRPr="00442F47">
              <w:rPr>
                <w:lang w:val="en-US"/>
              </w:rPr>
              <w:t xml:space="preserve">Apheresis Materials </w:t>
            </w:r>
            <w:r w:rsidR="008F16B4">
              <w:rPr>
                <w:lang w:val="en-US"/>
              </w:rPr>
              <w:t>and/</w:t>
            </w:r>
            <w:r w:rsidR="00FC1D2D" w:rsidRPr="00442F47">
              <w:rPr>
                <w:lang w:val="en-US"/>
              </w:rPr>
              <w:t>or Products</w:t>
            </w:r>
            <w:r w:rsidRPr="00FC1D2D">
              <w:rPr>
                <w:lang w:val="en-US"/>
              </w:rPr>
              <w:t>.</w:t>
            </w:r>
          </w:p>
        </w:tc>
      </w:tr>
      <w:tr w:rsidR="00C32FF1" w:rsidRPr="0031164B" w14:paraId="33AAE681" w14:textId="0D88AB1C" w:rsidTr="00830D19">
        <w:tc>
          <w:tcPr>
            <w:tcW w:w="2548" w:type="pct"/>
          </w:tcPr>
          <w:p w14:paraId="05EEC291" w14:textId="4879428B" w:rsidR="00C32FF1" w:rsidRPr="006D689E" w:rsidRDefault="00E63F78" w:rsidP="00442F47">
            <w:pPr>
              <w:pStyle w:val="Legal1L2"/>
              <w:numPr>
                <w:ilvl w:val="0"/>
                <w:numId w:val="0"/>
              </w:numPr>
              <w:rPr>
                <w:rFonts w:eastAsia="Times New Roman"/>
                <w:w w:val="100"/>
                <w:sz w:val="24"/>
                <w:szCs w:val="24"/>
              </w:rPr>
            </w:pPr>
            <w:bookmarkStart w:id="147" w:name="_Hlk13419833"/>
            <w:bookmarkEnd w:id="144"/>
            <w:r>
              <w:rPr>
                <w:w w:val="100"/>
                <w:sz w:val="24"/>
                <w:szCs w:val="24"/>
                <w:u w:val="single"/>
              </w:rPr>
              <w:lastRenderedPageBreak/>
              <w:t xml:space="preserve">13.4 </w:t>
            </w:r>
            <w:r w:rsidR="00C32FF1" w:rsidRPr="006D689E">
              <w:rPr>
                <w:w w:val="100"/>
                <w:sz w:val="24"/>
                <w:szCs w:val="24"/>
                <w:u w:val="single"/>
              </w:rPr>
              <w:t>Žádné implicitní licence.</w:t>
            </w:r>
            <w:r w:rsidR="00C32FF1" w:rsidRPr="006D689E">
              <w:rPr>
                <w:w w:val="100"/>
                <w:sz w:val="24"/>
                <w:szCs w:val="24"/>
              </w:rPr>
              <w:t xml:space="preserve"> S výjimkou případů uvedených v této smlouvě se nic z toho, co je v ní obsaženo, nepovažuje za udělení práv nebo licencí na základě patentových přihlášek nebo patentů nebo na jakékoli know-how, technologie, vynálezy nebo jiná práva duševního vlastnictví druhé strany.</w:t>
            </w:r>
          </w:p>
        </w:tc>
        <w:tc>
          <w:tcPr>
            <w:tcW w:w="2452" w:type="pct"/>
          </w:tcPr>
          <w:p w14:paraId="4F1903F9" w14:textId="3FF3EA39" w:rsidR="00C32FF1" w:rsidRPr="0031164B" w:rsidRDefault="00767AC0" w:rsidP="00767AC0">
            <w:pPr>
              <w:pStyle w:val="Legal1L2"/>
              <w:numPr>
                <w:ilvl w:val="0"/>
                <w:numId w:val="0"/>
              </w:numPr>
              <w:rPr>
                <w:rFonts w:eastAsia="Times New Roman"/>
                <w:w w:val="100"/>
                <w:sz w:val="24"/>
                <w:szCs w:val="24"/>
                <w:u w:val="single"/>
                <w:lang w:val="en-GB"/>
              </w:rPr>
            </w:pPr>
            <w:r w:rsidRPr="00767AC0">
              <w:rPr>
                <w:w w:val="100"/>
                <w:sz w:val="24"/>
                <w:szCs w:val="24"/>
                <w:lang w:val="en-GB"/>
              </w:rPr>
              <w:t>13.4</w:t>
            </w:r>
            <w:r w:rsidRPr="00767AC0">
              <w:rPr>
                <w:w w:val="100"/>
                <w:sz w:val="24"/>
                <w:szCs w:val="24"/>
                <w:lang w:val="en-GB"/>
              </w:rPr>
              <w:tab/>
            </w:r>
            <w:r w:rsidR="00C32FF1" w:rsidRPr="0031164B">
              <w:rPr>
                <w:w w:val="100"/>
                <w:sz w:val="24"/>
                <w:szCs w:val="24"/>
                <w:u w:val="single"/>
                <w:lang w:val="en-GB"/>
              </w:rPr>
              <w:t>No Implied Licenses</w:t>
            </w:r>
            <w:r w:rsidR="00C32FF1" w:rsidRPr="0031164B">
              <w:rPr>
                <w:w w:val="100"/>
                <w:sz w:val="24"/>
                <w:szCs w:val="24"/>
                <w:lang w:val="en-GB"/>
              </w:rPr>
              <w:t>. Except as specified herein this Agreement, nothing contained herein shall be deemed to grant to either Party any rights or licenses under any patent applications or patents or to any know-how, technology, inventions or other intellectual property rights of the other Party.</w:t>
            </w:r>
          </w:p>
        </w:tc>
      </w:tr>
      <w:tr w:rsidR="00C32FF1" w:rsidRPr="0031164B" w14:paraId="127584E7" w14:textId="3E480832" w:rsidTr="00830D19">
        <w:tc>
          <w:tcPr>
            <w:tcW w:w="2548" w:type="pct"/>
          </w:tcPr>
          <w:p w14:paraId="3E59B4AF" w14:textId="6C0C5563" w:rsidR="00C32FF1" w:rsidRPr="006D689E" w:rsidRDefault="00C32FF1" w:rsidP="00C32FF1">
            <w:pPr>
              <w:pStyle w:val="Zkladntext"/>
              <w:ind w:firstLine="0"/>
            </w:pPr>
            <w:r w:rsidRPr="006D689E">
              <w:t>13.5</w:t>
            </w:r>
            <w:r w:rsidRPr="006D689E">
              <w:tab/>
            </w:r>
            <w:r w:rsidRPr="006D689E">
              <w:rPr>
                <w:u w:val="single"/>
              </w:rPr>
              <w:t>Přežívající ustanovení</w:t>
            </w:r>
            <w:r w:rsidRPr="006D689E">
              <w:t xml:space="preserve">: Licence udělená v oddíle </w:t>
            </w:r>
            <w:r w:rsidRPr="006D689E">
              <w:fldChar w:fldCharType="begin" w:fldLock="1"/>
            </w:r>
            <w:r w:rsidRPr="006D689E">
              <w:instrText xml:space="preserve"> REF _Ref39070143 \r \h  \* MERGEFORMAT </w:instrText>
            </w:r>
            <w:r w:rsidRPr="006D689E">
              <w:fldChar w:fldCharType="separate"/>
            </w:r>
            <w:r w:rsidR="00816D6D">
              <w:t>13.2</w:t>
            </w:r>
            <w:r w:rsidRPr="006D689E">
              <w:fldChar w:fldCharType="end"/>
            </w:r>
            <w:r w:rsidRPr="006D689E">
              <w:t xml:space="preserve"> a práva a povinnosti stanovené v oddíle </w:t>
            </w:r>
            <w:r w:rsidRPr="006D689E">
              <w:fldChar w:fldCharType="begin" w:fldLock="1"/>
            </w:r>
            <w:r w:rsidRPr="006D689E">
              <w:instrText xml:space="preserve"> REF _Ref39070104 \r \h  \* MERGEFORMAT </w:instrText>
            </w:r>
            <w:r w:rsidRPr="006D689E">
              <w:fldChar w:fldCharType="separate"/>
            </w:r>
            <w:r w:rsidR="00816D6D">
              <w:t>13.3</w:t>
            </w:r>
            <w:r w:rsidRPr="006D689E">
              <w:fldChar w:fldCharType="end"/>
            </w:r>
            <w:r w:rsidRPr="006D689E">
              <w:t xml:space="preserve"> této smlouvy zůstávají v platnosti i po ukončení této smlouvy z jakéhokoli důvodu.</w:t>
            </w:r>
          </w:p>
        </w:tc>
        <w:tc>
          <w:tcPr>
            <w:tcW w:w="2452" w:type="pct"/>
          </w:tcPr>
          <w:p w14:paraId="6C6F3104" w14:textId="66D97350" w:rsidR="00C32FF1" w:rsidRPr="0031164B" w:rsidRDefault="00C32FF1" w:rsidP="00C32FF1">
            <w:pPr>
              <w:pStyle w:val="Zkladntext"/>
              <w:ind w:firstLine="0"/>
              <w:rPr>
                <w:lang w:val="en-GB"/>
              </w:rPr>
            </w:pPr>
            <w:r w:rsidRPr="0031164B">
              <w:rPr>
                <w:lang w:val="en-GB"/>
              </w:rPr>
              <w:t>13.5</w:t>
            </w:r>
            <w:r w:rsidRPr="0031164B">
              <w:rPr>
                <w:lang w:val="en-GB"/>
              </w:rPr>
              <w:tab/>
            </w:r>
            <w:r w:rsidRPr="0031164B">
              <w:rPr>
                <w:u w:val="single"/>
                <w:lang w:val="en-GB"/>
              </w:rPr>
              <w:t>Surviving clauses</w:t>
            </w:r>
            <w:r w:rsidRPr="0031164B">
              <w:rPr>
                <w:lang w:val="en-GB"/>
              </w:rPr>
              <w:t xml:space="preserve">: The license granted in Section </w:t>
            </w:r>
            <w:r w:rsidRPr="0031164B">
              <w:rPr>
                <w:lang w:val="en-GB"/>
              </w:rPr>
              <w:fldChar w:fldCharType="begin" w:fldLock="1"/>
            </w:r>
            <w:r w:rsidRPr="0031164B">
              <w:rPr>
                <w:lang w:val="en-GB"/>
              </w:rPr>
              <w:instrText xml:space="preserve"> REF _Ref39070143 \r \h  \* MERGEFORMAT </w:instrText>
            </w:r>
            <w:r w:rsidRPr="0031164B">
              <w:rPr>
                <w:lang w:val="en-GB"/>
              </w:rPr>
            </w:r>
            <w:r w:rsidRPr="0031164B">
              <w:rPr>
                <w:lang w:val="en-GB"/>
              </w:rPr>
              <w:fldChar w:fldCharType="separate"/>
            </w:r>
            <w:r w:rsidR="00816D6D">
              <w:rPr>
                <w:lang w:val="en-GB"/>
              </w:rPr>
              <w:t>13.2</w:t>
            </w:r>
            <w:r w:rsidRPr="0031164B">
              <w:rPr>
                <w:lang w:val="en-GB"/>
              </w:rPr>
              <w:fldChar w:fldCharType="end"/>
            </w:r>
            <w:r w:rsidRPr="0031164B">
              <w:rPr>
                <w:lang w:val="en-GB"/>
              </w:rPr>
              <w:t xml:space="preserve"> and rights and obligations stipulated in </w:t>
            </w:r>
            <w:r w:rsidR="00151B1F">
              <w:rPr>
                <w:lang w:val="en-GB"/>
              </w:rPr>
              <w:t xml:space="preserve">this </w:t>
            </w:r>
            <w:r w:rsidRPr="0031164B">
              <w:rPr>
                <w:lang w:val="en-GB"/>
              </w:rPr>
              <w:t>Section shall survive the termination of this Agreement for any reason.</w:t>
            </w:r>
          </w:p>
        </w:tc>
      </w:tr>
      <w:tr w:rsidR="00C32FF1" w:rsidRPr="0031164B" w14:paraId="40D1056C" w14:textId="3A2AD0AD" w:rsidTr="00830D19">
        <w:tc>
          <w:tcPr>
            <w:tcW w:w="2548" w:type="pct"/>
          </w:tcPr>
          <w:p w14:paraId="417857E7" w14:textId="77777777" w:rsidR="00C32FF1" w:rsidRPr="006D689E" w:rsidRDefault="00C32FF1" w:rsidP="00C32FF1">
            <w:pPr>
              <w:pStyle w:val="Legal1L1"/>
              <w:widowControl/>
              <w:numPr>
                <w:ilvl w:val="0"/>
                <w:numId w:val="1"/>
              </w:numPr>
              <w:tabs>
                <w:tab w:val="left" w:pos="1440"/>
              </w:tabs>
              <w:adjustRightInd/>
              <w:ind w:left="0" w:firstLine="0"/>
              <w:outlineLvl w:val="9"/>
              <w:rPr>
                <w:b/>
                <w:u w:val="none"/>
              </w:rPr>
            </w:pPr>
            <w:bookmarkStart w:id="148" w:name="_DV_M25"/>
            <w:bookmarkStart w:id="149" w:name="_DV_M26"/>
            <w:bookmarkStart w:id="150" w:name="_DV_M27"/>
            <w:bookmarkStart w:id="151" w:name="_DV_M28"/>
            <w:bookmarkStart w:id="152" w:name="_DV_M29"/>
            <w:bookmarkStart w:id="153" w:name="_DV_M30"/>
            <w:bookmarkStart w:id="154" w:name="_DV_M31"/>
            <w:bookmarkStart w:id="155" w:name="_DV_M32"/>
            <w:bookmarkStart w:id="156" w:name="_DV_M35"/>
            <w:bookmarkStart w:id="157" w:name="_DV_M36"/>
            <w:bookmarkStart w:id="158" w:name="_DV_M372"/>
            <w:bookmarkStart w:id="159" w:name="_DV_M395"/>
            <w:bookmarkStart w:id="160" w:name="_DV_M396"/>
            <w:bookmarkStart w:id="161" w:name="_DV_M397"/>
            <w:bookmarkStart w:id="162" w:name="_DV_M312"/>
            <w:bookmarkStart w:id="163" w:name="_DV_M313"/>
            <w:bookmarkStart w:id="164" w:name="_DV_M314"/>
            <w:bookmarkStart w:id="165" w:name="_DV_M399"/>
            <w:bookmarkStart w:id="166" w:name="_DV_M401"/>
            <w:bookmarkStart w:id="167" w:name="_DV_M402"/>
            <w:bookmarkStart w:id="168" w:name="_DV_M403"/>
            <w:bookmarkStart w:id="169" w:name="_DV_M404"/>
            <w:bookmarkStart w:id="170" w:name="_DV_M405"/>
            <w:bookmarkStart w:id="171" w:name="_Ref16980439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6D689E">
              <w:rPr>
                <w:b/>
                <w:u w:val="none"/>
              </w:rPr>
              <w:t>ZVEŘEJNĚNÍ SMLOUVY V REGISTRU SMLUV</w:t>
            </w:r>
            <w:bookmarkEnd w:id="171"/>
          </w:p>
        </w:tc>
        <w:tc>
          <w:tcPr>
            <w:tcW w:w="2452" w:type="pct"/>
          </w:tcPr>
          <w:p w14:paraId="17945AD0" w14:textId="0904C81B" w:rsidR="00C32FF1" w:rsidRPr="0031164B" w:rsidRDefault="00C32FF1" w:rsidP="00DC6A4A">
            <w:pPr>
              <w:pStyle w:val="Legal1L1"/>
              <w:widowControl/>
              <w:numPr>
                <w:ilvl w:val="0"/>
                <w:numId w:val="88"/>
              </w:numPr>
              <w:tabs>
                <w:tab w:val="left" w:pos="982"/>
              </w:tabs>
              <w:adjustRightInd/>
              <w:ind w:left="0" w:firstLine="0"/>
              <w:outlineLvl w:val="9"/>
              <w:rPr>
                <w:b/>
                <w:u w:val="none"/>
                <w:lang w:val="en-GB"/>
              </w:rPr>
            </w:pPr>
            <w:r w:rsidRPr="0031164B">
              <w:rPr>
                <w:b/>
                <w:u w:val="none"/>
                <w:lang w:val="en-GB"/>
              </w:rPr>
              <w:t>PUBLICATION OF THE AGREEMENT IN THE REGISTER OF CONTRACTS</w:t>
            </w:r>
          </w:p>
        </w:tc>
      </w:tr>
      <w:tr w:rsidR="00C32FF1" w:rsidRPr="0031164B" w14:paraId="309DE0A8" w14:textId="2D751943" w:rsidTr="00830D19">
        <w:tc>
          <w:tcPr>
            <w:tcW w:w="2548" w:type="pct"/>
          </w:tcPr>
          <w:p w14:paraId="33BD1F37" w14:textId="77777777" w:rsidR="00C32FF1" w:rsidRDefault="00C32FF1" w:rsidP="00C32FF1">
            <w:pPr>
              <w:pStyle w:val="Legal1L2"/>
              <w:ind w:left="0"/>
              <w:rPr>
                <w:w w:val="100"/>
                <w:sz w:val="24"/>
                <w:szCs w:val="24"/>
              </w:rPr>
            </w:pPr>
            <w:bookmarkStart w:id="172" w:name="_Ref61016496"/>
            <w:bookmarkStart w:id="173" w:name="_Toc256000050"/>
            <w:bookmarkStart w:id="174" w:name="_Toc6234024"/>
            <w:bookmarkStart w:id="175" w:name="_Toc6234346"/>
            <w:r w:rsidRPr="006D689E">
              <w:rPr>
                <w:w w:val="100"/>
                <w:sz w:val="24"/>
                <w:szCs w:val="24"/>
              </w:rPr>
              <w:t>Zákon č. 340/2015 Sb. o zvláštních podmínkách účinnosti některých smluv, uveřejňování těchto smluv a o registru smluv, ve znění pozdějších předpisů (dále jen „</w:t>
            </w:r>
            <w:r w:rsidRPr="006D689E">
              <w:rPr>
                <w:b/>
                <w:bCs/>
                <w:w w:val="100"/>
                <w:sz w:val="24"/>
                <w:szCs w:val="24"/>
              </w:rPr>
              <w:t>zákon o registru smluv</w:t>
            </w:r>
            <w:r w:rsidRPr="006D689E">
              <w:rPr>
                <w:w w:val="100"/>
                <w:sz w:val="24"/>
                <w:szCs w:val="24"/>
              </w:rPr>
              <w:t xml:space="preserve">“), vyžaduje, aby byla smlouva uveřejněna v registru smluv. Smluvní strany se dohodly, že zveřejnění této smlouvy v registru smluv zajistí </w:t>
            </w:r>
            <w:r w:rsidR="00755245">
              <w:rPr>
                <w:w w:val="100"/>
                <w:sz w:val="24"/>
                <w:szCs w:val="24"/>
              </w:rPr>
              <w:t>Centrum</w:t>
            </w:r>
            <w:r w:rsidRPr="006D689E">
              <w:rPr>
                <w:w w:val="100"/>
                <w:sz w:val="24"/>
                <w:szCs w:val="24"/>
              </w:rPr>
              <w:t>.</w:t>
            </w:r>
          </w:p>
          <w:p w14:paraId="2DC9C52B" w14:textId="043B7A10" w:rsidR="005F4D6A" w:rsidRPr="005F4D6A" w:rsidRDefault="005F4D6A" w:rsidP="009F4B25">
            <w:pPr>
              <w:pStyle w:val="Zkladntext"/>
              <w:ind w:firstLine="0"/>
            </w:pPr>
          </w:p>
        </w:tc>
        <w:tc>
          <w:tcPr>
            <w:tcW w:w="2452" w:type="pct"/>
          </w:tcPr>
          <w:p w14:paraId="0056F177" w14:textId="26221685" w:rsidR="00C32FF1" w:rsidRPr="0031164B" w:rsidRDefault="00767AC0" w:rsidP="00767AC0">
            <w:pPr>
              <w:pStyle w:val="Legal1L2"/>
              <w:numPr>
                <w:ilvl w:val="0"/>
                <w:numId w:val="0"/>
              </w:numPr>
              <w:rPr>
                <w:rFonts w:eastAsia="Times New Roman"/>
                <w:w w:val="100"/>
                <w:sz w:val="24"/>
                <w:szCs w:val="24"/>
                <w:lang w:val="en-GB"/>
              </w:rPr>
            </w:pPr>
            <w:r>
              <w:rPr>
                <w:w w:val="100"/>
                <w:sz w:val="24"/>
                <w:szCs w:val="24"/>
                <w:lang w:val="en-GB"/>
              </w:rPr>
              <w:t>14.1</w:t>
            </w:r>
            <w:r>
              <w:rPr>
                <w:w w:val="100"/>
                <w:sz w:val="24"/>
                <w:szCs w:val="24"/>
                <w:lang w:val="en-GB"/>
              </w:rPr>
              <w:tab/>
            </w:r>
            <w:r w:rsidR="00C32FF1" w:rsidRPr="0031164B">
              <w:rPr>
                <w:w w:val="100"/>
                <w:sz w:val="24"/>
                <w:szCs w:val="24"/>
                <w:lang w:val="en-GB"/>
              </w:rPr>
              <w:t>Act No. 340/2015 Sb. on special conditions for the effectiveness of some contracts, publication of these contracts and Register of Contracts, as amended (“</w:t>
            </w:r>
            <w:r w:rsidR="00C32FF1" w:rsidRPr="0031164B">
              <w:rPr>
                <w:b/>
                <w:bCs/>
                <w:w w:val="100"/>
                <w:sz w:val="24"/>
                <w:szCs w:val="24"/>
                <w:lang w:val="en-GB"/>
              </w:rPr>
              <w:t>Contracts Register Act</w:t>
            </w:r>
            <w:r w:rsidR="00C32FF1" w:rsidRPr="0031164B">
              <w:rPr>
                <w:w w:val="100"/>
                <w:sz w:val="24"/>
                <w:szCs w:val="24"/>
                <w:lang w:val="en-GB"/>
              </w:rPr>
              <w:t>”) requires that the Agreement be published in the Register of Contracts. The Parties agree that Center will ensure the publication of this Agreement in the Register of Contracts.</w:t>
            </w:r>
          </w:p>
        </w:tc>
      </w:tr>
      <w:tr w:rsidR="00C32FF1" w:rsidRPr="0031164B" w14:paraId="76FAED65" w14:textId="41128D41" w:rsidTr="00830D19">
        <w:tc>
          <w:tcPr>
            <w:tcW w:w="2548" w:type="pct"/>
          </w:tcPr>
          <w:p w14:paraId="33C0654C" w14:textId="7471A2A7" w:rsidR="00C32FF1" w:rsidRPr="006D689E" w:rsidRDefault="00755245" w:rsidP="00C32FF1">
            <w:pPr>
              <w:pStyle w:val="Legal1L2"/>
              <w:ind w:left="0"/>
              <w:rPr>
                <w:rFonts w:eastAsia="Times New Roman"/>
                <w:w w:val="100"/>
                <w:sz w:val="24"/>
                <w:szCs w:val="24"/>
              </w:rPr>
            </w:pPr>
            <w:r>
              <w:rPr>
                <w:w w:val="100"/>
                <w:sz w:val="24"/>
                <w:szCs w:val="24"/>
              </w:rPr>
              <w:t>Centrum</w:t>
            </w:r>
            <w:r w:rsidR="00C32FF1" w:rsidRPr="006D689E">
              <w:rPr>
                <w:w w:val="100"/>
                <w:sz w:val="24"/>
                <w:szCs w:val="24"/>
              </w:rPr>
              <w:t xml:space="preserve"> je povinno:</w:t>
            </w:r>
          </w:p>
        </w:tc>
        <w:tc>
          <w:tcPr>
            <w:tcW w:w="2452" w:type="pct"/>
          </w:tcPr>
          <w:p w14:paraId="7FC1D2FF" w14:textId="1B08193A" w:rsidR="00C32FF1" w:rsidRPr="0031164B" w:rsidRDefault="00767AC0" w:rsidP="00767AC0">
            <w:pPr>
              <w:pStyle w:val="Legal1L2"/>
              <w:numPr>
                <w:ilvl w:val="0"/>
                <w:numId w:val="0"/>
              </w:numPr>
              <w:ind w:left="720"/>
              <w:rPr>
                <w:rFonts w:eastAsia="Times New Roman"/>
                <w:w w:val="100"/>
                <w:sz w:val="24"/>
                <w:szCs w:val="24"/>
                <w:lang w:val="en-GB"/>
              </w:rPr>
            </w:pPr>
            <w:r>
              <w:rPr>
                <w:w w:val="100"/>
                <w:sz w:val="24"/>
                <w:szCs w:val="24"/>
                <w:lang w:val="en-GB"/>
              </w:rPr>
              <w:t>14.2</w:t>
            </w:r>
            <w:r>
              <w:rPr>
                <w:w w:val="100"/>
                <w:sz w:val="24"/>
                <w:szCs w:val="24"/>
                <w:lang w:val="en-GB"/>
              </w:rPr>
              <w:tab/>
            </w:r>
            <w:r w:rsidR="00C32FF1" w:rsidRPr="0031164B">
              <w:rPr>
                <w:w w:val="100"/>
                <w:sz w:val="24"/>
                <w:szCs w:val="24"/>
                <w:lang w:val="en-GB"/>
              </w:rPr>
              <w:t>Center is obliged to:</w:t>
            </w:r>
          </w:p>
        </w:tc>
      </w:tr>
      <w:tr w:rsidR="00DC6A4A" w:rsidRPr="0031164B" w14:paraId="21D7E1B3" w14:textId="2BCCEC3C" w:rsidTr="00830D19">
        <w:trPr>
          <w:trHeight w:val="2760"/>
        </w:trPr>
        <w:tc>
          <w:tcPr>
            <w:tcW w:w="2548" w:type="pct"/>
          </w:tcPr>
          <w:p w14:paraId="152F5315" w14:textId="0902A9F4" w:rsidR="00DC6A4A" w:rsidRPr="006D689E" w:rsidRDefault="00DC6A4A" w:rsidP="00C32FF1">
            <w:pPr>
              <w:pStyle w:val="Legal1L2"/>
              <w:numPr>
                <w:ilvl w:val="2"/>
                <w:numId w:val="1"/>
              </w:numPr>
              <w:tabs>
                <w:tab w:val="num" w:pos="-284"/>
              </w:tabs>
              <w:spacing w:after="0"/>
              <w:ind w:left="288"/>
              <w:rPr>
                <w:rFonts w:eastAsia="Times New Roman"/>
                <w:w w:val="100"/>
                <w:sz w:val="24"/>
                <w:szCs w:val="24"/>
              </w:rPr>
            </w:pPr>
            <w:bookmarkStart w:id="176" w:name="_Ref169804289"/>
            <w:bookmarkEnd w:id="172"/>
            <w:r w:rsidRPr="006D689E">
              <w:rPr>
                <w:w w:val="100"/>
                <w:sz w:val="24"/>
                <w:szCs w:val="24"/>
              </w:rPr>
              <w:t>zveřejnit smlouvu v registru smluv nejpozději do 30 dnů od jejího uzavření v souladu s požadavky zákona o registru smluv;</w:t>
            </w:r>
          </w:p>
          <w:p w14:paraId="539308A5" w14:textId="1A8DBC73" w:rsidR="00DC6A4A" w:rsidRPr="006D689E" w:rsidRDefault="004C68E5" w:rsidP="00C32FF1">
            <w:pPr>
              <w:pStyle w:val="Legal1L2"/>
              <w:numPr>
                <w:ilvl w:val="0"/>
                <w:numId w:val="0"/>
              </w:numPr>
              <w:spacing w:after="0"/>
              <w:rPr>
                <w:rFonts w:eastAsia="Times New Roman"/>
                <w:w w:val="100"/>
                <w:sz w:val="24"/>
                <w:szCs w:val="24"/>
              </w:rPr>
            </w:pPr>
            <w:r>
              <w:rPr>
                <w:rFonts w:eastAsia="Times New Roman"/>
                <w:w w:val="100"/>
                <w:sz w:val="24"/>
                <w:szCs w:val="24"/>
              </w:rPr>
              <w:br/>
            </w:r>
          </w:p>
          <w:p w14:paraId="13724543" w14:textId="4ABF8EBD" w:rsidR="00DC6A4A" w:rsidRPr="006D689E" w:rsidRDefault="00DC6A4A" w:rsidP="00C32FF1">
            <w:pPr>
              <w:pStyle w:val="Legal1L2"/>
              <w:numPr>
                <w:ilvl w:val="2"/>
                <w:numId w:val="1"/>
              </w:numPr>
              <w:tabs>
                <w:tab w:val="clear" w:pos="-990"/>
                <w:tab w:val="num" w:pos="-284"/>
              </w:tabs>
              <w:spacing w:after="0"/>
              <w:ind w:left="288"/>
              <w:rPr>
                <w:rFonts w:eastAsia="Times New Roman"/>
                <w:w w:val="100"/>
                <w:sz w:val="24"/>
                <w:szCs w:val="24"/>
              </w:rPr>
            </w:pPr>
            <w:r w:rsidRPr="006D689E">
              <w:rPr>
                <w:w w:val="100"/>
                <w:sz w:val="24"/>
                <w:szCs w:val="24"/>
              </w:rPr>
              <w:t xml:space="preserve">zveřejnit smlouvu v registru smluv pouze ve formě, kterou pro tento účel samostatně připraví a poskytne BMS; </w:t>
            </w:r>
          </w:p>
        </w:tc>
        <w:tc>
          <w:tcPr>
            <w:tcW w:w="2452" w:type="pct"/>
          </w:tcPr>
          <w:p w14:paraId="4DC1DAC4" w14:textId="196FAEA0" w:rsidR="00DC6A4A" w:rsidRPr="0031164B" w:rsidRDefault="00DC6A4A" w:rsidP="00DC6A4A">
            <w:pPr>
              <w:pStyle w:val="Legal1L2"/>
              <w:numPr>
                <w:ilvl w:val="2"/>
                <w:numId w:val="89"/>
              </w:numPr>
              <w:tabs>
                <w:tab w:val="num" w:pos="-284"/>
              </w:tabs>
              <w:spacing w:after="0"/>
              <w:ind w:left="273"/>
              <w:rPr>
                <w:rFonts w:eastAsia="Times New Roman"/>
                <w:w w:val="100"/>
                <w:sz w:val="24"/>
                <w:szCs w:val="24"/>
                <w:lang w:val="en-GB"/>
              </w:rPr>
            </w:pPr>
            <w:r w:rsidRPr="0031164B">
              <w:rPr>
                <w:w w:val="100"/>
                <w:sz w:val="24"/>
                <w:szCs w:val="24"/>
                <w:lang w:val="en-GB"/>
              </w:rPr>
              <w:t>publish the Agreement in the Register of Contracts no later than 30 days after the conclusion of the Agreement in accordance with the requirements of the Contracts Register Act;</w:t>
            </w:r>
          </w:p>
          <w:p w14:paraId="20F26F8A" w14:textId="6C8AFF79" w:rsidR="00DC6A4A" w:rsidRPr="0031164B" w:rsidRDefault="00DC6A4A" w:rsidP="00C32FF1">
            <w:pPr>
              <w:pStyle w:val="Legal1L2"/>
              <w:numPr>
                <w:ilvl w:val="0"/>
                <w:numId w:val="0"/>
              </w:numPr>
              <w:spacing w:after="0"/>
              <w:rPr>
                <w:rFonts w:eastAsia="Times New Roman"/>
                <w:w w:val="100"/>
                <w:sz w:val="24"/>
                <w:szCs w:val="24"/>
                <w:lang w:val="en-GB"/>
              </w:rPr>
            </w:pPr>
          </w:p>
          <w:p w14:paraId="6F8F94C2" w14:textId="0FADCEE9" w:rsidR="00DC6A4A" w:rsidRPr="0031164B" w:rsidRDefault="00DC6A4A" w:rsidP="00C32FF1">
            <w:pPr>
              <w:pStyle w:val="Legal1L2"/>
              <w:numPr>
                <w:ilvl w:val="2"/>
                <w:numId w:val="1"/>
              </w:numPr>
              <w:tabs>
                <w:tab w:val="clear" w:pos="-990"/>
                <w:tab w:val="num" w:pos="-284"/>
              </w:tabs>
              <w:spacing w:after="0"/>
              <w:ind w:left="288"/>
              <w:rPr>
                <w:rFonts w:eastAsia="Times New Roman"/>
                <w:w w:val="100"/>
                <w:sz w:val="24"/>
                <w:szCs w:val="24"/>
                <w:lang w:val="en-GB"/>
              </w:rPr>
            </w:pPr>
            <w:r w:rsidRPr="0031164B">
              <w:rPr>
                <w:w w:val="100"/>
                <w:sz w:val="24"/>
                <w:szCs w:val="24"/>
                <w:lang w:val="en-GB"/>
              </w:rPr>
              <w:t xml:space="preserve">publish the Agreement in the Register of Contracts only in the form which will be prepared for this purpose and provided by BMS separately; </w:t>
            </w:r>
          </w:p>
        </w:tc>
      </w:tr>
      <w:bookmarkEnd w:id="176"/>
      <w:tr w:rsidR="00C32FF1" w:rsidRPr="0031164B" w14:paraId="350C0FDE" w14:textId="05E874E3" w:rsidTr="00830D19">
        <w:tc>
          <w:tcPr>
            <w:tcW w:w="2548" w:type="pct"/>
          </w:tcPr>
          <w:p w14:paraId="0508936A" w14:textId="77777777" w:rsidR="00C32FF1" w:rsidRPr="006D689E" w:rsidRDefault="00C32FF1" w:rsidP="00C32FF1">
            <w:pPr>
              <w:pStyle w:val="Zkladntext"/>
              <w:ind w:firstLine="0"/>
            </w:pPr>
          </w:p>
        </w:tc>
        <w:tc>
          <w:tcPr>
            <w:tcW w:w="2452" w:type="pct"/>
          </w:tcPr>
          <w:p w14:paraId="41D8D5CC" w14:textId="77777777" w:rsidR="00C32FF1" w:rsidRPr="0031164B" w:rsidRDefault="00C32FF1" w:rsidP="00C32FF1">
            <w:pPr>
              <w:pStyle w:val="Zkladntext"/>
              <w:ind w:firstLine="0"/>
              <w:rPr>
                <w:lang w:val="en-GB"/>
              </w:rPr>
            </w:pPr>
          </w:p>
        </w:tc>
      </w:tr>
      <w:tr w:rsidR="00C32FF1" w:rsidRPr="0031164B" w14:paraId="0F58772F" w14:textId="1EBB3F11" w:rsidTr="00830D19">
        <w:tc>
          <w:tcPr>
            <w:tcW w:w="2548" w:type="pct"/>
          </w:tcPr>
          <w:p w14:paraId="2AC980A1" w14:textId="0BF2AD97" w:rsidR="00C32FF1" w:rsidRPr="006D689E" w:rsidRDefault="00C32FF1" w:rsidP="00C32FF1">
            <w:pPr>
              <w:pStyle w:val="Legal1L2"/>
              <w:ind w:left="0"/>
              <w:rPr>
                <w:rFonts w:eastAsia="Times New Roman"/>
                <w:w w:val="100"/>
                <w:sz w:val="24"/>
                <w:szCs w:val="24"/>
              </w:rPr>
            </w:pPr>
            <w:r w:rsidRPr="006D689E">
              <w:rPr>
                <w:w w:val="100"/>
                <w:sz w:val="24"/>
                <w:szCs w:val="24"/>
              </w:rPr>
              <w:t xml:space="preserve">Pokud </w:t>
            </w:r>
            <w:r w:rsidR="00574F6A">
              <w:rPr>
                <w:w w:val="100"/>
                <w:sz w:val="24"/>
                <w:szCs w:val="24"/>
              </w:rPr>
              <w:t>Centrum</w:t>
            </w:r>
            <w:r w:rsidRPr="006D689E">
              <w:rPr>
                <w:w w:val="100"/>
                <w:sz w:val="24"/>
                <w:szCs w:val="24"/>
              </w:rPr>
              <w:t xml:space="preserve"> neuveřejní tuto smlouvu v registru smluv ve lhůtě stanovené v článku </w:t>
            </w:r>
            <w:r w:rsidRPr="006D689E">
              <w:rPr>
                <w:rFonts w:eastAsia="Times New Roman"/>
                <w:w w:val="100"/>
                <w:sz w:val="24"/>
                <w:szCs w:val="24"/>
              </w:rPr>
              <w:fldChar w:fldCharType="begin" w:fldLock="1"/>
            </w:r>
            <w:r w:rsidRPr="006D689E">
              <w:rPr>
                <w:rFonts w:eastAsia="Times New Roman"/>
                <w:w w:val="100"/>
                <w:sz w:val="24"/>
                <w:szCs w:val="24"/>
              </w:rPr>
              <w:instrText xml:space="preserve"> REF _Ref169804289 \r \h  \* MERGEFORMAT </w:instrText>
            </w:r>
            <w:r w:rsidRPr="006D689E">
              <w:rPr>
                <w:rFonts w:eastAsia="Times New Roman"/>
                <w:w w:val="100"/>
                <w:sz w:val="24"/>
                <w:szCs w:val="24"/>
              </w:rPr>
            </w:r>
            <w:r w:rsidRPr="006D689E">
              <w:rPr>
                <w:rFonts w:eastAsia="Times New Roman"/>
                <w:w w:val="100"/>
                <w:sz w:val="24"/>
                <w:szCs w:val="24"/>
              </w:rPr>
              <w:fldChar w:fldCharType="separate"/>
            </w:r>
            <w:r w:rsidR="00816D6D">
              <w:rPr>
                <w:rFonts w:eastAsia="Times New Roman"/>
                <w:w w:val="100"/>
                <w:sz w:val="24"/>
                <w:szCs w:val="24"/>
              </w:rPr>
              <w:t>14.2(a)</w:t>
            </w:r>
            <w:r w:rsidRPr="006D689E">
              <w:rPr>
                <w:rFonts w:eastAsia="Times New Roman"/>
                <w:w w:val="100"/>
                <w:sz w:val="24"/>
                <w:szCs w:val="24"/>
              </w:rPr>
              <w:fldChar w:fldCharType="end"/>
            </w:r>
            <w:r w:rsidRPr="006D689E">
              <w:rPr>
                <w:w w:val="100"/>
                <w:sz w:val="24"/>
                <w:szCs w:val="24"/>
              </w:rPr>
              <w:t>, je BMS oprávněna zveřejnit tuto smlouvu v registru smluv sama.</w:t>
            </w:r>
          </w:p>
        </w:tc>
        <w:tc>
          <w:tcPr>
            <w:tcW w:w="2452" w:type="pct"/>
          </w:tcPr>
          <w:p w14:paraId="106F1EAF" w14:textId="5398A853" w:rsidR="00C32FF1" w:rsidRPr="0031164B" w:rsidRDefault="00DC6A4A" w:rsidP="00DC6A4A">
            <w:pPr>
              <w:pStyle w:val="Legal1L2"/>
              <w:numPr>
                <w:ilvl w:val="0"/>
                <w:numId w:val="0"/>
              </w:numPr>
              <w:rPr>
                <w:rFonts w:eastAsia="Times New Roman"/>
                <w:w w:val="100"/>
                <w:sz w:val="24"/>
                <w:szCs w:val="24"/>
                <w:lang w:val="en-GB"/>
              </w:rPr>
            </w:pPr>
            <w:r>
              <w:rPr>
                <w:w w:val="100"/>
                <w:sz w:val="24"/>
                <w:szCs w:val="24"/>
                <w:lang w:val="en-GB"/>
              </w:rPr>
              <w:t>14.3</w:t>
            </w:r>
            <w:r>
              <w:rPr>
                <w:w w:val="100"/>
                <w:sz w:val="24"/>
                <w:szCs w:val="24"/>
                <w:lang w:val="en-GB"/>
              </w:rPr>
              <w:tab/>
            </w:r>
            <w:r w:rsidR="00C32FF1" w:rsidRPr="0031164B">
              <w:rPr>
                <w:w w:val="100"/>
                <w:sz w:val="24"/>
                <w:szCs w:val="24"/>
                <w:lang w:val="en-GB"/>
              </w:rPr>
              <w:t xml:space="preserve">If Center does not publish this Agreement in the Register of Contracts within the time limit stipulated in Article </w:t>
            </w:r>
            <w:r w:rsidR="00C32FF1" w:rsidRPr="0031164B">
              <w:rPr>
                <w:rFonts w:eastAsia="Times New Roman"/>
                <w:w w:val="100"/>
                <w:sz w:val="24"/>
                <w:szCs w:val="24"/>
                <w:lang w:val="en-GB"/>
              </w:rPr>
              <w:fldChar w:fldCharType="begin" w:fldLock="1"/>
            </w:r>
            <w:r w:rsidR="00C32FF1" w:rsidRPr="0031164B">
              <w:rPr>
                <w:rFonts w:eastAsia="Times New Roman"/>
                <w:w w:val="100"/>
                <w:sz w:val="24"/>
                <w:szCs w:val="24"/>
                <w:lang w:val="en-GB"/>
              </w:rPr>
              <w:instrText xml:space="preserve"> REF _Ref169804289 \r \h  \* MERGEFORMAT </w:instrText>
            </w:r>
            <w:r w:rsidR="00C32FF1" w:rsidRPr="0031164B">
              <w:rPr>
                <w:rFonts w:eastAsia="Times New Roman"/>
                <w:w w:val="100"/>
                <w:sz w:val="24"/>
                <w:szCs w:val="24"/>
                <w:lang w:val="en-GB"/>
              </w:rPr>
            </w:r>
            <w:r w:rsidR="00C32FF1" w:rsidRPr="0031164B">
              <w:rPr>
                <w:rFonts w:eastAsia="Times New Roman"/>
                <w:w w:val="100"/>
                <w:sz w:val="24"/>
                <w:szCs w:val="24"/>
                <w:lang w:val="en-GB"/>
              </w:rPr>
              <w:fldChar w:fldCharType="separate"/>
            </w:r>
            <w:r w:rsidR="00816D6D">
              <w:rPr>
                <w:rFonts w:eastAsia="Times New Roman"/>
                <w:w w:val="100"/>
                <w:sz w:val="24"/>
                <w:szCs w:val="24"/>
                <w:lang w:val="en-GB"/>
              </w:rPr>
              <w:t>14.2(a)</w:t>
            </w:r>
            <w:r w:rsidR="00C32FF1" w:rsidRPr="0031164B">
              <w:rPr>
                <w:rFonts w:eastAsia="Times New Roman"/>
                <w:w w:val="100"/>
                <w:sz w:val="24"/>
                <w:szCs w:val="24"/>
                <w:lang w:val="en-GB"/>
              </w:rPr>
              <w:fldChar w:fldCharType="end"/>
            </w:r>
            <w:r w:rsidR="00C32FF1" w:rsidRPr="0031164B">
              <w:rPr>
                <w:w w:val="100"/>
                <w:sz w:val="24"/>
                <w:szCs w:val="24"/>
                <w:lang w:val="en-GB"/>
              </w:rPr>
              <w:t xml:space="preserve"> BMS will be entitled to publish this Agreement in the Register of Contracts itself.</w:t>
            </w:r>
          </w:p>
        </w:tc>
      </w:tr>
      <w:tr w:rsidR="00C32FF1" w:rsidRPr="0031164B" w14:paraId="05BB3D6C" w14:textId="12B120CB" w:rsidTr="00830D19">
        <w:tc>
          <w:tcPr>
            <w:tcW w:w="2548" w:type="pct"/>
          </w:tcPr>
          <w:p w14:paraId="4FE0FF9E" w14:textId="66BFA50B" w:rsidR="00C32FF1" w:rsidRPr="006D689E" w:rsidRDefault="00C32FF1" w:rsidP="00C32FF1">
            <w:pPr>
              <w:pStyle w:val="Legal1L2"/>
              <w:ind w:left="0"/>
              <w:rPr>
                <w:rFonts w:eastAsia="Times New Roman"/>
                <w:w w:val="100"/>
                <w:sz w:val="24"/>
                <w:szCs w:val="24"/>
              </w:rPr>
            </w:pPr>
            <w:r w:rsidRPr="006D689E">
              <w:rPr>
                <w:w w:val="100"/>
                <w:sz w:val="24"/>
                <w:szCs w:val="24"/>
              </w:rPr>
              <w:lastRenderedPageBreak/>
              <w:t xml:space="preserve">Ustanovení tohoto článku </w:t>
            </w:r>
            <w:r w:rsidRPr="006D689E">
              <w:rPr>
                <w:rFonts w:eastAsia="Times New Roman"/>
                <w:w w:val="100"/>
                <w:sz w:val="24"/>
                <w:szCs w:val="24"/>
              </w:rPr>
              <w:fldChar w:fldCharType="begin" w:fldLock="1"/>
            </w:r>
            <w:r w:rsidRPr="006D689E">
              <w:rPr>
                <w:rFonts w:eastAsia="Times New Roman"/>
                <w:w w:val="100"/>
                <w:sz w:val="24"/>
                <w:szCs w:val="24"/>
              </w:rPr>
              <w:instrText xml:space="preserve"> REF _Ref169804393 \r  \* MERGEFORMAT </w:instrText>
            </w:r>
            <w:r w:rsidRPr="006D689E">
              <w:rPr>
                <w:rFonts w:eastAsia="Times New Roman"/>
                <w:w w:val="100"/>
                <w:sz w:val="24"/>
                <w:szCs w:val="24"/>
              </w:rPr>
              <w:fldChar w:fldCharType="separate"/>
            </w:r>
            <w:r w:rsidR="00816D6D">
              <w:rPr>
                <w:rFonts w:eastAsia="Times New Roman"/>
                <w:w w:val="100"/>
                <w:sz w:val="24"/>
                <w:szCs w:val="24"/>
              </w:rPr>
              <w:t>14</w:t>
            </w:r>
            <w:r w:rsidRPr="006D689E">
              <w:rPr>
                <w:rFonts w:eastAsia="Times New Roman"/>
                <w:w w:val="100"/>
                <w:sz w:val="24"/>
                <w:szCs w:val="24"/>
              </w:rPr>
              <w:fldChar w:fldCharType="end"/>
            </w:r>
            <w:r w:rsidRPr="006D689E">
              <w:rPr>
                <w:w w:val="100"/>
                <w:sz w:val="24"/>
                <w:szCs w:val="24"/>
              </w:rPr>
              <w:t xml:space="preserve"> se použijí s nezbytnými úpravami pro uveřejňování jakýchkoli změn nebo objednávek v registru smluv. </w:t>
            </w:r>
          </w:p>
        </w:tc>
        <w:tc>
          <w:tcPr>
            <w:tcW w:w="2452" w:type="pct"/>
          </w:tcPr>
          <w:p w14:paraId="3043C61E" w14:textId="5BA2C742" w:rsidR="00C32FF1" w:rsidRPr="0031164B" w:rsidRDefault="00DC6A4A" w:rsidP="00DC6A4A">
            <w:pPr>
              <w:pStyle w:val="Legal1L2"/>
              <w:numPr>
                <w:ilvl w:val="0"/>
                <w:numId w:val="0"/>
              </w:numPr>
              <w:rPr>
                <w:rFonts w:eastAsia="Times New Roman"/>
                <w:w w:val="100"/>
                <w:sz w:val="24"/>
                <w:szCs w:val="24"/>
                <w:lang w:val="en-GB"/>
              </w:rPr>
            </w:pPr>
            <w:r>
              <w:rPr>
                <w:w w:val="100"/>
                <w:sz w:val="24"/>
                <w:szCs w:val="24"/>
                <w:lang w:val="en-GB"/>
              </w:rPr>
              <w:t>14.4</w:t>
            </w:r>
            <w:r>
              <w:rPr>
                <w:w w:val="100"/>
                <w:sz w:val="24"/>
                <w:szCs w:val="24"/>
                <w:lang w:val="en-GB"/>
              </w:rPr>
              <w:tab/>
            </w:r>
            <w:r w:rsidR="00C32FF1" w:rsidRPr="0031164B">
              <w:rPr>
                <w:w w:val="100"/>
                <w:sz w:val="24"/>
                <w:szCs w:val="24"/>
                <w:lang w:val="en-GB"/>
              </w:rPr>
              <w:t xml:space="preserve">The provisions of this Article </w:t>
            </w:r>
            <w:r w:rsidR="00C32FF1" w:rsidRPr="0031164B">
              <w:rPr>
                <w:rFonts w:eastAsia="Times New Roman"/>
                <w:w w:val="100"/>
                <w:sz w:val="24"/>
                <w:szCs w:val="24"/>
                <w:lang w:val="en-GB"/>
              </w:rPr>
              <w:fldChar w:fldCharType="begin" w:fldLock="1"/>
            </w:r>
            <w:r w:rsidR="00C32FF1" w:rsidRPr="0031164B">
              <w:rPr>
                <w:rFonts w:eastAsia="Times New Roman"/>
                <w:w w:val="100"/>
                <w:sz w:val="24"/>
                <w:szCs w:val="24"/>
                <w:lang w:val="en-GB"/>
              </w:rPr>
              <w:instrText xml:space="preserve"> REF _Ref169804393 \r  \* MERGEFORMAT </w:instrText>
            </w:r>
            <w:r w:rsidR="00C32FF1" w:rsidRPr="0031164B">
              <w:rPr>
                <w:rFonts w:eastAsia="Times New Roman"/>
                <w:w w:val="100"/>
                <w:sz w:val="24"/>
                <w:szCs w:val="24"/>
                <w:lang w:val="en-GB"/>
              </w:rPr>
              <w:fldChar w:fldCharType="separate"/>
            </w:r>
            <w:r w:rsidR="00816D6D">
              <w:rPr>
                <w:rFonts w:eastAsia="Times New Roman"/>
                <w:w w:val="100"/>
                <w:sz w:val="24"/>
                <w:szCs w:val="24"/>
                <w:lang w:val="en-GB"/>
              </w:rPr>
              <w:t>14</w:t>
            </w:r>
            <w:r w:rsidR="00C32FF1" w:rsidRPr="0031164B">
              <w:rPr>
                <w:rFonts w:eastAsia="Times New Roman"/>
                <w:w w:val="100"/>
                <w:sz w:val="24"/>
                <w:szCs w:val="24"/>
                <w:lang w:val="en-GB"/>
              </w:rPr>
              <w:fldChar w:fldCharType="end"/>
            </w:r>
            <w:r w:rsidR="00C32FF1" w:rsidRPr="0031164B">
              <w:rPr>
                <w:w w:val="100"/>
                <w:sz w:val="24"/>
                <w:szCs w:val="24"/>
                <w:lang w:val="en-GB"/>
              </w:rPr>
              <w:t xml:space="preserve"> will apply with the necessary modifications to publishing any amendments or orders hereto in the Register of Contracts. </w:t>
            </w:r>
          </w:p>
        </w:tc>
      </w:tr>
      <w:tr w:rsidR="00C32FF1" w:rsidRPr="0031164B" w14:paraId="7EE4A3C6" w14:textId="2907D392" w:rsidTr="00830D19">
        <w:tc>
          <w:tcPr>
            <w:tcW w:w="2548" w:type="pct"/>
          </w:tcPr>
          <w:p w14:paraId="7B3016B9" w14:textId="77777777" w:rsidR="00C32FF1" w:rsidRPr="006D689E" w:rsidRDefault="00C32FF1" w:rsidP="00C32FF1">
            <w:pPr>
              <w:pStyle w:val="Legal1L1"/>
              <w:widowControl/>
              <w:numPr>
                <w:ilvl w:val="0"/>
                <w:numId w:val="1"/>
              </w:numPr>
              <w:tabs>
                <w:tab w:val="left" w:pos="1620"/>
              </w:tabs>
              <w:adjustRightInd/>
              <w:ind w:left="0" w:firstLine="0"/>
              <w:jc w:val="both"/>
              <w:outlineLvl w:val="9"/>
              <w:rPr>
                <w:b/>
                <w:u w:val="none"/>
              </w:rPr>
            </w:pPr>
            <w:r w:rsidRPr="006D689E">
              <w:rPr>
                <w:b/>
                <w:u w:val="none"/>
              </w:rPr>
              <w:t>ODŠKODNĚNÍ; ODPOVĚDNOST; POJIŠTĚNÍ</w:t>
            </w:r>
            <w:bookmarkEnd w:id="173"/>
            <w:bookmarkEnd w:id="174"/>
            <w:bookmarkEnd w:id="175"/>
            <w:r w:rsidRPr="006D689E">
              <w:rPr>
                <w:b/>
                <w:u w:val="none"/>
              </w:rPr>
              <w:t xml:space="preserve">  </w:t>
            </w:r>
          </w:p>
        </w:tc>
        <w:tc>
          <w:tcPr>
            <w:tcW w:w="2452" w:type="pct"/>
          </w:tcPr>
          <w:p w14:paraId="2C4C525F" w14:textId="03438474" w:rsidR="00C32FF1" w:rsidRPr="0031164B" w:rsidRDefault="00C32FF1" w:rsidP="00DC6A4A">
            <w:pPr>
              <w:pStyle w:val="Legal1L1"/>
              <w:widowControl/>
              <w:numPr>
                <w:ilvl w:val="0"/>
                <w:numId w:val="90"/>
              </w:numPr>
              <w:tabs>
                <w:tab w:val="left" w:pos="1620"/>
              </w:tabs>
              <w:adjustRightInd/>
              <w:ind w:left="0" w:firstLine="0"/>
              <w:jc w:val="both"/>
              <w:outlineLvl w:val="9"/>
              <w:rPr>
                <w:b/>
                <w:u w:val="none"/>
                <w:lang w:val="en-GB"/>
              </w:rPr>
            </w:pPr>
            <w:r w:rsidRPr="0031164B">
              <w:rPr>
                <w:b/>
                <w:u w:val="none"/>
                <w:lang w:val="en-GB"/>
              </w:rPr>
              <w:t xml:space="preserve">INDEMNIFICATION; LIABILITY; INSURANCE  </w:t>
            </w:r>
          </w:p>
        </w:tc>
      </w:tr>
      <w:tr w:rsidR="00C32FF1" w:rsidRPr="0031164B" w14:paraId="5B1A93E8" w14:textId="42FFE42B" w:rsidTr="00830D19">
        <w:tc>
          <w:tcPr>
            <w:tcW w:w="2548" w:type="pct"/>
          </w:tcPr>
          <w:p w14:paraId="246BEAC7" w14:textId="77777777" w:rsidR="00C32FF1" w:rsidRPr="006D689E" w:rsidRDefault="00C32FF1" w:rsidP="00C32FF1">
            <w:pPr>
              <w:pStyle w:val="Legal1L2"/>
              <w:ind w:left="0"/>
              <w:rPr>
                <w:rFonts w:eastAsia="Times New Roman"/>
                <w:w w:val="100"/>
                <w:sz w:val="24"/>
                <w:szCs w:val="24"/>
                <w:u w:val="single"/>
              </w:rPr>
            </w:pPr>
            <w:bookmarkStart w:id="177" w:name="_DV_M406"/>
            <w:bookmarkStart w:id="178" w:name="_Toc256000051"/>
            <w:bookmarkStart w:id="179" w:name="_Toc6234025"/>
            <w:bookmarkStart w:id="180" w:name="_Toc6234347"/>
            <w:bookmarkEnd w:id="177"/>
            <w:r w:rsidRPr="006D689E">
              <w:rPr>
                <w:w w:val="100"/>
                <w:sz w:val="24"/>
                <w:szCs w:val="24"/>
                <w:u w:val="single"/>
              </w:rPr>
              <w:t>Povinnosti odškodnění</w:t>
            </w:r>
            <w:bookmarkEnd w:id="178"/>
            <w:bookmarkEnd w:id="179"/>
            <w:bookmarkEnd w:id="180"/>
          </w:p>
        </w:tc>
        <w:tc>
          <w:tcPr>
            <w:tcW w:w="2452" w:type="pct"/>
          </w:tcPr>
          <w:p w14:paraId="6DE11305" w14:textId="3C0090D6" w:rsidR="00C32FF1" w:rsidRPr="0031164B" w:rsidRDefault="00DC6A4A" w:rsidP="00DC6A4A">
            <w:pPr>
              <w:pStyle w:val="Legal1L2"/>
              <w:numPr>
                <w:ilvl w:val="0"/>
                <w:numId w:val="0"/>
              </w:numPr>
              <w:ind w:left="720"/>
              <w:rPr>
                <w:rFonts w:eastAsia="Times New Roman"/>
                <w:w w:val="100"/>
                <w:sz w:val="24"/>
                <w:szCs w:val="24"/>
                <w:u w:val="single"/>
                <w:lang w:val="en-GB"/>
              </w:rPr>
            </w:pPr>
            <w:r w:rsidRPr="00DC6A4A">
              <w:rPr>
                <w:w w:val="100"/>
                <w:sz w:val="24"/>
                <w:szCs w:val="24"/>
                <w:lang w:val="en-GB"/>
              </w:rPr>
              <w:t>15.1</w:t>
            </w:r>
            <w:r w:rsidRPr="00DC6A4A">
              <w:rPr>
                <w:w w:val="100"/>
                <w:sz w:val="24"/>
                <w:szCs w:val="24"/>
                <w:lang w:val="en-GB"/>
              </w:rPr>
              <w:tab/>
            </w:r>
            <w:r w:rsidR="00C32FF1" w:rsidRPr="0031164B">
              <w:rPr>
                <w:w w:val="100"/>
                <w:sz w:val="24"/>
                <w:szCs w:val="24"/>
                <w:u w:val="single"/>
                <w:lang w:val="en-GB"/>
              </w:rPr>
              <w:t>Indemnification Obligations</w:t>
            </w:r>
          </w:p>
        </w:tc>
      </w:tr>
      <w:tr w:rsidR="00C32FF1" w:rsidRPr="0031164B" w14:paraId="616F99D6" w14:textId="1531B4AD" w:rsidTr="00830D19">
        <w:tc>
          <w:tcPr>
            <w:tcW w:w="2548" w:type="pct"/>
          </w:tcPr>
          <w:p w14:paraId="25A90D4A" w14:textId="4B031D4E" w:rsidR="00C32FF1" w:rsidRPr="006D689E" w:rsidRDefault="00C32FF1" w:rsidP="00C32FF1">
            <w:pPr>
              <w:pStyle w:val="Legal1L3"/>
              <w:widowControl/>
              <w:numPr>
                <w:ilvl w:val="2"/>
                <w:numId w:val="1"/>
              </w:numPr>
              <w:adjustRightInd/>
              <w:ind w:left="0"/>
              <w:rPr>
                <w:w w:val="100"/>
              </w:rPr>
            </w:pPr>
            <w:r w:rsidRPr="006D689E">
              <w:rPr>
                <w:w w:val="100"/>
                <w:u w:val="single"/>
              </w:rPr>
              <w:t>Ze strany BMS.</w:t>
            </w:r>
            <w:r w:rsidRPr="006D689E">
              <w:rPr>
                <w:w w:val="100"/>
              </w:rPr>
              <w:t xml:space="preserve">  </w:t>
            </w:r>
            <w:bookmarkStart w:id="181" w:name="_Hlk13427007"/>
            <w:r w:rsidRPr="006D689E">
              <w:rPr>
                <w:w w:val="100"/>
              </w:rPr>
              <w:t xml:space="preserve">Společnost BMS bude bránit, odškodňovat a chránit </w:t>
            </w:r>
            <w:r w:rsidR="00BC32C8">
              <w:rPr>
                <w:w w:val="100"/>
              </w:rPr>
              <w:t>Centrum</w:t>
            </w:r>
            <w:r w:rsidRPr="006D689E">
              <w:rPr>
                <w:w w:val="100"/>
              </w:rPr>
              <w:t xml:space="preserve"> před jakýmikoliv nároky, žalobami, škodami, závazky, náklady a výdaji, mimo jiné včetně soudních nákladů a přiměřených poplatků za právní zastoupení (dále jen „</w:t>
            </w:r>
            <w:r w:rsidRPr="006D689E">
              <w:rPr>
                <w:b/>
                <w:w w:val="100"/>
              </w:rPr>
              <w:t>ztráty</w:t>
            </w:r>
            <w:r w:rsidRPr="006D689E">
              <w:rPr>
                <w:w w:val="100"/>
              </w:rPr>
              <w:t>“), vzniklými v souvislosti s jakýmikoliv nároky třetích stran (dále jen „</w:t>
            </w:r>
            <w:r w:rsidRPr="006D689E">
              <w:rPr>
                <w:b/>
                <w:w w:val="100"/>
              </w:rPr>
              <w:t>nárok</w:t>
            </w:r>
            <w:r w:rsidRPr="006D689E">
              <w:rPr>
                <w:w w:val="100"/>
              </w:rPr>
              <w:t xml:space="preserve">“), které vznikly v důsledku (i) porušení jakékoli podmínky této smlouvy ze strany společnosti BMS, (ii) </w:t>
            </w:r>
            <w:r w:rsidR="007C6457">
              <w:rPr>
                <w:w w:val="100"/>
              </w:rPr>
              <w:t>poškození</w:t>
            </w:r>
            <w:r w:rsidRPr="006D689E">
              <w:rPr>
                <w:w w:val="100"/>
              </w:rPr>
              <w:t xml:space="preserve"> pacienta v důsledku nákupu, používání, spotřeby nebo stažení jakéhokoli produktu, s výjimkou případů, kdy je takové </w:t>
            </w:r>
            <w:r w:rsidR="007C6457">
              <w:rPr>
                <w:w w:val="100"/>
              </w:rPr>
              <w:t>poškození</w:t>
            </w:r>
            <w:r w:rsidRPr="006D689E">
              <w:rPr>
                <w:w w:val="100"/>
              </w:rPr>
              <w:t xml:space="preserve"> způsobeno zaviněním </w:t>
            </w:r>
            <w:r w:rsidR="00FF1FD0">
              <w:rPr>
                <w:w w:val="100"/>
              </w:rPr>
              <w:t>Centra</w:t>
            </w:r>
            <w:r w:rsidRPr="006D689E">
              <w:rPr>
                <w:w w:val="100"/>
              </w:rPr>
              <w:t xml:space="preserve">, nebo (iii) nároku, že produkt zneužívá nebo porušuje práva duševního vlastnictví třetích stran, s výjimkou (v každém případě) případů, kdy je </w:t>
            </w:r>
            <w:r w:rsidR="00197C39">
              <w:rPr>
                <w:w w:val="100"/>
              </w:rPr>
              <w:t>Centrum</w:t>
            </w:r>
            <w:r w:rsidRPr="006D689E">
              <w:rPr>
                <w:w w:val="100"/>
              </w:rPr>
              <w:t xml:space="preserve"> povinno odškodnit BMS.</w:t>
            </w:r>
            <w:bookmarkEnd w:id="181"/>
          </w:p>
        </w:tc>
        <w:tc>
          <w:tcPr>
            <w:tcW w:w="2452" w:type="pct"/>
          </w:tcPr>
          <w:p w14:paraId="2EED0752" w14:textId="5078C624" w:rsidR="00C32FF1" w:rsidRPr="0031164B" w:rsidRDefault="00C32FF1" w:rsidP="00DC6A4A">
            <w:pPr>
              <w:pStyle w:val="Legal1L3"/>
              <w:widowControl/>
              <w:numPr>
                <w:ilvl w:val="2"/>
                <w:numId w:val="91"/>
              </w:numPr>
              <w:adjustRightInd/>
              <w:ind w:left="-10"/>
              <w:rPr>
                <w:w w:val="100"/>
                <w:u w:val="single"/>
                <w:lang w:val="en-GB"/>
              </w:rPr>
            </w:pPr>
            <w:r w:rsidRPr="0031164B">
              <w:rPr>
                <w:w w:val="100"/>
                <w:u w:val="single"/>
                <w:lang w:val="en-GB"/>
              </w:rPr>
              <w:t>By BMS.</w:t>
            </w:r>
            <w:r w:rsidRPr="0031164B">
              <w:rPr>
                <w:w w:val="100"/>
                <w:lang w:val="en-GB"/>
              </w:rPr>
              <w:t xml:space="preserve">  BMS  shall defend, indemnify and hold Center harmless from and against any and all claims, suits, damages, liabilities, costs and expenses, including but not limited to court costs and reasonable attorneys’ fees (collectively, “</w:t>
            </w:r>
            <w:r w:rsidRPr="0031164B">
              <w:rPr>
                <w:b/>
                <w:w w:val="100"/>
                <w:lang w:val="en-GB"/>
              </w:rPr>
              <w:t>Losses</w:t>
            </w:r>
            <w:r w:rsidRPr="0031164B">
              <w:rPr>
                <w:w w:val="100"/>
                <w:lang w:val="en-GB"/>
              </w:rPr>
              <w:t>”), incurred in connection with any third-party claim (each, a “</w:t>
            </w:r>
            <w:r w:rsidRPr="0031164B">
              <w:rPr>
                <w:b/>
                <w:w w:val="100"/>
                <w:lang w:val="en-GB"/>
              </w:rPr>
              <w:t>Claim</w:t>
            </w:r>
            <w:r w:rsidRPr="0031164B">
              <w:rPr>
                <w:w w:val="100"/>
                <w:lang w:val="en-GB"/>
              </w:rPr>
              <w:t>”) arising out of, or resulting from (i) a breach by BMS  of any of the terms of this Agreement, (ii) injury to a patient resulting from the purchase, use, consumption or recall of any Product, except to the extent such injury is caused by a fault of the Center, or (iii) a claim that the Product misappropriates or infringes Third Party intellectual property rights, except (in each case) to the extent that Center is required to indemnify BMS .</w:t>
            </w:r>
          </w:p>
        </w:tc>
      </w:tr>
      <w:tr w:rsidR="00C32FF1" w:rsidRPr="0031164B" w14:paraId="3285B34F" w14:textId="3E0BC4AB" w:rsidTr="00830D19">
        <w:tc>
          <w:tcPr>
            <w:tcW w:w="2548" w:type="pct"/>
          </w:tcPr>
          <w:p w14:paraId="116D8B4D" w14:textId="1B42CF42" w:rsidR="00C32FF1" w:rsidRPr="006D689E" w:rsidRDefault="00C32FF1" w:rsidP="00C32FF1">
            <w:pPr>
              <w:pStyle w:val="Legal1L3"/>
              <w:widowControl/>
              <w:numPr>
                <w:ilvl w:val="2"/>
                <w:numId w:val="1"/>
              </w:numPr>
              <w:adjustRightInd/>
              <w:ind w:left="0"/>
              <w:rPr>
                <w:w w:val="100"/>
              </w:rPr>
            </w:pPr>
            <w:r w:rsidRPr="006D689E">
              <w:rPr>
                <w:w w:val="100"/>
                <w:u w:val="single"/>
              </w:rPr>
              <w:t xml:space="preserve">Ze strany </w:t>
            </w:r>
            <w:r w:rsidR="007A047C">
              <w:rPr>
                <w:w w:val="100"/>
                <w:u w:val="single"/>
              </w:rPr>
              <w:t>Centra</w:t>
            </w:r>
            <w:r w:rsidRPr="006D689E">
              <w:rPr>
                <w:w w:val="100"/>
                <w:u w:val="single"/>
              </w:rPr>
              <w:t>.</w:t>
            </w:r>
            <w:r w:rsidRPr="006D689E">
              <w:rPr>
                <w:w w:val="100"/>
              </w:rPr>
              <w:t xml:space="preserve">  </w:t>
            </w:r>
            <w:r w:rsidR="007A047C">
              <w:rPr>
                <w:w w:val="100"/>
              </w:rPr>
              <w:t>Centrum</w:t>
            </w:r>
            <w:r w:rsidRPr="006D689E">
              <w:rPr>
                <w:w w:val="100"/>
              </w:rPr>
              <w:t xml:space="preserve"> bude bránit, odškodňovat a chránit společnost BMS před veškerými ztrátami vzniklými v souvislosti s jakýmkoli nárokem vyplývajícím z (i) porušení kterékoli z podmínek této smlouvy ze strany </w:t>
            </w:r>
            <w:r w:rsidR="007A047C">
              <w:rPr>
                <w:w w:val="100"/>
              </w:rPr>
              <w:t>Centra</w:t>
            </w:r>
            <w:r w:rsidRPr="006D689E">
              <w:rPr>
                <w:w w:val="100"/>
              </w:rPr>
              <w:t xml:space="preserve">, (ii) selhání </w:t>
            </w:r>
            <w:r w:rsidR="00C6125F">
              <w:rPr>
                <w:w w:val="100"/>
              </w:rPr>
              <w:t>Centra</w:t>
            </w:r>
            <w:r w:rsidRPr="006D689E">
              <w:rPr>
                <w:w w:val="100"/>
              </w:rPr>
              <w:t xml:space="preserve"> při údržbě, skladování, manipulaci nebo podávání příslušného produktu v souladu s informacemi o předepisování </w:t>
            </w:r>
            <w:bookmarkStart w:id="182" w:name="_Hlk39043977"/>
            <w:r w:rsidRPr="006D689E">
              <w:rPr>
                <w:w w:val="100"/>
              </w:rPr>
              <w:t>produktu</w:t>
            </w:r>
            <w:bookmarkEnd w:id="182"/>
            <w:r w:rsidRPr="006D689E">
              <w:rPr>
                <w:w w:val="100"/>
              </w:rPr>
              <w:t xml:space="preserve">, nebo (iii) zranění nebo úmrtí osob způsobené </w:t>
            </w:r>
            <w:r w:rsidR="00C6125F">
              <w:rPr>
                <w:w w:val="100"/>
              </w:rPr>
              <w:t>Centrem</w:t>
            </w:r>
            <w:r w:rsidRPr="006D689E">
              <w:rPr>
                <w:w w:val="100"/>
              </w:rPr>
              <w:t xml:space="preserve"> při plnění jeho povinností podle této smlouvy. </w:t>
            </w:r>
          </w:p>
        </w:tc>
        <w:tc>
          <w:tcPr>
            <w:tcW w:w="2452" w:type="pct"/>
          </w:tcPr>
          <w:p w14:paraId="6484B154" w14:textId="445638AE" w:rsidR="00C32FF1" w:rsidRPr="0031164B" w:rsidRDefault="00C32FF1" w:rsidP="00DC6A4A">
            <w:pPr>
              <w:pStyle w:val="Legal1L3"/>
              <w:widowControl/>
              <w:numPr>
                <w:ilvl w:val="2"/>
                <w:numId w:val="92"/>
              </w:numPr>
              <w:adjustRightInd/>
              <w:ind w:left="0"/>
              <w:rPr>
                <w:w w:val="100"/>
                <w:u w:val="single"/>
                <w:lang w:val="en-GB"/>
              </w:rPr>
            </w:pPr>
            <w:r w:rsidRPr="0031164B">
              <w:rPr>
                <w:w w:val="100"/>
                <w:u w:val="single"/>
                <w:lang w:val="en-GB"/>
              </w:rPr>
              <w:t>By Center.</w:t>
            </w:r>
            <w:r w:rsidRPr="0031164B">
              <w:rPr>
                <w:w w:val="100"/>
                <w:lang w:val="en-GB"/>
              </w:rPr>
              <w:t xml:space="preserve">  Center shall defend, indemnify and hold BMS  harmless from and against any and all Losses incurred in connection with any Claim arising out of, or resulting from (i) a breach by the Center of any of the terms of this Agreement,  (ii) Center’s failure to maintain, store, handle or administer the applicable Product in accordance with the Product’s prescribing information, or (iii) injury or death to persons caused by Center’s performance of its obligations under this Agreement. </w:t>
            </w:r>
          </w:p>
        </w:tc>
      </w:tr>
      <w:tr w:rsidR="00C32FF1" w:rsidRPr="0031164B" w14:paraId="0834F382" w14:textId="315A5E1A" w:rsidTr="00830D19">
        <w:tc>
          <w:tcPr>
            <w:tcW w:w="2548" w:type="pct"/>
          </w:tcPr>
          <w:p w14:paraId="4E3CA93A" w14:textId="77777777" w:rsidR="00C32FF1" w:rsidRPr="006D689E" w:rsidRDefault="00C32FF1" w:rsidP="00C32FF1">
            <w:pPr>
              <w:pStyle w:val="Legal1L2"/>
              <w:ind w:left="0"/>
              <w:rPr>
                <w:rFonts w:eastAsia="Times New Roman"/>
                <w:w w:val="100"/>
                <w:sz w:val="24"/>
                <w:szCs w:val="24"/>
              </w:rPr>
            </w:pPr>
            <w:bookmarkStart w:id="183" w:name="_Toc6234348"/>
            <w:bookmarkStart w:id="184" w:name="_Toc6234026"/>
            <w:bookmarkStart w:id="185" w:name="_Toc256000052"/>
            <w:r w:rsidRPr="006D689E">
              <w:rPr>
                <w:w w:val="100"/>
                <w:sz w:val="24"/>
                <w:szCs w:val="24"/>
                <w:u w:val="single"/>
              </w:rPr>
              <w:t>Postupy pro odškodnění</w:t>
            </w:r>
            <w:bookmarkStart w:id="186" w:name="_Hlk13429066"/>
            <w:bookmarkEnd w:id="183"/>
            <w:bookmarkEnd w:id="184"/>
            <w:bookmarkEnd w:id="185"/>
            <w:r w:rsidRPr="006D689E">
              <w:rPr>
                <w:w w:val="100"/>
                <w:sz w:val="24"/>
                <w:szCs w:val="24"/>
              </w:rPr>
              <w:t>. Každá strana, která v důsledku nároku třetí strany požaduje odškodnění podle tohoto oddílu („</w:t>
            </w:r>
            <w:r w:rsidRPr="006D689E">
              <w:rPr>
                <w:b/>
                <w:w w:val="100"/>
                <w:sz w:val="24"/>
                <w:szCs w:val="24"/>
              </w:rPr>
              <w:t>odškodňovaný</w:t>
            </w:r>
            <w:r w:rsidRPr="006D689E">
              <w:rPr>
                <w:w w:val="100"/>
                <w:sz w:val="24"/>
                <w:szCs w:val="24"/>
              </w:rPr>
              <w:t>“), oznámí straně, od níž požaduje odškodnění („</w:t>
            </w:r>
            <w:r w:rsidRPr="006D689E">
              <w:rPr>
                <w:b/>
                <w:w w:val="100"/>
                <w:sz w:val="24"/>
                <w:szCs w:val="24"/>
              </w:rPr>
              <w:t>odškodňující</w:t>
            </w:r>
            <w:r w:rsidRPr="006D689E">
              <w:rPr>
                <w:w w:val="100"/>
                <w:sz w:val="24"/>
                <w:szCs w:val="24"/>
              </w:rPr>
              <w:t xml:space="preserve">“), že </w:t>
            </w:r>
            <w:r w:rsidRPr="006D689E">
              <w:rPr>
                <w:w w:val="100"/>
                <w:sz w:val="24"/>
                <w:szCs w:val="24"/>
              </w:rPr>
              <w:lastRenderedPageBreak/>
              <w:t xml:space="preserve">obdržela oznámení o jakémkoli nároku, řízení nebo vyšetřování zahájeném proti odškodňujícímu nebo odškodňovanému.  Toto oznámení musí být (i) písemné, (ii) doručeno odškodňujícímu do deseti (10) dnů ode dne, kdy odškodněný obdrží oznámení o takovém nároku, řízení nebo vyšetřování, a (iii) musí v něm být uvedena povaha a základ nároku, řízení nebo vyšetřování.  Odškodňovaný je povinen spolupracovat při obhajobě takového nároku, řízení nebo vyšetřování, přičemž odškodňující je povinen uhradit veškeré přiměřené hotovostní výdaje.  Odškodnění stanovené v tomto dokumentu zahrnuje částky vyplacené v rámci narovnání, avšak za předpokladu, že žádné takové narovnání nebude uzavřeno bez předchozího písemného souhlasu každé ze stran, který nebude bezdůvodně odepřen. </w:t>
            </w:r>
          </w:p>
        </w:tc>
        <w:tc>
          <w:tcPr>
            <w:tcW w:w="2452" w:type="pct"/>
          </w:tcPr>
          <w:p w14:paraId="72D8EA87" w14:textId="503BC123" w:rsidR="00C32FF1" w:rsidRPr="0031164B" w:rsidRDefault="00DC6A4A" w:rsidP="00DC6A4A">
            <w:pPr>
              <w:pStyle w:val="Legal1L2"/>
              <w:numPr>
                <w:ilvl w:val="0"/>
                <w:numId w:val="0"/>
              </w:numPr>
              <w:rPr>
                <w:rFonts w:eastAsia="Times New Roman"/>
                <w:w w:val="100"/>
                <w:sz w:val="24"/>
                <w:szCs w:val="24"/>
                <w:u w:val="single"/>
                <w:lang w:val="en-GB"/>
              </w:rPr>
            </w:pPr>
            <w:r w:rsidRPr="00DC6A4A">
              <w:rPr>
                <w:w w:val="100"/>
                <w:sz w:val="24"/>
                <w:szCs w:val="24"/>
                <w:lang w:val="en-GB"/>
              </w:rPr>
              <w:lastRenderedPageBreak/>
              <w:t>15.2</w:t>
            </w:r>
            <w:r w:rsidRPr="00DC6A4A">
              <w:rPr>
                <w:w w:val="100"/>
                <w:sz w:val="24"/>
                <w:szCs w:val="24"/>
                <w:lang w:val="en-GB"/>
              </w:rPr>
              <w:tab/>
            </w:r>
            <w:r w:rsidR="00C32FF1" w:rsidRPr="0031164B">
              <w:rPr>
                <w:w w:val="100"/>
                <w:sz w:val="24"/>
                <w:szCs w:val="24"/>
                <w:u w:val="single"/>
                <w:lang w:val="en-GB"/>
              </w:rPr>
              <w:t>Indemnification Procedures</w:t>
            </w:r>
            <w:r w:rsidR="00C32FF1" w:rsidRPr="0031164B">
              <w:rPr>
                <w:w w:val="100"/>
                <w:sz w:val="24"/>
                <w:szCs w:val="24"/>
                <w:lang w:val="en-GB"/>
              </w:rPr>
              <w:t>. Any Party who, as a result of Third Party claim, seeks indemnification pursuant to this section (the “</w:t>
            </w:r>
            <w:r w:rsidR="00C32FF1" w:rsidRPr="0031164B">
              <w:rPr>
                <w:b/>
                <w:w w:val="100"/>
                <w:sz w:val="24"/>
                <w:szCs w:val="24"/>
                <w:lang w:val="en-GB"/>
              </w:rPr>
              <w:t>Indemnitee</w:t>
            </w:r>
            <w:r w:rsidR="00C32FF1" w:rsidRPr="0031164B">
              <w:rPr>
                <w:w w:val="100"/>
                <w:sz w:val="24"/>
                <w:szCs w:val="24"/>
                <w:lang w:val="en-GB"/>
              </w:rPr>
              <w:t xml:space="preserve">”) shall notify the Party from whom indemnification is sought (the </w:t>
            </w:r>
            <w:r w:rsidR="00C32FF1" w:rsidRPr="0031164B">
              <w:rPr>
                <w:w w:val="100"/>
                <w:sz w:val="24"/>
                <w:szCs w:val="24"/>
                <w:lang w:val="en-GB"/>
              </w:rPr>
              <w:lastRenderedPageBreak/>
              <w:t>“</w:t>
            </w:r>
            <w:r w:rsidR="00C32FF1" w:rsidRPr="0031164B">
              <w:rPr>
                <w:b/>
                <w:w w:val="100"/>
                <w:sz w:val="24"/>
                <w:szCs w:val="24"/>
                <w:lang w:val="en-GB"/>
              </w:rPr>
              <w:t>Indemnitor</w:t>
            </w:r>
            <w:r w:rsidR="00C32FF1" w:rsidRPr="0031164B">
              <w:rPr>
                <w:w w:val="100"/>
                <w:sz w:val="24"/>
                <w:szCs w:val="24"/>
                <w:lang w:val="en-GB"/>
              </w:rPr>
              <w:t xml:space="preserve">”) of Indemnitee’s receipt of notice of any Claim, proceeding or investigation initiated against Indemnitor or Indemnitee.  Such notice shall (i) be in writing, (ii) be delivered to Indemnitor within ten (10) days of the date Indemnitee receives notice of such claim, proceeding or investigation, and (iii) indicate the nature and basis of the claim, proceeding or investigation.  The Indemnitee shall cooperate in the defense of such claim, proceeding or investigation, subject to reimbursement by the Indemnitor for all reasonable out-of-pocket expenses.  The indemnification set forth herein shall include amounts paid in settlement; provided, however, that no such settlement shall be entered into without the prior written consent of each Party, which consent shall not be unreasonably withheld. </w:t>
            </w:r>
          </w:p>
        </w:tc>
      </w:tr>
      <w:tr w:rsidR="00C32FF1" w:rsidRPr="0031164B" w14:paraId="158ECA92" w14:textId="491F6C89" w:rsidTr="00830D19">
        <w:tc>
          <w:tcPr>
            <w:tcW w:w="2548" w:type="pct"/>
          </w:tcPr>
          <w:p w14:paraId="726E891B" w14:textId="36EC80A0" w:rsidR="00C32FF1" w:rsidRPr="006D689E" w:rsidRDefault="00C32FF1" w:rsidP="00C32FF1">
            <w:pPr>
              <w:pStyle w:val="Legal1L2"/>
              <w:tabs>
                <w:tab w:val="num" w:pos="810"/>
              </w:tabs>
              <w:ind w:left="0"/>
              <w:rPr>
                <w:rFonts w:eastAsia="Times New Roman"/>
                <w:w w:val="100"/>
                <w:sz w:val="24"/>
                <w:szCs w:val="24"/>
              </w:rPr>
            </w:pPr>
            <w:bookmarkStart w:id="187" w:name="_DV_M407"/>
            <w:bookmarkStart w:id="188" w:name="_DV_M408"/>
            <w:bookmarkStart w:id="189" w:name="_DV_M409"/>
            <w:bookmarkStart w:id="190" w:name="_DV_M410"/>
            <w:bookmarkStart w:id="191" w:name="_DV_M411"/>
            <w:bookmarkStart w:id="192" w:name="_DV_M412"/>
            <w:bookmarkStart w:id="193" w:name="_DV_M413"/>
            <w:bookmarkStart w:id="194" w:name="_DV_M414"/>
            <w:bookmarkStart w:id="195" w:name="_DV_M415"/>
            <w:bookmarkStart w:id="196" w:name="_DV_M416"/>
            <w:bookmarkStart w:id="197" w:name="_DV_M418"/>
            <w:bookmarkStart w:id="198" w:name="_Toc256000054"/>
            <w:bookmarkStart w:id="199" w:name="_Toc6234028"/>
            <w:bookmarkStart w:id="200" w:name="_Toc6234350"/>
            <w:bookmarkEnd w:id="186"/>
            <w:bookmarkEnd w:id="187"/>
            <w:bookmarkEnd w:id="188"/>
            <w:bookmarkEnd w:id="189"/>
            <w:bookmarkEnd w:id="190"/>
            <w:bookmarkEnd w:id="191"/>
            <w:bookmarkEnd w:id="192"/>
            <w:bookmarkEnd w:id="193"/>
            <w:bookmarkEnd w:id="194"/>
            <w:bookmarkEnd w:id="195"/>
            <w:bookmarkEnd w:id="196"/>
            <w:bookmarkEnd w:id="197"/>
            <w:r w:rsidRPr="006D689E">
              <w:rPr>
                <w:w w:val="100"/>
                <w:sz w:val="24"/>
                <w:szCs w:val="24"/>
                <w:u w:val="single"/>
              </w:rPr>
              <w:lastRenderedPageBreak/>
              <w:t>Pojištění</w:t>
            </w:r>
            <w:bookmarkEnd w:id="198"/>
            <w:bookmarkEnd w:id="199"/>
            <w:bookmarkEnd w:id="200"/>
            <w:r w:rsidRPr="006D689E">
              <w:rPr>
                <w:w w:val="100"/>
                <w:sz w:val="24"/>
                <w:szCs w:val="24"/>
                <w:u w:val="single"/>
              </w:rPr>
              <w:t>.</w:t>
            </w:r>
            <w:r w:rsidRPr="006D689E">
              <w:rPr>
                <w:w w:val="100"/>
                <w:sz w:val="24"/>
                <w:szCs w:val="24"/>
              </w:rPr>
              <w:t xml:space="preserve"> </w:t>
            </w:r>
            <w:r w:rsidR="008116C4">
              <w:rPr>
                <w:w w:val="100"/>
                <w:sz w:val="24"/>
                <w:szCs w:val="24"/>
              </w:rPr>
              <w:t>Centrum</w:t>
            </w:r>
            <w:r w:rsidRPr="006D689E">
              <w:rPr>
                <w:w w:val="100"/>
                <w:sz w:val="24"/>
                <w:szCs w:val="24"/>
              </w:rPr>
              <w:t xml:space="preserve"> se zavazuje uzavřít a udržovat v platnosti po celou dobu platnosti této smlouvy [a po jejím ukončení nebo vypršení až po dobu pěti (5) let poté] takový druh a výši pojistného krytí, které je (i) buď stanoveno platnými právními předpisy a je přiměřené plnění této smlouvy (ii) nebo v případě, že úroveň pojištění není stanovena místními právními předpisy a/nebo předpisy, bude </w:t>
            </w:r>
            <w:r w:rsidR="00DC2C5E">
              <w:rPr>
                <w:w w:val="100"/>
                <w:sz w:val="24"/>
                <w:szCs w:val="24"/>
              </w:rPr>
              <w:t>Centrum</w:t>
            </w:r>
            <w:r w:rsidRPr="006D689E">
              <w:rPr>
                <w:w w:val="100"/>
                <w:sz w:val="24"/>
                <w:szCs w:val="24"/>
              </w:rPr>
              <w:t xml:space="preserve"> udržovat v platnosti po dobu trvání této smlouvy úplné a komplexní pojistné smlouvy u renomované pojišťovny, které jsou přiměřené výkonu činnosti </w:t>
            </w:r>
            <w:r w:rsidR="00802852">
              <w:rPr>
                <w:w w:val="100"/>
                <w:sz w:val="24"/>
                <w:szCs w:val="24"/>
              </w:rPr>
              <w:t>Centra</w:t>
            </w:r>
            <w:r w:rsidRPr="006D689E">
              <w:rPr>
                <w:w w:val="100"/>
                <w:sz w:val="24"/>
                <w:szCs w:val="24"/>
              </w:rPr>
              <w:t xml:space="preserve">. Doba trvání a výše krytí se dokládá potvrzením o pojištění, které bude předloženo na žádost společnosti </w:t>
            </w:r>
            <w:r w:rsidRPr="006D689E">
              <w:rPr>
                <w:w w:val="100"/>
              </w:rPr>
              <w:t>BMS</w:t>
            </w:r>
            <w:r w:rsidRPr="006D689E">
              <w:rPr>
                <w:w w:val="100"/>
                <w:sz w:val="24"/>
                <w:szCs w:val="24"/>
              </w:rPr>
              <w:t>.</w:t>
            </w:r>
          </w:p>
        </w:tc>
        <w:tc>
          <w:tcPr>
            <w:tcW w:w="2452" w:type="pct"/>
          </w:tcPr>
          <w:p w14:paraId="5593AC38" w14:textId="0461CF72" w:rsidR="00C32FF1" w:rsidRPr="0031164B" w:rsidRDefault="00DC6A4A" w:rsidP="00DC6A4A">
            <w:pPr>
              <w:pStyle w:val="Legal1L2"/>
              <w:numPr>
                <w:ilvl w:val="0"/>
                <w:numId w:val="0"/>
              </w:numPr>
              <w:tabs>
                <w:tab w:val="num" w:pos="810"/>
              </w:tabs>
              <w:rPr>
                <w:rFonts w:eastAsia="Times New Roman"/>
                <w:w w:val="100"/>
                <w:sz w:val="24"/>
                <w:szCs w:val="24"/>
                <w:u w:val="single"/>
                <w:lang w:val="en-GB"/>
              </w:rPr>
            </w:pPr>
            <w:r w:rsidRPr="00DC6A4A">
              <w:rPr>
                <w:w w:val="100"/>
                <w:sz w:val="24"/>
                <w:szCs w:val="24"/>
                <w:lang w:val="en-GB"/>
              </w:rPr>
              <w:t>15.3</w:t>
            </w:r>
            <w:r w:rsidRPr="00DC6A4A">
              <w:rPr>
                <w:w w:val="100"/>
                <w:sz w:val="24"/>
                <w:szCs w:val="24"/>
                <w:lang w:val="en-GB"/>
              </w:rPr>
              <w:tab/>
            </w:r>
            <w:r w:rsidR="00C32FF1" w:rsidRPr="0031164B">
              <w:rPr>
                <w:w w:val="100"/>
                <w:sz w:val="24"/>
                <w:szCs w:val="24"/>
                <w:u w:val="single"/>
                <w:lang w:val="en-GB"/>
              </w:rPr>
              <w:t>Insurance.</w:t>
            </w:r>
            <w:r w:rsidR="00C32FF1" w:rsidRPr="0031164B">
              <w:rPr>
                <w:w w:val="100"/>
                <w:sz w:val="24"/>
                <w:szCs w:val="24"/>
                <w:lang w:val="en-GB"/>
              </w:rPr>
              <w:t xml:space="preserve"> Center agrees to obtain and maintain in full force and effect throughout the Term (and following termination or expiry of the Agreement up to five (5) years thereafter) the type and amount of insurance coverage either (i) determined by applicable laws and regulations and is adequate to the performance of the Agreement (ii) in the event the level of insurance is not specified by local legislation and/or regulations, the Center shall maintain in force during the Term of this Agreement full and comprehensive insurance policies with a reputable insurer adequate to the conduct of Center’s activities. The term and amount of coverage shall be evidenced by certificates of insurance to be furnished at </w:t>
            </w:r>
            <w:r w:rsidR="00C32FF1" w:rsidRPr="0031164B">
              <w:rPr>
                <w:w w:val="100"/>
                <w:lang w:val="en-GB"/>
              </w:rPr>
              <w:t>BMS’</w:t>
            </w:r>
            <w:r w:rsidR="00C32FF1" w:rsidRPr="0031164B">
              <w:rPr>
                <w:w w:val="100"/>
                <w:sz w:val="24"/>
                <w:szCs w:val="24"/>
                <w:lang w:val="en-GB"/>
              </w:rPr>
              <w:t xml:space="preserve"> request.</w:t>
            </w:r>
          </w:p>
        </w:tc>
      </w:tr>
      <w:tr w:rsidR="00C32FF1" w:rsidRPr="0031164B" w14:paraId="27DE2C81" w14:textId="251E210A" w:rsidTr="00830D19">
        <w:tc>
          <w:tcPr>
            <w:tcW w:w="2548" w:type="pct"/>
          </w:tcPr>
          <w:p w14:paraId="21FDFCF6" w14:textId="77777777" w:rsidR="00C32FF1" w:rsidRPr="006D689E" w:rsidRDefault="00C32FF1" w:rsidP="00C32FF1">
            <w:pPr>
              <w:pStyle w:val="Legal1L1"/>
              <w:widowControl/>
              <w:numPr>
                <w:ilvl w:val="0"/>
                <w:numId w:val="1"/>
              </w:numPr>
              <w:tabs>
                <w:tab w:val="left" w:pos="1620"/>
              </w:tabs>
              <w:adjustRightInd/>
              <w:ind w:left="0" w:firstLine="0"/>
              <w:outlineLvl w:val="9"/>
              <w:rPr>
                <w:b/>
                <w:u w:val="none"/>
              </w:rPr>
            </w:pPr>
            <w:bookmarkStart w:id="201" w:name="_DV_M419"/>
            <w:bookmarkStart w:id="202" w:name="_DV_M373"/>
            <w:bookmarkStart w:id="203" w:name="_DV_M374"/>
            <w:bookmarkStart w:id="204" w:name="_DV_M375"/>
            <w:bookmarkStart w:id="205" w:name="_DV_M378"/>
            <w:bookmarkStart w:id="206" w:name="_DV_M380"/>
            <w:bookmarkStart w:id="207" w:name="_DV_M381"/>
            <w:bookmarkStart w:id="208" w:name="_DV_M382"/>
            <w:bookmarkStart w:id="209" w:name="_DV_M383"/>
            <w:bookmarkStart w:id="210" w:name="_DV_M384"/>
            <w:bookmarkStart w:id="211" w:name="_DV_M385"/>
            <w:bookmarkStart w:id="212" w:name="_DV_M387"/>
            <w:bookmarkStart w:id="213" w:name="_DV_M388"/>
            <w:bookmarkStart w:id="214" w:name="_DV_M389"/>
            <w:bookmarkStart w:id="215" w:name="_DV_M390"/>
            <w:bookmarkStart w:id="216" w:name="_DV_M420"/>
            <w:bookmarkStart w:id="217" w:name="_DV_M421"/>
            <w:bookmarkStart w:id="218" w:name="_DV_M443"/>
            <w:bookmarkStart w:id="219" w:name="_DV_M444"/>
            <w:bookmarkStart w:id="220" w:name="_DV_M445"/>
            <w:bookmarkStart w:id="221" w:name="_DV_M448"/>
            <w:bookmarkStart w:id="222" w:name="_DV_M451"/>
            <w:bookmarkStart w:id="223" w:name="_Toc256000060"/>
            <w:bookmarkStart w:id="224" w:name="_Toc6234034"/>
            <w:bookmarkStart w:id="225" w:name="_Toc6234356"/>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6D689E">
              <w:rPr>
                <w:b/>
                <w:u w:val="none"/>
              </w:rPr>
              <w:t>RŮZNÉ</w:t>
            </w:r>
            <w:bookmarkEnd w:id="223"/>
            <w:bookmarkEnd w:id="224"/>
            <w:bookmarkEnd w:id="225"/>
          </w:p>
        </w:tc>
        <w:tc>
          <w:tcPr>
            <w:tcW w:w="2452" w:type="pct"/>
          </w:tcPr>
          <w:p w14:paraId="0FE64731" w14:textId="0E71E407" w:rsidR="00C32FF1" w:rsidRPr="0031164B" w:rsidRDefault="00C32FF1" w:rsidP="00DC6A4A">
            <w:pPr>
              <w:pStyle w:val="Legal1L1"/>
              <w:widowControl/>
              <w:numPr>
                <w:ilvl w:val="0"/>
                <w:numId w:val="93"/>
              </w:numPr>
              <w:tabs>
                <w:tab w:val="left" w:pos="1620"/>
              </w:tabs>
              <w:adjustRightInd/>
              <w:outlineLvl w:val="9"/>
              <w:rPr>
                <w:b/>
                <w:u w:val="none"/>
                <w:lang w:val="en-GB"/>
              </w:rPr>
            </w:pPr>
            <w:r w:rsidRPr="0031164B">
              <w:rPr>
                <w:b/>
                <w:u w:val="none"/>
                <w:lang w:val="en-GB"/>
              </w:rPr>
              <w:t>MISCELLANEOUS</w:t>
            </w:r>
          </w:p>
        </w:tc>
      </w:tr>
      <w:tr w:rsidR="00C32FF1" w:rsidRPr="0031164B" w14:paraId="63291D9D" w14:textId="60B0652E" w:rsidTr="00830D19">
        <w:tc>
          <w:tcPr>
            <w:tcW w:w="2548" w:type="pct"/>
          </w:tcPr>
          <w:p w14:paraId="115E211D" w14:textId="2A0F3C97" w:rsidR="00C32FF1" w:rsidRPr="006D689E" w:rsidRDefault="00C32FF1" w:rsidP="00C32FF1">
            <w:pPr>
              <w:pStyle w:val="Legal1L2"/>
              <w:ind w:left="0"/>
              <w:rPr>
                <w:rFonts w:eastAsia="Times New Roman"/>
                <w:w w:val="100"/>
                <w:sz w:val="24"/>
                <w:szCs w:val="24"/>
              </w:rPr>
            </w:pPr>
            <w:bookmarkStart w:id="226" w:name="_DV_M452"/>
            <w:bookmarkStart w:id="227" w:name="_Toc256000061"/>
            <w:bookmarkStart w:id="228" w:name="_Toc6234035"/>
            <w:bookmarkStart w:id="229" w:name="_Toc6234357"/>
            <w:bookmarkEnd w:id="226"/>
            <w:r w:rsidRPr="006D689E">
              <w:rPr>
                <w:w w:val="100"/>
                <w:sz w:val="24"/>
                <w:szCs w:val="24"/>
                <w:u w:val="single"/>
              </w:rPr>
              <w:t>Vztah</w:t>
            </w:r>
            <w:bookmarkEnd w:id="227"/>
            <w:bookmarkEnd w:id="228"/>
            <w:bookmarkEnd w:id="229"/>
            <w:r w:rsidRPr="006D689E">
              <w:rPr>
                <w:w w:val="100"/>
                <w:sz w:val="24"/>
                <w:szCs w:val="24"/>
                <w:u w:val="single"/>
              </w:rPr>
              <w:t>.</w:t>
            </w:r>
            <w:r w:rsidRPr="006D689E">
              <w:rPr>
                <w:w w:val="100"/>
                <w:sz w:val="24"/>
                <w:szCs w:val="24"/>
              </w:rPr>
              <w:t xml:space="preserve"> </w:t>
            </w:r>
            <w:r w:rsidR="006F5A6D">
              <w:rPr>
                <w:w w:val="100"/>
                <w:sz w:val="24"/>
                <w:szCs w:val="24"/>
              </w:rPr>
              <w:t>Centrum</w:t>
            </w:r>
            <w:r w:rsidRPr="006D689E">
              <w:rPr>
                <w:w w:val="100"/>
                <w:sz w:val="24"/>
                <w:szCs w:val="24"/>
              </w:rPr>
              <w:t xml:space="preserve"> je nezávislým dodavatelem společnosti </w:t>
            </w:r>
            <w:r w:rsidRPr="006D689E">
              <w:rPr>
                <w:w w:val="100"/>
              </w:rPr>
              <w:t>BMS</w:t>
            </w:r>
            <w:r w:rsidRPr="006D689E">
              <w:rPr>
                <w:w w:val="100"/>
                <w:sz w:val="24"/>
                <w:szCs w:val="24"/>
              </w:rPr>
              <w:t xml:space="preserve"> a nic z toho, co je obsaženo v této Smlouvě, nelze vykládat tak, že by Smluvní strany byly ve vztahu partnerů, </w:t>
            </w:r>
            <w:r w:rsidRPr="006D689E">
              <w:rPr>
                <w:w w:val="100"/>
                <w:sz w:val="24"/>
                <w:szCs w:val="24"/>
              </w:rPr>
              <w:lastRenderedPageBreak/>
              <w:t>společného podniku, zmocněnce a zástupce a/nebo zaměstnavatele a zaměstnance.</w:t>
            </w:r>
          </w:p>
        </w:tc>
        <w:tc>
          <w:tcPr>
            <w:tcW w:w="2452" w:type="pct"/>
          </w:tcPr>
          <w:p w14:paraId="6A268A99" w14:textId="412EFBE1" w:rsidR="00C32FF1" w:rsidRPr="0031164B" w:rsidRDefault="00DC6A4A" w:rsidP="00DC6A4A">
            <w:pPr>
              <w:pStyle w:val="Legal1L2"/>
              <w:numPr>
                <w:ilvl w:val="0"/>
                <w:numId w:val="0"/>
              </w:numPr>
              <w:rPr>
                <w:rFonts w:eastAsia="Times New Roman"/>
                <w:w w:val="100"/>
                <w:sz w:val="24"/>
                <w:szCs w:val="24"/>
                <w:u w:val="single"/>
                <w:lang w:val="en-GB"/>
              </w:rPr>
            </w:pPr>
            <w:r w:rsidRPr="00DC6A4A">
              <w:rPr>
                <w:w w:val="100"/>
                <w:sz w:val="24"/>
                <w:szCs w:val="24"/>
                <w:lang w:val="en-GB"/>
              </w:rPr>
              <w:lastRenderedPageBreak/>
              <w:t>16.1</w:t>
            </w:r>
            <w:r w:rsidRPr="00DC6A4A">
              <w:rPr>
                <w:w w:val="100"/>
                <w:sz w:val="24"/>
                <w:szCs w:val="24"/>
                <w:lang w:val="en-GB"/>
              </w:rPr>
              <w:tab/>
            </w:r>
            <w:r w:rsidR="00C32FF1" w:rsidRPr="0031164B">
              <w:rPr>
                <w:w w:val="100"/>
                <w:sz w:val="24"/>
                <w:szCs w:val="24"/>
                <w:u w:val="single"/>
                <w:lang w:val="en-GB"/>
              </w:rPr>
              <w:t>Relationship.</w:t>
            </w:r>
            <w:r w:rsidR="00C32FF1" w:rsidRPr="0031164B">
              <w:rPr>
                <w:w w:val="100"/>
                <w:sz w:val="24"/>
                <w:szCs w:val="24"/>
                <w:lang w:val="en-GB"/>
              </w:rPr>
              <w:t xml:space="preserve"> Center is an independent contractor of </w:t>
            </w:r>
            <w:r w:rsidR="00C32FF1" w:rsidRPr="0031164B">
              <w:rPr>
                <w:w w:val="100"/>
                <w:lang w:val="en-GB"/>
              </w:rPr>
              <w:t>BMS</w:t>
            </w:r>
            <w:r w:rsidR="00C32FF1" w:rsidRPr="0031164B">
              <w:rPr>
                <w:w w:val="100"/>
                <w:sz w:val="24"/>
                <w:szCs w:val="24"/>
                <w:lang w:val="en-GB"/>
              </w:rPr>
              <w:t xml:space="preserve"> and nothing contained in this Agreement shall be construed to place the Parties in the relationship of partners, joint </w:t>
            </w:r>
            <w:r w:rsidR="00C32FF1" w:rsidRPr="0031164B">
              <w:rPr>
                <w:w w:val="100"/>
                <w:sz w:val="24"/>
                <w:szCs w:val="24"/>
                <w:lang w:val="en-GB"/>
              </w:rPr>
              <w:lastRenderedPageBreak/>
              <w:t>venture, principal and agent, and/or employer/employee.</w:t>
            </w:r>
          </w:p>
        </w:tc>
      </w:tr>
      <w:tr w:rsidR="00C32FF1" w:rsidRPr="0031164B" w14:paraId="3A94972A" w14:textId="0ADB8E1D" w:rsidTr="00830D19">
        <w:tc>
          <w:tcPr>
            <w:tcW w:w="2548" w:type="pct"/>
          </w:tcPr>
          <w:p w14:paraId="3B620633" w14:textId="77777777" w:rsidR="00C32FF1" w:rsidRPr="006D689E" w:rsidRDefault="00C32FF1" w:rsidP="00C32FF1">
            <w:pPr>
              <w:pStyle w:val="Legal1L2"/>
              <w:ind w:left="0"/>
              <w:rPr>
                <w:rFonts w:eastAsia="Times New Roman"/>
                <w:w w:val="100"/>
                <w:sz w:val="24"/>
                <w:szCs w:val="24"/>
              </w:rPr>
            </w:pPr>
            <w:bookmarkStart w:id="230" w:name="_Toc6234358"/>
            <w:bookmarkStart w:id="231" w:name="_Toc6234036"/>
            <w:bookmarkStart w:id="232" w:name="_Toc256000062"/>
            <w:r w:rsidRPr="006D689E">
              <w:rPr>
                <w:w w:val="100"/>
                <w:sz w:val="24"/>
                <w:szCs w:val="24"/>
                <w:u w:val="single"/>
              </w:rPr>
              <w:lastRenderedPageBreak/>
              <w:t>Rozhodné právo</w:t>
            </w:r>
            <w:bookmarkEnd w:id="230"/>
            <w:bookmarkEnd w:id="231"/>
            <w:bookmarkEnd w:id="232"/>
            <w:r w:rsidRPr="006D689E">
              <w:rPr>
                <w:w w:val="100"/>
                <w:sz w:val="24"/>
                <w:szCs w:val="24"/>
              </w:rPr>
              <w:t xml:space="preserve">. Tato smlouva se řídí a vykládá v souladu s právem České republiky. </w:t>
            </w:r>
            <w:bookmarkStart w:id="233" w:name="_Toc6234359"/>
            <w:bookmarkStart w:id="234" w:name="_Toc6234037"/>
            <w:bookmarkStart w:id="235" w:name="_Toc256000063"/>
          </w:p>
        </w:tc>
        <w:tc>
          <w:tcPr>
            <w:tcW w:w="2452" w:type="pct"/>
          </w:tcPr>
          <w:p w14:paraId="23E7AA8E" w14:textId="78B0E2B3" w:rsidR="00C32FF1" w:rsidRPr="0031164B" w:rsidRDefault="00DC6A4A" w:rsidP="00DC6A4A">
            <w:pPr>
              <w:pStyle w:val="Legal1L2"/>
              <w:numPr>
                <w:ilvl w:val="0"/>
                <w:numId w:val="0"/>
              </w:numPr>
              <w:rPr>
                <w:rFonts w:eastAsia="Times New Roman"/>
                <w:w w:val="100"/>
                <w:sz w:val="24"/>
                <w:szCs w:val="24"/>
                <w:u w:val="single"/>
                <w:lang w:val="en-GB"/>
              </w:rPr>
            </w:pPr>
            <w:r w:rsidRPr="00DC6A4A">
              <w:rPr>
                <w:w w:val="100"/>
                <w:sz w:val="24"/>
                <w:szCs w:val="24"/>
                <w:lang w:val="en-GB"/>
              </w:rPr>
              <w:t>16.2</w:t>
            </w:r>
            <w:r w:rsidRPr="00DC6A4A">
              <w:rPr>
                <w:w w:val="100"/>
                <w:sz w:val="24"/>
                <w:szCs w:val="24"/>
                <w:lang w:val="en-GB"/>
              </w:rPr>
              <w:tab/>
            </w:r>
            <w:r w:rsidR="00C32FF1" w:rsidRPr="0031164B">
              <w:rPr>
                <w:w w:val="100"/>
                <w:sz w:val="24"/>
                <w:szCs w:val="24"/>
                <w:u w:val="single"/>
                <w:lang w:val="en-GB"/>
              </w:rPr>
              <w:t>Governing Law</w:t>
            </w:r>
            <w:r w:rsidR="00C32FF1" w:rsidRPr="0031164B">
              <w:rPr>
                <w:w w:val="100"/>
                <w:sz w:val="24"/>
                <w:szCs w:val="24"/>
                <w:lang w:val="en-GB"/>
              </w:rPr>
              <w:t xml:space="preserve">. This Agreement shall be governed by, and construed in accordance with, the laws of the Czech Republic. </w:t>
            </w:r>
          </w:p>
        </w:tc>
      </w:tr>
      <w:tr w:rsidR="00C32FF1" w:rsidRPr="0031164B" w14:paraId="201C39A0" w14:textId="13E71FC5" w:rsidTr="00830D19">
        <w:tc>
          <w:tcPr>
            <w:tcW w:w="2548" w:type="pct"/>
          </w:tcPr>
          <w:p w14:paraId="7177E86B" w14:textId="05271E4A" w:rsidR="00C32FF1" w:rsidRPr="006D689E" w:rsidRDefault="00C32FF1" w:rsidP="00C32FF1">
            <w:pPr>
              <w:pStyle w:val="Legal1L2"/>
              <w:ind w:left="0"/>
              <w:rPr>
                <w:rFonts w:eastAsia="Times New Roman"/>
                <w:w w:val="100"/>
                <w:sz w:val="24"/>
                <w:szCs w:val="24"/>
              </w:rPr>
            </w:pPr>
            <w:r w:rsidRPr="006D689E">
              <w:rPr>
                <w:w w:val="100"/>
                <w:sz w:val="24"/>
                <w:szCs w:val="24"/>
                <w:u w:val="single"/>
              </w:rPr>
              <w:t>Postoupení</w:t>
            </w:r>
            <w:bookmarkEnd w:id="233"/>
            <w:bookmarkEnd w:id="234"/>
            <w:bookmarkEnd w:id="235"/>
            <w:r w:rsidRPr="006D689E">
              <w:rPr>
                <w:w w:val="100"/>
                <w:sz w:val="24"/>
                <w:szCs w:val="24"/>
              </w:rPr>
              <w:t xml:space="preserve">. </w:t>
            </w:r>
            <w:r w:rsidR="00673FFE">
              <w:rPr>
                <w:w w:val="100"/>
                <w:sz w:val="24"/>
                <w:szCs w:val="24"/>
              </w:rPr>
              <w:t>Centrum</w:t>
            </w:r>
            <w:r w:rsidRPr="006D689E">
              <w:rPr>
                <w:w w:val="100"/>
                <w:sz w:val="24"/>
                <w:szCs w:val="24"/>
              </w:rPr>
              <w:t xml:space="preserve"> nesmí postoupit žádná svá práva, povinnosti nebo závazky podle této smlouvy bez předchozího písemného souhlasu společnosti </w:t>
            </w:r>
            <w:r w:rsidRPr="006D689E">
              <w:rPr>
                <w:w w:val="100"/>
              </w:rPr>
              <w:t>BMS</w:t>
            </w:r>
            <w:r w:rsidRPr="006D689E">
              <w:rPr>
                <w:w w:val="100"/>
                <w:sz w:val="24"/>
                <w:szCs w:val="24"/>
              </w:rPr>
              <w:t xml:space="preserve">, pokud není v této smlouvě stanoveno jinak. </w:t>
            </w:r>
            <w:bookmarkStart w:id="236" w:name="_Hlk38889491"/>
            <w:r w:rsidRPr="006D689E">
              <w:rPr>
                <w:w w:val="100"/>
              </w:rPr>
              <w:t xml:space="preserve">Společnost </w:t>
            </w:r>
            <w:r w:rsidRPr="006D689E">
              <w:rPr>
                <w:w w:val="100"/>
                <w:sz w:val="24"/>
                <w:szCs w:val="24"/>
              </w:rPr>
              <w:t xml:space="preserve">BMS může postoupit smlouvu na přidruženou společnost nebo nástupce veškerých nebo podstatných aktiv, podílů nebo obchodních aktivit společnosti </w:t>
            </w:r>
            <w:r w:rsidRPr="006D689E">
              <w:rPr>
                <w:w w:val="100"/>
              </w:rPr>
              <w:t>BMS</w:t>
            </w:r>
            <w:r w:rsidRPr="006D689E">
              <w:rPr>
                <w:w w:val="100"/>
                <w:sz w:val="24"/>
                <w:szCs w:val="24"/>
              </w:rPr>
              <w:t xml:space="preserve">, a to po předchozím </w:t>
            </w:r>
            <w:r w:rsidR="0061662E">
              <w:rPr>
                <w:w w:val="100"/>
                <w:sz w:val="24"/>
                <w:szCs w:val="24"/>
              </w:rPr>
              <w:t xml:space="preserve">písemném </w:t>
            </w:r>
            <w:r w:rsidRPr="006D689E">
              <w:rPr>
                <w:w w:val="100"/>
                <w:sz w:val="24"/>
                <w:szCs w:val="24"/>
              </w:rPr>
              <w:t xml:space="preserve">souhlasu </w:t>
            </w:r>
            <w:r w:rsidR="00D33C9E">
              <w:rPr>
                <w:w w:val="100"/>
                <w:sz w:val="24"/>
                <w:szCs w:val="24"/>
              </w:rPr>
              <w:t>Centra</w:t>
            </w:r>
            <w:r w:rsidRPr="006D689E">
              <w:rPr>
                <w:w w:val="100"/>
                <w:sz w:val="24"/>
                <w:szCs w:val="24"/>
              </w:rPr>
              <w:t xml:space="preserve">, který </w:t>
            </w:r>
            <w:r w:rsidR="00D33C9E">
              <w:rPr>
                <w:w w:val="100"/>
                <w:sz w:val="24"/>
                <w:szCs w:val="24"/>
              </w:rPr>
              <w:t>Centrum</w:t>
            </w:r>
            <w:r w:rsidRPr="006D689E">
              <w:rPr>
                <w:w w:val="100"/>
                <w:sz w:val="24"/>
                <w:szCs w:val="24"/>
              </w:rPr>
              <w:t xml:space="preserve"> neodmítne, pokud společnost </w:t>
            </w:r>
            <w:r w:rsidRPr="006D689E">
              <w:rPr>
                <w:w w:val="100"/>
              </w:rPr>
              <w:t>BMS</w:t>
            </w:r>
            <w:r w:rsidRPr="006D689E">
              <w:rPr>
                <w:w w:val="100"/>
                <w:sz w:val="24"/>
                <w:szCs w:val="24"/>
              </w:rPr>
              <w:t xml:space="preserve"> prokáže, že nabyvatel má technické a finanční možnosti pokračovat v plnění smlouvy. </w:t>
            </w:r>
            <w:bookmarkEnd w:id="236"/>
            <w:r w:rsidRPr="006D689E">
              <w:rPr>
                <w:w w:val="100"/>
                <w:sz w:val="24"/>
                <w:szCs w:val="24"/>
              </w:rPr>
              <w:t xml:space="preserve"> Jakýkoli pokus o postoupení v rozporu s tímto oddílem je neplatný.  </w:t>
            </w:r>
          </w:p>
        </w:tc>
        <w:tc>
          <w:tcPr>
            <w:tcW w:w="2452" w:type="pct"/>
          </w:tcPr>
          <w:p w14:paraId="24BA74C7" w14:textId="7DD20507" w:rsidR="00C32FF1" w:rsidRPr="0031164B" w:rsidRDefault="00DC6A4A" w:rsidP="00DC6A4A">
            <w:pPr>
              <w:pStyle w:val="Legal1L2"/>
              <w:numPr>
                <w:ilvl w:val="0"/>
                <w:numId w:val="0"/>
              </w:numPr>
              <w:rPr>
                <w:rFonts w:eastAsia="Times New Roman"/>
                <w:w w:val="100"/>
                <w:sz w:val="24"/>
                <w:szCs w:val="24"/>
                <w:u w:val="single"/>
                <w:lang w:val="en-GB"/>
              </w:rPr>
            </w:pPr>
            <w:r w:rsidRPr="00DC6A4A">
              <w:rPr>
                <w:w w:val="100"/>
                <w:sz w:val="24"/>
                <w:szCs w:val="24"/>
                <w:lang w:val="en-GB"/>
              </w:rPr>
              <w:t>16.3</w:t>
            </w:r>
            <w:r w:rsidRPr="00DC6A4A">
              <w:rPr>
                <w:w w:val="100"/>
                <w:sz w:val="24"/>
                <w:szCs w:val="24"/>
                <w:lang w:val="en-GB"/>
              </w:rPr>
              <w:tab/>
            </w:r>
            <w:r w:rsidR="00C32FF1" w:rsidRPr="0031164B">
              <w:rPr>
                <w:w w:val="100"/>
                <w:sz w:val="24"/>
                <w:szCs w:val="24"/>
                <w:u w:val="single"/>
                <w:lang w:val="en-GB"/>
              </w:rPr>
              <w:t>Assignment</w:t>
            </w:r>
            <w:r w:rsidR="00C32FF1" w:rsidRPr="0031164B">
              <w:rPr>
                <w:w w:val="100"/>
                <w:sz w:val="24"/>
                <w:szCs w:val="24"/>
                <w:lang w:val="en-GB"/>
              </w:rPr>
              <w:t xml:space="preserve">. Center may not assign any of its rights, duties or obligations hereunder without </w:t>
            </w:r>
            <w:r w:rsidR="00C32FF1" w:rsidRPr="0031164B">
              <w:rPr>
                <w:w w:val="100"/>
                <w:lang w:val="en-GB"/>
              </w:rPr>
              <w:t>BMS’</w:t>
            </w:r>
            <w:r w:rsidR="00C32FF1" w:rsidRPr="0031164B">
              <w:rPr>
                <w:w w:val="100"/>
                <w:sz w:val="24"/>
                <w:szCs w:val="24"/>
                <w:lang w:val="en-GB"/>
              </w:rPr>
              <w:t xml:space="preserve"> prior written consent, except as otherwise provided herein. </w:t>
            </w:r>
            <w:r w:rsidR="00C32FF1" w:rsidRPr="0031164B">
              <w:rPr>
                <w:w w:val="100"/>
                <w:lang w:val="en-GB"/>
              </w:rPr>
              <w:t>BMS</w:t>
            </w:r>
            <w:r w:rsidR="00C32FF1" w:rsidRPr="0031164B">
              <w:rPr>
                <w:w w:val="100"/>
                <w:sz w:val="24"/>
                <w:szCs w:val="24"/>
                <w:lang w:val="en-GB"/>
              </w:rPr>
              <w:t xml:space="preserve"> may assign the Agreement to an affiliate or successor to all or substantially all of the assets, stock or business of </w:t>
            </w:r>
            <w:r w:rsidR="00C32FF1" w:rsidRPr="0031164B">
              <w:rPr>
                <w:w w:val="100"/>
                <w:lang w:val="en-GB"/>
              </w:rPr>
              <w:t>BMS</w:t>
            </w:r>
            <w:r w:rsidR="00C32FF1" w:rsidRPr="0031164B">
              <w:rPr>
                <w:w w:val="100"/>
                <w:sz w:val="24"/>
                <w:szCs w:val="24"/>
                <w:lang w:val="en-GB"/>
              </w:rPr>
              <w:t xml:space="preserve">, subject to Center’s prior </w:t>
            </w:r>
            <w:r w:rsidR="008A6A57">
              <w:rPr>
                <w:w w:val="100"/>
                <w:sz w:val="24"/>
                <w:szCs w:val="24"/>
                <w:lang w:val="en-GB"/>
              </w:rPr>
              <w:t xml:space="preserve">written </w:t>
            </w:r>
            <w:r w:rsidR="00C32FF1" w:rsidRPr="0031164B">
              <w:rPr>
                <w:w w:val="100"/>
                <w:sz w:val="24"/>
                <w:szCs w:val="24"/>
                <w:lang w:val="en-GB"/>
              </w:rPr>
              <w:t xml:space="preserve">approval which shall not be refused by Center if </w:t>
            </w:r>
            <w:r w:rsidR="00C32FF1" w:rsidRPr="0031164B">
              <w:rPr>
                <w:w w:val="100"/>
                <w:lang w:val="en-GB"/>
              </w:rPr>
              <w:t>BMS</w:t>
            </w:r>
            <w:r w:rsidR="00C32FF1" w:rsidRPr="0031164B">
              <w:rPr>
                <w:w w:val="100"/>
                <w:sz w:val="24"/>
                <w:szCs w:val="24"/>
                <w:lang w:val="en-GB"/>
              </w:rPr>
              <w:t xml:space="preserve"> proves that the assignee has the technical and financial capabilities to continue the performance of the Agreement.  Any attempted assignment in violation of this section shall be null and void.  </w:t>
            </w:r>
          </w:p>
        </w:tc>
      </w:tr>
      <w:tr w:rsidR="00C32FF1" w:rsidRPr="0031164B" w14:paraId="7C0683C1" w14:textId="545AF11E" w:rsidTr="00830D19">
        <w:tc>
          <w:tcPr>
            <w:tcW w:w="2548" w:type="pct"/>
          </w:tcPr>
          <w:p w14:paraId="75DB6033" w14:textId="5C5344EC" w:rsidR="00C32FF1" w:rsidRPr="006D689E" w:rsidRDefault="00C32FF1" w:rsidP="00C32FF1">
            <w:pPr>
              <w:pStyle w:val="Legal1L2"/>
              <w:ind w:left="0"/>
              <w:rPr>
                <w:rFonts w:eastAsia="Times New Roman"/>
                <w:w w:val="100"/>
                <w:sz w:val="24"/>
                <w:szCs w:val="24"/>
              </w:rPr>
            </w:pPr>
            <w:bookmarkStart w:id="237" w:name="_Toc6234360"/>
            <w:bookmarkStart w:id="238" w:name="_Toc6234038"/>
            <w:bookmarkStart w:id="239" w:name="_Toc256000064"/>
            <w:r w:rsidRPr="006D689E">
              <w:rPr>
                <w:w w:val="100"/>
                <w:sz w:val="24"/>
                <w:szCs w:val="24"/>
                <w:u w:val="single"/>
              </w:rPr>
              <w:t>Oznamování</w:t>
            </w:r>
            <w:bookmarkStart w:id="240" w:name="_Hlk13430333"/>
            <w:bookmarkEnd w:id="237"/>
            <w:bookmarkEnd w:id="238"/>
            <w:bookmarkEnd w:id="239"/>
            <w:r w:rsidRPr="006D689E">
              <w:rPr>
                <w:w w:val="100"/>
                <w:sz w:val="24"/>
                <w:szCs w:val="24"/>
                <w:u w:val="single"/>
              </w:rPr>
              <w:t>.</w:t>
            </w:r>
            <w:r w:rsidRPr="006D689E">
              <w:rPr>
                <w:w w:val="100"/>
                <w:sz w:val="24"/>
                <w:szCs w:val="24"/>
              </w:rPr>
              <w:t xml:space="preserve"> Jakékoli oznámení, které má kterákoli ze Smluvních stran podle této Smlouvy učinit, musí mít písemnou formu a musí být zasláno kurýrem s dodávkou do druhého dne nebo doporučenou poštou s doručenkou </w:t>
            </w:r>
            <w:r w:rsidR="00C76489">
              <w:rPr>
                <w:w w:val="100"/>
                <w:sz w:val="24"/>
                <w:szCs w:val="24"/>
              </w:rPr>
              <w:t xml:space="preserve">a nebo </w:t>
            </w:r>
            <w:r w:rsidR="00347B0F">
              <w:rPr>
                <w:w w:val="100"/>
                <w:sz w:val="24"/>
                <w:szCs w:val="24"/>
              </w:rPr>
              <w:t xml:space="preserve">prostřednictvím datové schránky </w:t>
            </w:r>
            <w:r w:rsidRPr="006D689E">
              <w:rPr>
                <w:w w:val="100"/>
                <w:sz w:val="24"/>
                <w:szCs w:val="24"/>
              </w:rPr>
              <w:t>a bude považováno za učiněné dnem, kdy jej přijímající strana obdrží.  Oznámení smluvním stranám se podávají následovně:</w:t>
            </w:r>
          </w:p>
        </w:tc>
        <w:tc>
          <w:tcPr>
            <w:tcW w:w="2452" w:type="pct"/>
          </w:tcPr>
          <w:p w14:paraId="3FE0DC26" w14:textId="0CDA15E6" w:rsidR="00C32FF1" w:rsidRPr="0031164B" w:rsidRDefault="00DC6A4A" w:rsidP="00DC6A4A">
            <w:pPr>
              <w:pStyle w:val="Legal1L2"/>
              <w:numPr>
                <w:ilvl w:val="0"/>
                <w:numId w:val="0"/>
              </w:numPr>
              <w:rPr>
                <w:rFonts w:eastAsia="Times New Roman"/>
                <w:w w:val="100"/>
                <w:sz w:val="24"/>
                <w:szCs w:val="24"/>
                <w:u w:val="single"/>
                <w:lang w:val="en-GB"/>
              </w:rPr>
            </w:pPr>
            <w:r w:rsidRPr="00DC6A4A">
              <w:rPr>
                <w:w w:val="100"/>
                <w:sz w:val="24"/>
                <w:szCs w:val="24"/>
                <w:lang w:val="en-GB"/>
              </w:rPr>
              <w:t>16.4</w:t>
            </w:r>
            <w:r w:rsidRPr="00DC6A4A">
              <w:rPr>
                <w:w w:val="100"/>
                <w:sz w:val="24"/>
                <w:szCs w:val="24"/>
                <w:lang w:val="en-GB"/>
              </w:rPr>
              <w:tab/>
            </w:r>
            <w:r w:rsidR="00C32FF1" w:rsidRPr="0031164B">
              <w:rPr>
                <w:w w:val="100"/>
                <w:sz w:val="24"/>
                <w:szCs w:val="24"/>
                <w:u w:val="single"/>
                <w:lang w:val="en-GB"/>
              </w:rPr>
              <w:t>Notices.</w:t>
            </w:r>
            <w:r w:rsidR="00C32FF1" w:rsidRPr="0031164B">
              <w:rPr>
                <w:w w:val="100"/>
                <w:sz w:val="24"/>
                <w:szCs w:val="24"/>
                <w:lang w:val="en-GB"/>
              </w:rPr>
              <w:t xml:space="preserve"> Any notice to be given by either Party hereunder shall be in writing an shall be made by overnight courier or certified mail, return receipt requested</w:t>
            </w:r>
            <w:r w:rsidR="00347B0F">
              <w:rPr>
                <w:w w:val="100"/>
                <w:sz w:val="24"/>
                <w:szCs w:val="24"/>
                <w:lang w:val="en-GB"/>
              </w:rPr>
              <w:t xml:space="preserve"> or via data</w:t>
            </w:r>
            <w:r w:rsidR="00BE3754">
              <w:rPr>
                <w:w w:val="100"/>
                <w:sz w:val="24"/>
                <w:szCs w:val="24"/>
                <w:lang w:val="en-GB"/>
              </w:rPr>
              <w:t>box</w:t>
            </w:r>
            <w:r w:rsidR="00C32FF1" w:rsidRPr="0031164B">
              <w:rPr>
                <w:w w:val="100"/>
                <w:sz w:val="24"/>
                <w:szCs w:val="24"/>
                <w:lang w:val="en-GB"/>
              </w:rPr>
              <w:t xml:space="preserve"> and will be deemed given as of the date it is received by the receiving Party.  Notice shall be given to the Parties as follows:</w:t>
            </w:r>
          </w:p>
        </w:tc>
      </w:tr>
    </w:tbl>
    <w:p w14:paraId="18D4DBB1" w14:textId="77777777" w:rsidR="00C32FF1" w:rsidRPr="0031164B" w:rsidRDefault="00C32FF1" w:rsidP="00C32FF1">
      <w:pPr>
        <w:pStyle w:val="BodyTextWP"/>
        <w:ind w:firstLine="0"/>
        <w:rPr>
          <w:lang w:val="en-GB"/>
        </w:rPr>
      </w:pPr>
      <w:bookmarkStart w:id="241" w:name="_Ref_ContractCompanion_9kb9Ur078"/>
      <w:bookmarkStart w:id="242" w:name="_Toc6234361"/>
      <w:bookmarkStart w:id="243" w:name="_Toc6234039"/>
      <w:bookmarkStart w:id="244" w:name="_Toc256000065"/>
      <w:bookmarkStart w:id="245" w:name="_Hlk38871814"/>
      <w:bookmarkEnd w:id="240"/>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261"/>
        <w:gridCol w:w="1741"/>
        <w:gridCol w:w="2799"/>
      </w:tblGrid>
      <w:tr w:rsidR="00C32FF1" w:rsidRPr="0031164B" w14:paraId="257F3F52" w14:textId="13F2A0C8" w:rsidTr="00C32FF1">
        <w:trPr>
          <w:trHeight w:val="1017"/>
        </w:trPr>
        <w:tc>
          <w:tcPr>
            <w:tcW w:w="833" w:type="pct"/>
            <w:hideMark/>
          </w:tcPr>
          <w:p w14:paraId="000BD8B9" w14:textId="77777777" w:rsidR="00C32FF1" w:rsidRPr="0031164B" w:rsidRDefault="00C32FF1" w:rsidP="00C32FF1">
            <w:pPr>
              <w:pStyle w:val="Odstavecseseznamem"/>
              <w:rPr>
                <w:rFonts w:ascii="Times New Roman" w:eastAsia="Times New Roman" w:hAnsi="Times New Roman" w:cs="Times New Roman"/>
                <w:sz w:val="24"/>
                <w:szCs w:val="24"/>
                <w:lang w:val="en-GB"/>
              </w:rPr>
            </w:pPr>
            <w:r w:rsidRPr="0031164B">
              <w:rPr>
                <w:rFonts w:ascii="Times New Roman" w:hAnsi="Times New Roman"/>
                <w:sz w:val="24"/>
                <w:szCs w:val="24"/>
                <w:lang w:val="en-GB"/>
              </w:rPr>
              <w:t xml:space="preserve">Pokud jde o oznámení společnosti </w:t>
            </w:r>
            <w:r w:rsidRPr="0031164B">
              <w:rPr>
                <w:rFonts w:ascii="Times New Roman" w:hAnsi="Times New Roman"/>
                <w:lang w:val="en-GB"/>
              </w:rPr>
              <w:t>BMS</w:t>
            </w:r>
            <w:r w:rsidRPr="0031164B">
              <w:rPr>
                <w:rFonts w:ascii="Times New Roman" w:hAnsi="Times New Roman"/>
                <w:sz w:val="24"/>
                <w:szCs w:val="24"/>
                <w:lang w:val="en-GB"/>
              </w:rPr>
              <w:t>:</w:t>
            </w:r>
          </w:p>
        </w:tc>
        <w:tc>
          <w:tcPr>
            <w:tcW w:w="1742" w:type="pct"/>
          </w:tcPr>
          <w:p w14:paraId="69FEAF99" w14:textId="77777777" w:rsidR="00C32FF1" w:rsidRPr="005F4D6A" w:rsidRDefault="00C32FF1" w:rsidP="00C32FF1">
            <w:pPr>
              <w:widowControl/>
              <w:jc w:val="both"/>
              <w:rPr>
                <w:lang w:val="fr-CH"/>
              </w:rPr>
            </w:pPr>
            <w:r w:rsidRPr="005F4D6A">
              <w:rPr>
                <w:lang w:val="fr-CH"/>
              </w:rPr>
              <w:t>Celgene International Sàrl</w:t>
            </w:r>
          </w:p>
          <w:p w14:paraId="6AA367AE" w14:textId="77777777" w:rsidR="00C32FF1" w:rsidRPr="005F4D6A" w:rsidRDefault="00C32FF1" w:rsidP="00C32FF1">
            <w:pPr>
              <w:widowControl/>
              <w:jc w:val="both"/>
              <w:rPr>
                <w:lang w:val="fr-CH"/>
              </w:rPr>
            </w:pPr>
            <w:r w:rsidRPr="005F4D6A">
              <w:rPr>
                <w:lang w:val="fr-CH"/>
              </w:rPr>
              <w:t>1 Route de Perreux</w:t>
            </w:r>
          </w:p>
          <w:p w14:paraId="19CD7C05" w14:textId="392DE9D8" w:rsidR="00C32FF1" w:rsidRPr="0031164B" w:rsidRDefault="00C32FF1" w:rsidP="00C32FF1">
            <w:pPr>
              <w:widowControl/>
              <w:jc w:val="both"/>
              <w:rPr>
                <w:lang w:val="en-GB"/>
              </w:rPr>
            </w:pPr>
            <w:r w:rsidRPr="0031164B">
              <w:rPr>
                <w:lang w:val="en-GB"/>
              </w:rPr>
              <w:t xml:space="preserve">2017 Boudry, </w:t>
            </w:r>
            <w:r w:rsidR="00690580">
              <w:rPr>
                <w:lang w:val="en-GB"/>
              </w:rPr>
              <w:t>Switzerland</w:t>
            </w:r>
            <w:r w:rsidR="00690580" w:rsidRPr="0031164B">
              <w:rPr>
                <w:lang w:val="en-GB"/>
              </w:rPr>
              <w:t xml:space="preserve"> </w:t>
            </w:r>
          </w:p>
          <w:p w14:paraId="7B1B7E51" w14:textId="4EB3B63A" w:rsidR="00C32FF1" w:rsidRPr="0031164B" w:rsidRDefault="00C97A47" w:rsidP="00C32FF1">
            <w:pPr>
              <w:widowControl/>
              <w:jc w:val="both"/>
              <w:rPr>
                <w:lang w:val="en-GB"/>
              </w:rPr>
            </w:pPr>
            <w:r>
              <w:rPr>
                <w:lang w:val="en-GB"/>
              </w:rPr>
              <w:t>Attention</w:t>
            </w:r>
            <w:r w:rsidR="00C32FF1" w:rsidRPr="0031164B">
              <w:rPr>
                <w:lang w:val="en-GB"/>
              </w:rPr>
              <w:t xml:space="preserve">:  WW CAR T </w:t>
            </w:r>
            <w:r>
              <w:rPr>
                <w:lang w:val="en-GB"/>
              </w:rPr>
              <w:t>Commercial Operations</w:t>
            </w:r>
          </w:p>
          <w:p w14:paraId="68C9D399" w14:textId="77777777" w:rsidR="00C32FF1" w:rsidRPr="0031164B" w:rsidRDefault="00C32FF1" w:rsidP="00C32FF1">
            <w:pPr>
              <w:widowControl/>
              <w:jc w:val="both"/>
              <w:rPr>
                <w:lang w:val="en-GB"/>
              </w:rPr>
            </w:pPr>
          </w:p>
          <w:p w14:paraId="21C77D42" w14:textId="77777777" w:rsidR="00C32FF1" w:rsidRPr="0031164B" w:rsidRDefault="00C32FF1" w:rsidP="00C32FF1">
            <w:pPr>
              <w:widowControl/>
              <w:jc w:val="both"/>
              <w:rPr>
                <w:lang w:val="en-GB"/>
              </w:rPr>
            </w:pPr>
            <w:r w:rsidRPr="0031164B">
              <w:rPr>
                <w:b/>
                <w:bCs/>
                <w:lang w:val="en-GB"/>
              </w:rPr>
              <w:t>Bristol-Myers Squibb spol. s r.o</w:t>
            </w:r>
            <w:r w:rsidRPr="0031164B">
              <w:rPr>
                <w:lang w:val="en-GB"/>
              </w:rPr>
              <w:t xml:space="preserve"> </w:t>
            </w:r>
          </w:p>
          <w:p w14:paraId="7D1D1D4C" w14:textId="77777777" w:rsidR="00C32FF1" w:rsidRPr="0031164B" w:rsidRDefault="00C32FF1" w:rsidP="00C32FF1">
            <w:pPr>
              <w:widowControl/>
              <w:jc w:val="both"/>
              <w:rPr>
                <w:lang w:val="en-GB"/>
              </w:rPr>
            </w:pPr>
            <w:r w:rsidRPr="0031164B">
              <w:rPr>
                <w:lang w:val="en-GB"/>
              </w:rPr>
              <w:t>Budějovická 778/3</w:t>
            </w:r>
          </w:p>
          <w:p w14:paraId="60F9E205" w14:textId="77777777" w:rsidR="00C32FF1" w:rsidRPr="0031164B" w:rsidRDefault="00C32FF1" w:rsidP="00C32FF1">
            <w:pPr>
              <w:widowControl/>
              <w:jc w:val="both"/>
              <w:rPr>
                <w:lang w:val="en-GB"/>
              </w:rPr>
            </w:pPr>
            <w:r w:rsidRPr="0031164B">
              <w:rPr>
                <w:lang w:val="en-GB"/>
              </w:rPr>
              <w:t>Praha 4, Česká republika</w:t>
            </w:r>
          </w:p>
          <w:p w14:paraId="6D60CBEE" w14:textId="5F62C010" w:rsidR="00C32FF1" w:rsidRPr="0031164B" w:rsidRDefault="00C32FF1" w:rsidP="00C32FF1">
            <w:pPr>
              <w:widowControl/>
              <w:jc w:val="both"/>
              <w:rPr>
                <w:lang w:val="en-GB"/>
              </w:rPr>
            </w:pPr>
            <w:r w:rsidRPr="0031164B">
              <w:rPr>
                <w:lang w:val="en-GB"/>
              </w:rPr>
              <w:lastRenderedPageBreak/>
              <w:t xml:space="preserve">K rukám: </w:t>
            </w:r>
            <w:r w:rsidR="00824978">
              <w:rPr>
                <w:lang w:val="en-GB"/>
              </w:rPr>
              <w:t>Busin</w:t>
            </w:r>
            <w:r w:rsidR="006F1C37">
              <w:rPr>
                <w:lang w:val="en-GB"/>
              </w:rPr>
              <w:t>ess Unit Director Innovative Medicine</w:t>
            </w:r>
          </w:p>
          <w:p w14:paraId="357C5BCD" w14:textId="77777777" w:rsidR="00C32FF1" w:rsidRPr="0031164B" w:rsidRDefault="00C32FF1" w:rsidP="00C32FF1">
            <w:pPr>
              <w:widowControl/>
              <w:jc w:val="both"/>
              <w:rPr>
                <w:lang w:val="en-GB"/>
              </w:rPr>
            </w:pPr>
          </w:p>
        </w:tc>
        <w:tc>
          <w:tcPr>
            <w:tcW w:w="930" w:type="pct"/>
          </w:tcPr>
          <w:p w14:paraId="7EDAA880" w14:textId="77777777" w:rsidR="00C32FF1" w:rsidRPr="0031164B" w:rsidRDefault="00C32FF1" w:rsidP="00C32FF1">
            <w:pPr>
              <w:widowControl/>
              <w:autoSpaceDE/>
              <w:autoSpaceDN/>
              <w:adjustRightInd/>
              <w:spacing w:after="160" w:line="259" w:lineRule="auto"/>
              <w:rPr>
                <w:lang w:val="en-GB"/>
              </w:rPr>
            </w:pPr>
            <w:r w:rsidRPr="0031164B">
              <w:rPr>
                <w:lang w:val="en-GB"/>
              </w:rPr>
              <w:lastRenderedPageBreak/>
              <w:t>If to BMS:</w:t>
            </w:r>
          </w:p>
        </w:tc>
        <w:tc>
          <w:tcPr>
            <w:tcW w:w="1495" w:type="pct"/>
          </w:tcPr>
          <w:p w14:paraId="4EF5FCBD" w14:textId="77777777" w:rsidR="00C32FF1" w:rsidRPr="005F4D6A" w:rsidRDefault="00C32FF1" w:rsidP="00C32FF1">
            <w:pPr>
              <w:widowControl/>
              <w:jc w:val="both"/>
              <w:rPr>
                <w:lang w:val="fr-CH"/>
              </w:rPr>
            </w:pPr>
            <w:r w:rsidRPr="005F4D6A">
              <w:rPr>
                <w:lang w:val="fr-CH"/>
              </w:rPr>
              <w:t>Celgene International Sàrl</w:t>
            </w:r>
          </w:p>
          <w:p w14:paraId="4DEDB367" w14:textId="77777777" w:rsidR="00C32FF1" w:rsidRPr="005F4D6A" w:rsidRDefault="00C32FF1" w:rsidP="00C32FF1">
            <w:pPr>
              <w:widowControl/>
              <w:jc w:val="both"/>
              <w:rPr>
                <w:lang w:val="fr-CH"/>
              </w:rPr>
            </w:pPr>
            <w:r w:rsidRPr="005F4D6A">
              <w:rPr>
                <w:lang w:val="fr-CH"/>
              </w:rPr>
              <w:t>1 Route de Perreux</w:t>
            </w:r>
          </w:p>
          <w:p w14:paraId="330860F8" w14:textId="77777777" w:rsidR="00C32FF1" w:rsidRPr="0031164B" w:rsidRDefault="00C32FF1" w:rsidP="00C32FF1">
            <w:pPr>
              <w:widowControl/>
              <w:jc w:val="both"/>
              <w:rPr>
                <w:lang w:val="en-GB"/>
              </w:rPr>
            </w:pPr>
            <w:r w:rsidRPr="0031164B">
              <w:rPr>
                <w:lang w:val="en-GB"/>
              </w:rPr>
              <w:t xml:space="preserve">2017 Boudry, Switzerland </w:t>
            </w:r>
          </w:p>
          <w:p w14:paraId="637CC8CF" w14:textId="77777777" w:rsidR="00C32FF1" w:rsidRPr="0031164B" w:rsidRDefault="00C32FF1" w:rsidP="00C32FF1">
            <w:pPr>
              <w:widowControl/>
              <w:jc w:val="both"/>
              <w:rPr>
                <w:lang w:val="en-GB"/>
              </w:rPr>
            </w:pPr>
            <w:r w:rsidRPr="0031164B">
              <w:rPr>
                <w:lang w:val="en-GB"/>
              </w:rPr>
              <w:t xml:space="preserve">Attention:  WW CAR T Commercial Operations </w:t>
            </w:r>
          </w:p>
          <w:p w14:paraId="45308850" w14:textId="77777777" w:rsidR="00C32FF1" w:rsidRPr="0031164B" w:rsidRDefault="00C32FF1" w:rsidP="00C32FF1">
            <w:pPr>
              <w:widowControl/>
              <w:jc w:val="both"/>
              <w:rPr>
                <w:lang w:val="en-GB"/>
              </w:rPr>
            </w:pPr>
          </w:p>
          <w:p w14:paraId="71EA3A1A" w14:textId="77777777" w:rsidR="00C32FF1" w:rsidRPr="0031164B" w:rsidRDefault="00C32FF1" w:rsidP="00C32FF1">
            <w:pPr>
              <w:widowControl/>
              <w:jc w:val="both"/>
              <w:rPr>
                <w:lang w:val="en-GB"/>
              </w:rPr>
            </w:pPr>
            <w:r w:rsidRPr="0031164B">
              <w:rPr>
                <w:b/>
                <w:bCs/>
                <w:lang w:val="en-GB"/>
              </w:rPr>
              <w:t>Bristol-Myers Squibb spol. s r.o</w:t>
            </w:r>
            <w:r w:rsidRPr="0031164B">
              <w:rPr>
                <w:lang w:val="en-GB"/>
              </w:rPr>
              <w:t xml:space="preserve"> </w:t>
            </w:r>
          </w:p>
          <w:p w14:paraId="41C3FDDE" w14:textId="77777777" w:rsidR="00C32FF1" w:rsidRPr="0031164B" w:rsidRDefault="00C32FF1" w:rsidP="00C32FF1">
            <w:pPr>
              <w:widowControl/>
              <w:jc w:val="both"/>
              <w:rPr>
                <w:lang w:val="en-GB"/>
              </w:rPr>
            </w:pPr>
            <w:r w:rsidRPr="0031164B">
              <w:rPr>
                <w:lang w:val="en-GB"/>
              </w:rPr>
              <w:t>Budějovická 778/3</w:t>
            </w:r>
          </w:p>
          <w:p w14:paraId="16EF0265" w14:textId="77777777" w:rsidR="00C32FF1" w:rsidRPr="0031164B" w:rsidRDefault="00C32FF1" w:rsidP="00C32FF1">
            <w:pPr>
              <w:widowControl/>
              <w:jc w:val="both"/>
              <w:rPr>
                <w:lang w:val="en-GB"/>
              </w:rPr>
            </w:pPr>
            <w:r w:rsidRPr="0031164B">
              <w:rPr>
                <w:lang w:val="en-GB"/>
              </w:rPr>
              <w:t>Praha 4, Czech Republic</w:t>
            </w:r>
          </w:p>
          <w:p w14:paraId="6A3BA0E0" w14:textId="77777777" w:rsidR="00C32FF1" w:rsidRPr="0031164B" w:rsidRDefault="00C32FF1" w:rsidP="00C32FF1">
            <w:pPr>
              <w:widowControl/>
              <w:jc w:val="both"/>
              <w:rPr>
                <w:lang w:val="en-GB"/>
              </w:rPr>
            </w:pPr>
            <w:r w:rsidRPr="0031164B">
              <w:rPr>
                <w:lang w:val="en-GB"/>
              </w:rPr>
              <w:lastRenderedPageBreak/>
              <w:t>Attention: Business Unit Director Innovative Medicine</w:t>
            </w:r>
          </w:p>
          <w:p w14:paraId="5E0ED2A6" w14:textId="77777777" w:rsidR="00C32FF1" w:rsidRPr="0031164B" w:rsidRDefault="00C32FF1" w:rsidP="00C32FF1">
            <w:pPr>
              <w:widowControl/>
              <w:autoSpaceDE/>
              <w:autoSpaceDN/>
              <w:adjustRightInd/>
              <w:spacing w:after="160" w:line="259" w:lineRule="auto"/>
              <w:rPr>
                <w:lang w:val="en-GB"/>
              </w:rPr>
            </w:pPr>
          </w:p>
        </w:tc>
      </w:tr>
      <w:tr w:rsidR="00C32FF1" w:rsidRPr="0031164B" w14:paraId="387C4AEE" w14:textId="79B41AC5" w:rsidTr="00C32FF1">
        <w:tc>
          <w:tcPr>
            <w:tcW w:w="833" w:type="pct"/>
            <w:hideMark/>
          </w:tcPr>
          <w:p w14:paraId="1DACFA58" w14:textId="77777777" w:rsidR="00C32FF1" w:rsidRPr="0031164B" w:rsidRDefault="00C32FF1" w:rsidP="00C32FF1">
            <w:pPr>
              <w:pStyle w:val="Odstavecseseznamem"/>
              <w:rPr>
                <w:rFonts w:ascii="Times New Roman" w:eastAsia="Times New Roman" w:hAnsi="Times New Roman" w:cs="Times New Roman"/>
                <w:sz w:val="24"/>
                <w:szCs w:val="24"/>
                <w:lang w:val="en-GB"/>
              </w:rPr>
            </w:pPr>
            <w:r w:rsidRPr="0031164B">
              <w:rPr>
                <w:rFonts w:ascii="Times New Roman" w:hAnsi="Times New Roman"/>
                <w:sz w:val="24"/>
                <w:szCs w:val="24"/>
                <w:lang w:val="en-GB"/>
              </w:rPr>
              <w:lastRenderedPageBreak/>
              <w:t>S kopií na adresu:</w:t>
            </w:r>
          </w:p>
        </w:tc>
        <w:tc>
          <w:tcPr>
            <w:tcW w:w="1742" w:type="pct"/>
          </w:tcPr>
          <w:p w14:paraId="5296C837" w14:textId="77777777" w:rsidR="00C32FF1" w:rsidRPr="005F4D6A" w:rsidRDefault="00C32FF1" w:rsidP="00C32FF1">
            <w:pPr>
              <w:widowControl/>
              <w:jc w:val="both"/>
              <w:rPr>
                <w:lang w:val="fr-CH"/>
              </w:rPr>
            </w:pPr>
            <w:r w:rsidRPr="005F4D6A">
              <w:rPr>
                <w:lang w:val="fr-CH"/>
              </w:rPr>
              <w:t>Celgene International Sàrl</w:t>
            </w:r>
          </w:p>
          <w:p w14:paraId="7D8BC37D" w14:textId="77777777" w:rsidR="00C32FF1" w:rsidRPr="005F4D6A" w:rsidRDefault="00C32FF1" w:rsidP="00C32FF1">
            <w:pPr>
              <w:widowControl/>
              <w:jc w:val="both"/>
              <w:rPr>
                <w:lang w:val="fr-CH"/>
              </w:rPr>
            </w:pPr>
            <w:r w:rsidRPr="005F4D6A">
              <w:rPr>
                <w:lang w:val="fr-CH"/>
              </w:rPr>
              <w:t>1 Route de Perreux</w:t>
            </w:r>
          </w:p>
          <w:p w14:paraId="75D7869F" w14:textId="6A6EFC5A" w:rsidR="00C32FF1" w:rsidRPr="0031164B" w:rsidRDefault="00C32FF1" w:rsidP="00C32FF1">
            <w:pPr>
              <w:widowControl/>
              <w:jc w:val="both"/>
              <w:rPr>
                <w:lang w:val="en-GB"/>
              </w:rPr>
            </w:pPr>
            <w:r w:rsidRPr="0031164B">
              <w:rPr>
                <w:lang w:val="en-GB"/>
              </w:rPr>
              <w:t xml:space="preserve">2017 Boudry, </w:t>
            </w:r>
            <w:r w:rsidR="00E70FCB">
              <w:rPr>
                <w:lang w:val="en-GB"/>
              </w:rPr>
              <w:t>Switzerland</w:t>
            </w:r>
            <w:r w:rsidR="00E70FCB" w:rsidRPr="0031164B">
              <w:rPr>
                <w:lang w:val="en-GB"/>
              </w:rPr>
              <w:t xml:space="preserve"> </w:t>
            </w:r>
          </w:p>
          <w:p w14:paraId="68547779" w14:textId="66385ECE" w:rsidR="00C32FF1" w:rsidRPr="0031164B" w:rsidRDefault="00E70FCB" w:rsidP="00C32FF1">
            <w:pPr>
              <w:widowControl/>
              <w:jc w:val="both"/>
              <w:rPr>
                <w:lang w:val="en-GB"/>
              </w:rPr>
            </w:pPr>
            <w:r>
              <w:rPr>
                <w:lang w:val="en-GB"/>
              </w:rPr>
              <w:t>Attention</w:t>
            </w:r>
            <w:r w:rsidR="00C32FF1" w:rsidRPr="0031164B">
              <w:rPr>
                <w:lang w:val="en-GB"/>
              </w:rPr>
              <w:t xml:space="preserve">:  </w:t>
            </w:r>
            <w:r>
              <w:rPr>
                <w:lang w:val="en-GB"/>
              </w:rPr>
              <w:t>Legal Department</w:t>
            </w:r>
          </w:p>
          <w:p w14:paraId="0B784496" w14:textId="77777777" w:rsidR="00C32FF1" w:rsidRPr="0031164B" w:rsidRDefault="00C32FF1" w:rsidP="00C32FF1">
            <w:pPr>
              <w:widowControl/>
              <w:jc w:val="both"/>
              <w:rPr>
                <w:lang w:val="en-GB"/>
              </w:rPr>
            </w:pPr>
          </w:p>
        </w:tc>
        <w:tc>
          <w:tcPr>
            <w:tcW w:w="930" w:type="pct"/>
          </w:tcPr>
          <w:p w14:paraId="1FEBE9FD" w14:textId="77777777" w:rsidR="00C32FF1" w:rsidRPr="0031164B" w:rsidRDefault="00C32FF1" w:rsidP="00C32FF1">
            <w:pPr>
              <w:widowControl/>
              <w:autoSpaceDE/>
              <w:autoSpaceDN/>
              <w:adjustRightInd/>
              <w:spacing w:after="160" w:line="259" w:lineRule="auto"/>
              <w:rPr>
                <w:lang w:val="en-GB"/>
              </w:rPr>
            </w:pPr>
            <w:r w:rsidRPr="0031164B">
              <w:rPr>
                <w:lang w:val="en-GB"/>
              </w:rPr>
              <w:t>with a copy to:</w:t>
            </w:r>
          </w:p>
        </w:tc>
        <w:tc>
          <w:tcPr>
            <w:tcW w:w="1495" w:type="pct"/>
          </w:tcPr>
          <w:p w14:paraId="0C979675" w14:textId="77777777" w:rsidR="00C32FF1" w:rsidRPr="005F4D6A" w:rsidRDefault="00C32FF1" w:rsidP="00C32FF1">
            <w:pPr>
              <w:widowControl/>
              <w:jc w:val="both"/>
              <w:rPr>
                <w:lang w:val="fr-CH"/>
              </w:rPr>
            </w:pPr>
            <w:r w:rsidRPr="005F4D6A">
              <w:rPr>
                <w:lang w:val="fr-CH"/>
              </w:rPr>
              <w:t>Celgene International Sàrl</w:t>
            </w:r>
          </w:p>
          <w:p w14:paraId="2E73BB41" w14:textId="77777777" w:rsidR="00C32FF1" w:rsidRPr="005F4D6A" w:rsidRDefault="00C32FF1" w:rsidP="00C32FF1">
            <w:pPr>
              <w:widowControl/>
              <w:jc w:val="both"/>
              <w:rPr>
                <w:lang w:val="fr-CH"/>
              </w:rPr>
            </w:pPr>
            <w:r w:rsidRPr="005F4D6A">
              <w:rPr>
                <w:lang w:val="fr-CH"/>
              </w:rPr>
              <w:t>1 Route de Perreux</w:t>
            </w:r>
          </w:p>
          <w:p w14:paraId="28E381A9" w14:textId="77777777" w:rsidR="00C32FF1" w:rsidRPr="0031164B" w:rsidRDefault="00C32FF1" w:rsidP="00C32FF1">
            <w:pPr>
              <w:widowControl/>
              <w:jc w:val="both"/>
              <w:rPr>
                <w:lang w:val="en-GB"/>
              </w:rPr>
            </w:pPr>
            <w:r w:rsidRPr="0031164B">
              <w:rPr>
                <w:lang w:val="en-GB"/>
              </w:rPr>
              <w:t xml:space="preserve">2017 Boudry, Switzerland </w:t>
            </w:r>
          </w:p>
          <w:p w14:paraId="3AF1EA17" w14:textId="77777777" w:rsidR="00C32FF1" w:rsidRPr="0031164B" w:rsidRDefault="00C32FF1" w:rsidP="00C32FF1">
            <w:pPr>
              <w:widowControl/>
              <w:jc w:val="both"/>
              <w:rPr>
                <w:lang w:val="en-GB"/>
              </w:rPr>
            </w:pPr>
            <w:r w:rsidRPr="0031164B">
              <w:rPr>
                <w:lang w:val="en-GB"/>
              </w:rPr>
              <w:t xml:space="preserve">Attention:  Legal Department </w:t>
            </w:r>
          </w:p>
          <w:p w14:paraId="0D73EA0F" w14:textId="77777777" w:rsidR="00C32FF1" w:rsidRPr="0031164B" w:rsidRDefault="00C32FF1" w:rsidP="00C32FF1">
            <w:pPr>
              <w:widowControl/>
              <w:autoSpaceDE/>
              <w:autoSpaceDN/>
              <w:adjustRightInd/>
              <w:spacing w:after="160" w:line="259" w:lineRule="auto"/>
              <w:rPr>
                <w:lang w:val="en-GB"/>
              </w:rPr>
            </w:pPr>
          </w:p>
        </w:tc>
      </w:tr>
      <w:tr w:rsidR="00C32FF1" w:rsidRPr="0031164B" w14:paraId="331F5974" w14:textId="32E709E8" w:rsidTr="00C32FF1">
        <w:tc>
          <w:tcPr>
            <w:tcW w:w="833" w:type="pct"/>
            <w:hideMark/>
          </w:tcPr>
          <w:p w14:paraId="135352E6" w14:textId="1B99E8F1" w:rsidR="00C32FF1" w:rsidRPr="001314E7" w:rsidRDefault="00C32FF1" w:rsidP="00C32FF1">
            <w:pPr>
              <w:pStyle w:val="Odstavecseseznamem"/>
              <w:rPr>
                <w:rFonts w:ascii="Times New Roman" w:eastAsia="Times New Roman" w:hAnsi="Times New Roman" w:cs="Times New Roman"/>
                <w:sz w:val="24"/>
                <w:szCs w:val="24"/>
              </w:rPr>
            </w:pPr>
            <w:r w:rsidRPr="001314E7">
              <w:rPr>
                <w:rFonts w:ascii="Times New Roman" w:hAnsi="Times New Roman"/>
                <w:sz w:val="24"/>
                <w:szCs w:val="24"/>
              </w:rPr>
              <w:t xml:space="preserve">Pokud jde o oznámení </w:t>
            </w:r>
            <w:r w:rsidR="00623C8D">
              <w:rPr>
                <w:rFonts w:ascii="Times New Roman" w:hAnsi="Times New Roman"/>
                <w:sz w:val="24"/>
                <w:szCs w:val="24"/>
              </w:rPr>
              <w:t>Centru</w:t>
            </w:r>
            <w:r w:rsidRPr="001314E7">
              <w:rPr>
                <w:rFonts w:ascii="Times New Roman" w:hAnsi="Times New Roman"/>
                <w:sz w:val="24"/>
                <w:szCs w:val="24"/>
              </w:rPr>
              <w:t xml:space="preserve">: </w:t>
            </w:r>
          </w:p>
        </w:tc>
        <w:tc>
          <w:tcPr>
            <w:tcW w:w="1742" w:type="pct"/>
          </w:tcPr>
          <w:p w14:paraId="231FB24D" w14:textId="54FC44D8" w:rsidR="00B13900" w:rsidRPr="00B13900" w:rsidRDefault="00BD1758" w:rsidP="00B13900">
            <w:pPr>
              <w:pStyle w:val="Odstavecseseznamem"/>
              <w:rPr>
                <w:rFonts w:ascii="Times New Roman" w:hAnsi="Times New Roman"/>
                <w:sz w:val="24"/>
                <w:szCs w:val="24"/>
                <w:lang w:val="pt-BR"/>
              </w:rPr>
            </w:pPr>
            <w:r>
              <w:rPr>
                <w:rFonts w:ascii="Times New Roman" w:hAnsi="Times New Roman"/>
                <w:sz w:val="24"/>
                <w:szCs w:val="24"/>
                <w:lang w:val="pt-BR"/>
              </w:rPr>
              <w:t xml:space="preserve">Fakultní nemocnice </w:t>
            </w:r>
            <w:r w:rsidR="00816D6D">
              <w:rPr>
                <w:rFonts w:ascii="Times New Roman" w:hAnsi="Times New Roman"/>
                <w:sz w:val="24"/>
                <w:szCs w:val="24"/>
                <w:lang w:val="pt-BR"/>
              </w:rPr>
              <w:t>Plzeň</w:t>
            </w:r>
            <w:r>
              <w:rPr>
                <w:rFonts w:ascii="Times New Roman" w:hAnsi="Times New Roman"/>
                <w:sz w:val="24"/>
                <w:szCs w:val="24"/>
                <w:lang w:val="pt-BR"/>
              </w:rPr>
              <w:t>,</w:t>
            </w:r>
          </w:p>
          <w:p w14:paraId="120802F3" w14:textId="740D2341" w:rsidR="00B13900" w:rsidRPr="00C76F30" w:rsidRDefault="00816D6D" w:rsidP="00816D6D">
            <w:pPr>
              <w:pStyle w:val="Odstavecseseznamem"/>
              <w:ind w:left="720"/>
              <w:rPr>
                <w:lang w:val="pt-BR"/>
              </w:rPr>
            </w:pPr>
            <w:r>
              <w:rPr>
                <w:lang w:val="pt-BR"/>
              </w:rPr>
              <w:t>Edvarda Beneše 1128/13</w:t>
            </w:r>
            <w:r w:rsidR="00A628F4">
              <w:rPr>
                <w:lang w:val="pt-BR"/>
              </w:rPr>
              <w:t>, 301 00 Plzeň</w:t>
            </w:r>
            <w:r w:rsidR="00B13900" w:rsidRPr="00C76F30">
              <w:rPr>
                <w:lang w:val="pt-BR"/>
              </w:rPr>
              <w:t>, Česká republika.</w:t>
            </w:r>
          </w:p>
          <w:p w14:paraId="75FC3EBC" w14:textId="3F3D4370" w:rsidR="00C32FF1" w:rsidRPr="001314E7" w:rsidRDefault="00B13900" w:rsidP="00C32FF1">
            <w:pPr>
              <w:pStyle w:val="Odstavecseseznamem"/>
              <w:rPr>
                <w:rFonts w:ascii="Times New Roman" w:eastAsia="Times New Roman" w:hAnsi="Times New Roman" w:cs="Times New Roman"/>
                <w:sz w:val="24"/>
                <w:szCs w:val="24"/>
                <w:highlight w:val="yellow"/>
                <w:lang w:val="pt-BR" w:eastAsia="ja-JP"/>
              </w:rPr>
            </w:pPr>
            <w:r w:rsidRPr="00B13900">
              <w:rPr>
                <w:rFonts w:ascii="Times New Roman" w:hAnsi="Times New Roman"/>
                <w:sz w:val="24"/>
                <w:szCs w:val="24"/>
                <w:lang w:val="pt-BR"/>
              </w:rPr>
              <w:t xml:space="preserve">K rukám: Ředitel </w:t>
            </w:r>
            <w:r w:rsidR="00EC2159">
              <w:rPr>
                <w:rFonts w:ascii="Times New Roman" w:hAnsi="Times New Roman"/>
                <w:sz w:val="24"/>
                <w:szCs w:val="24"/>
                <w:lang w:val="pt-BR"/>
              </w:rPr>
              <w:t>FN</w:t>
            </w:r>
            <w:r w:rsidR="00DB4858">
              <w:rPr>
                <w:rFonts w:ascii="Times New Roman" w:hAnsi="Times New Roman"/>
                <w:sz w:val="24"/>
                <w:szCs w:val="24"/>
                <w:lang w:val="pt-BR"/>
              </w:rPr>
              <w:t xml:space="preserve"> Plzeň</w:t>
            </w:r>
          </w:p>
        </w:tc>
        <w:tc>
          <w:tcPr>
            <w:tcW w:w="930" w:type="pct"/>
          </w:tcPr>
          <w:p w14:paraId="68FFA9BB" w14:textId="77777777" w:rsidR="00C32FF1" w:rsidRPr="0031164B" w:rsidRDefault="00C32FF1" w:rsidP="00C32FF1">
            <w:pPr>
              <w:widowControl/>
              <w:autoSpaceDE/>
              <w:autoSpaceDN/>
              <w:adjustRightInd/>
              <w:spacing w:after="160" w:line="259" w:lineRule="auto"/>
              <w:rPr>
                <w:lang w:val="en-GB"/>
              </w:rPr>
            </w:pPr>
            <w:r w:rsidRPr="0031164B">
              <w:rPr>
                <w:lang w:val="en-GB"/>
              </w:rPr>
              <w:t xml:space="preserve">If to Center: </w:t>
            </w:r>
          </w:p>
        </w:tc>
        <w:tc>
          <w:tcPr>
            <w:tcW w:w="1495" w:type="pct"/>
          </w:tcPr>
          <w:p w14:paraId="25202B1C" w14:textId="1944EB55" w:rsidR="00BE336E" w:rsidRDefault="003B70F6" w:rsidP="00C32FF1">
            <w:pPr>
              <w:pStyle w:val="Odstavecseseznamem"/>
              <w:rPr>
                <w:rFonts w:ascii="Times New Roman" w:hAnsi="Times New Roman"/>
                <w:sz w:val="24"/>
                <w:szCs w:val="24"/>
                <w:lang w:val="en-GB" w:eastAsia="ja-JP"/>
              </w:rPr>
            </w:pPr>
            <w:r>
              <w:rPr>
                <w:rFonts w:ascii="Times New Roman" w:hAnsi="Times New Roman"/>
                <w:sz w:val="24"/>
                <w:szCs w:val="24"/>
                <w:lang w:val="en-GB" w:eastAsia="ja-JP"/>
              </w:rPr>
              <w:t>F</w:t>
            </w:r>
            <w:r w:rsidR="00EC2159">
              <w:rPr>
                <w:rFonts w:ascii="Times New Roman" w:hAnsi="Times New Roman"/>
                <w:sz w:val="24"/>
                <w:szCs w:val="24"/>
                <w:lang w:val="en-GB" w:eastAsia="ja-JP"/>
              </w:rPr>
              <w:t>a</w:t>
            </w:r>
            <w:r>
              <w:rPr>
                <w:rFonts w:ascii="Times New Roman" w:hAnsi="Times New Roman"/>
                <w:sz w:val="24"/>
                <w:szCs w:val="24"/>
                <w:lang w:val="en-GB" w:eastAsia="ja-JP"/>
              </w:rPr>
              <w:t xml:space="preserve">kultni nemocnice </w:t>
            </w:r>
            <w:r w:rsidR="00A628F4">
              <w:rPr>
                <w:rFonts w:ascii="Times New Roman" w:hAnsi="Times New Roman"/>
                <w:sz w:val="24"/>
                <w:szCs w:val="24"/>
                <w:lang w:val="en-GB" w:eastAsia="ja-JP"/>
              </w:rPr>
              <w:t>Plzen</w:t>
            </w:r>
            <w:r w:rsidR="00062C8D" w:rsidRPr="00062C8D">
              <w:rPr>
                <w:rFonts w:ascii="Times New Roman" w:hAnsi="Times New Roman"/>
                <w:sz w:val="24"/>
                <w:szCs w:val="24"/>
                <w:lang w:val="en-GB" w:eastAsia="ja-JP"/>
              </w:rPr>
              <w:t>,</w:t>
            </w:r>
            <w:r>
              <w:rPr>
                <w:rFonts w:ascii="Times New Roman" w:hAnsi="Times New Roman"/>
                <w:sz w:val="24"/>
                <w:szCs w:val="24"/>
                <w:lang w:val="en-GB" w:eastAsia="ja-JP"/>
              </w:rPr>
              <w:t xml:space="preserve"> </w:t>
            </w:r>
            <w:r w:rsidR="00A628F4">
              <w:rPr>
                <w:rFonts w:ascii="Times New Roman" w:hAnsi="Times New Roman"/>
                <w:sz w:val="24"/>
                <w:szCs w:val="24"/>
                <w:lang w:val="en-GB" w:eastAsia="ja-JP"/>
              </w:rPr>
              <w:t>Edvarda Benese 1128/13, 301 00 P</w:t>
            </w:r>
            <w:r w:rsidR="00DB4858">
              <w:rPr>
                <w:rFonts w:ascii="Times New Roman" w:hAnsi="Times New Roman"/>
                <w:sz w:val="24"/>
                <w:szCs w:val="24"/>
                <w:lang w:val="en-GB" w:eastAsia="ja-JP"/>
              </w:rPr>
              <w:t>l</w:t>
            </w:r>
            <w:r w:rsidR="00A628F4">
              <w:rPr>
                <w:rFonts w:ascii="Times New Roman" w:hAnsi="Times New Roman"/>
                <w:sz w:val="24"/>
                <w:szCs w:val="24"/>
                <w:lang w:val="en-GB" w:eastAsia="ja-JP"/>
              </w:rPr>
              <w:t>zen</w:t>
            </w:r>
            <w:r w:rsidR="006F14DF">
              <w:rPr>
                <w:rFonts w:ascii="Times New Roman" w:hAnsi="Times New Roman"/>
                <w:sz w:val="24"/>
                <w:szCs w:val="24"/>
                <w:lang w:val="en-GB" w:eastAsia="ja-JP"/>
              </w:rPr>
              <w:t xml:space="preserve">, </w:t>
            </w:r>
            <w:r w:rsidR="00062C8D" w:rsidRPr="00062C8D">
              <w:rPr>
                <w:rFonts w:ascii="Times New Roman" w:hAnsi="Times New Roman"/>
                <w:sz w:val="24"/>
                <w:szCs w:val="24"/>
                <w:lang w:val="en-GB" w:eastAsia="ja-JP"/>
              </w:rPr>
              <w:t>Czech Republic.</w:t>
            </w:r>
          </w:p>
          <w:p w14:paraId="6473D58E" w14:textId="6E41A318" w:rsidR="00C32FF1" w:rsidRPr="0031164B" w:rsidRDefault="00BE336E" w:rsidP="00C32FF1">
            <w:pPr>
              <w:widowControl/>
              <w:autoSpaceDE/>
              <w:autoSpaceDN/>
              <w:adjustRightInd/>
              <w:spacing w:after="160" w:line="259" w:lineRule="auto"/>
              <w:rPr>
                <w:lang w:val="en-GB"/>
              </w:rPr>
            </w:pPr>
            <w:r w:rsidRPr="005F4D6A">
              <w:rPr>
                <w:lang w:val="en-GB"/>
              </w:rPr>
              <w:t>Attention</w:t>
            </w:r>
            <w:r w:rsidR="00F67BAF" w:rsidRPr="005F4D6A">
              <w:rPr>
                <w:lang w:val="en-GB"/>
              </w:rPr>
              <w:t xml:space="preserve">: Director of </w:t>
            </w:r>
            <w:r w:rsidR="006B490B">
              <w:rPr>
                <w:lang w:val="en-GB"/>
              </w:rPr>
              <w:t>FN</w:t>
            </w:r>
            <w:r w:rsidR="00DB4858">
              <w:rPr>
                <w:lang w:val="en-GB"/>
              </w:rPr>
              <w:t xml:space="preserve"> Plzen</w:t>
            </w:r>
          </w:p>
        </w:tc>
      </w:tr>
    </w:tbl>
    <w:p w14:paraId="4D119C35" w14:textId="77777777" w:rsidR="00C32FF1" w:rsidRPr="0031164B" w:rsidRDefault="00C32FF1" w:rsidP="00C32FF1">
      <w:pPr>
        <w:pStyle w:val="BodyTextWP"/>
        <w:ind w:firstLine="0"/>
        <w:rPr>
          <w:lang w:val="en-GB"/>
        </w:rPr>
      </w:pPr>
    </w:p>
    <w:tbl>
      <w:tblPr>
        <w:tblStyle w:val="Mkatabulky"/>
        <w:tblW w:w="5000" w:type="pct"/>
        <w:tblLook w:val="04A0" w:firstRow="1" w:lastRow="0" w:firstColumn="1" w:lastColumn="0" w:noHBand="0" w:noVBand="1"/>
      </w:tblPr>
      <w:tblGrid>
        <w:gridCol w:w="4680"/>
        <w:gridCol w:w="4680"/>
      </w:tblGrid>
      <w:tr w:rsidR="00C32FF1" w:rsidRPr="0031164B" w14:paraId="63E11718" w14:textId="6CD45DE1" w:rsidTr="00C32FF1">
        <w:tc>
          <w:tcPr>
            <w:tcW w:w="2500" w:type="pct"/>
            <w:tcBorders>
              <w:top w:val="nil"/>
              <w:left w:val="nil"/>
              <w:bottom w:val="nil"/>
              <w:right w:val="nil"/>
            </w:tcBorders>
          </w:tcPr>
          <w:bookmarkEnd w:id="241"/>
          <w:bookmarkEnd w:id="242"/>
          <w:bookmarkEnd w:id="243"/>
          <w:bookmarkEnd w:id="244"/>
          <w:bookmarkEnd w:id="245"/>
          <w:p w14:paraId="12C67E1F" w14:textId="77777777" w:rsidR="00C32FF1" w:rsidRPr="0031164B" w:rsidRDefault="00C32FF1" w:rsidP="00C32FF1">
            <w:pPr>
              <w:pStyle w:val="Legal1L2"/>
              <w:ind w:left="0"/>
              <w:rPr>
                <w:rFonts w:eastAsia="Times New Roman"/>
                <w:w w:val="100"/>
                <w:sz w:val="24"/>
                <w:szCs w:val="24"/>
                <w:lang w:val="en-GB"/>
              </w:rPr>
            </w:pPr>
            <w:r w:rsidRPr="0031164B">
              <w:rPr>
                <w:w w:val="100"/>
                <w:sz w:val="24"/>
                <w:szCs w:val="24"/>
                <w:u w:val="single"/>
                <w:lang w:val="en-GB"/>
              </w:rPr>
              <w:t>Vyšší moc.</w:t>
            </w:r>
            <w:r w:rsidRPr="0031164B">
              <w:rPr>
                <w:w w:val="100"/>
                <w:sz w:val="24"/>
                <w:szCs w:val="24"/>
                <w:lang w:val="en-GB"/>
              </w:rPr>
              <w:t xml:space="preserve"> </w:t>
            </w:r>
            <w:bookmarkStart w:id="246" w:name="_Hlk38889657"/>
            <w:r w:rsidRPr="0031164B">
              <w:rPr>
                <w:w w:val="100"/>
                <w:sz w:val="24"/>
                <w:szCs w:val="24"/>
                <w:lang w:val="en-GB"/>
              </w:rPr>
              <w:t>Žádná ze smluvních stran není odpovědná za nesplnění svých povinností podle této smlouvy nebo jakéhokoli prohlášení o pracovní činnosti v rozsahu, v jakém je toto nesplnění způsobeno okolnostmi mimo přiměřenou kontrolu kterékoli ze smluvních stran, mimo jiné včetně stávek nebo jiných pracovních nepokojů, epidemií, výluk, nepokojů, válek, teroristických činů, požárů, povodní nebo bouří (dále jen „</w:t>
            </w:r>
            <w:r w:rsidRPr="0031164B">
              <w:rPr>
                <w:b/>
                <w:w w:val="100"/>
                <w:sz w:val="24"/>
                <w:szCs w:val="24"/>
                <w:lang w:val="en-GB"/>
              </w:rPr>
              <w:t>událost vyšší moci</w:t>
            </w:r>
            <w:r w:rsidRPr="0031164B">
              <w:rPr>
                <w:w w:val="100"/>
                <w:sz w:val="24"/>
                <w:szCs w:val="24"/>
                <w:lang w:val="en-GB"/>
              </w:rPr>
              <w:t>“).</w:t>
            </w:r>
          </w:p>
        </w:tc>
        <w:tc>
          <w:tcPr>
            <w:tcW w:w="2500" w:type="pct"/>
            <w:tcBorders>
              <w:top w:val="nil"/>
              <w:left w:val="nil"/>
              <w:bottom w:val="nil"/>
              <w:right w:val="nil"/>
            </w:tcBorders>
          </w:tcPr>
          <w:p w14:paraId="2A22740E" w14:textId="6A556085" w:rsidR="00C32FF1" w:rsidRPr="0031164B" w:rsidRDefault="00DC6A4A" w:rsidP="00F35BB8">
            <w:pPr>
              <w:widowControl/>
              <w:autoSpaceDE/>
              <w:autoSpaceDN/>
              <w:adjustRightInd/>
              <w:spacing w:after="160" w:line="259" w:lineRule="auto"/>
              <w:jc w:val="both"/>
              <w:rPr>
                <w:lang w:val="en-GB"/>
              </w:rPr>
            </w:pPr>
            <w:r w:rsidRPr="00DC6A4A">
              <w:rPr>
                <w:lang w:val="en-GB"/>
              </w:rPr>
              <w:t>16.5</w:t>
            </w:r>
            <w:r w:rsidRPr="00DC6A4A">
              <w:rPr>
                <w:lang w:val="en-GB"/>
              </w:rPr>
              <w:tab/>
            </w:r>
            <w:r w:rsidR="00C32FF1" w:rsidRPr="0031164B">
              <w:rPr>
                <w:u w:val="single"/>
                <w:lang w:val="en-GB"/>
              </w:rPr>
              <w:t>Force Majeure</w:t>
            </w:r>
            <w:r w:rsidR="00C32FF1" w:rsidRPr="0031164B">
              <w:rPr>
                <w:lang w:val="en-GB"/>
              </w:rPr>
              <w:t>. Neither Party shall be liable for the failure to perform its obligations under this Agreement or any Statement of Work to the extent such failure to perform is due to circumstances beyond either Party’s reasonable control including, but not limited to, strikes or other labor disturbances, epidemics, lock outs, riots, wars, acts of terrorism, fires, floods or storms (each, a “</w:t>
            </w:r>
            <w:r w:rsidR="00C32FF1" w:rsidRPr="0031164B">
              <w:rPr>
                <w:b/>
                <w:lang w:val="en-GB"/>
              </w:rPr>
              <w:t>Force Majeure Event</w:t>
            </w:r>
            <w:r w:rsidR="00C32FF1" w:rsidRPr="0031164B">
              <w:rPr>
                <w:lang w:val="en-GB"/>
              </w:rPr>
              <w:t>”).</w:t>
            </w:r>
          </w:p>
        </w:tc>
      </w:tr>
      <w:tr w:rsidR="00C32FF1" w:rsidRPr="0031164B" w14:paraId="253C076C" w14:textId="35A071C6" w:rsidTr="00C32FF1">
        <w:tc>
          <w:tcPr>
            <w:tcW w:w="2500" w:type="pct"/>
            <w:tcBorders>
              <w:top w:val="nil"/>
              <w:left w:val="nil"/>
              <w:bottom w:val="nil"/>
              <w:right w:val="nil"/>
            </w:tcBorders>
          </w:tcPr>
          <w:p w14:paraId="4D3FD786" w14:textId="6A50C196" w:rsidR="00C32FF1" w:rsidRPr="001314E7" w:rsidRDefault="00C32FF1" w:rsidP="00C32FF1">
            <w:pPr>
              <w:pStyle w:val="BodyTextWP"/>
              <w:ind w:firstLine="0"/>
            </w:pPr>
            <w:r w:rsidRPr="001314E7">
              <w:t>Smluvní strana, která uplatňuje právo na omluvené plnění z důvodu vyšší moci, neprodleně písemně oznámí druhé smluvní straně rozsah své neschopnosti plnit</w:t>
            </w:r>
            <w:r w:rsidR="00276171">
              <w:t xml:space="preserve"> závazky</w:t>
            </w:r>
            <w:r w:rsidRPr="001314E7">
              <w:t xml:space="preserve"> a uvede, jaká vyšší moc brání takovému plnění.</w:t>
            </w:r>
          </w:p>
        </w:tc>
        <w:tc>
          <w:tcPr>
            <w:tcW w:w="2500" w:type="pct"/>
            <w:tcBorders>
              <w:top w:val="nil"/>
              <w:left w:val="nil"/>
              <w:bottom w:val="nil"/>
              <w:right w:val="nil"/>
            </w:tcBorders>
          </w:tcPr>
          <w:p w14:paraId="67398F52" w14:textId="263C2730" w:rsidR="00C32FF1" w:rsidRPr="0031164B" w:rsidRDefault="00C32FF1" w:rsidP="00F35BB8">
            <w:pPr>
              <w:widowControl/>
              <w:autoSpaceDE/>
              <w:autoSpaceDN/>
              <w:adjustRightInd/>
              <w:spacing w:after="160" w:line="259" w:lineRule="auto"/>
              <w:jc w:val="both"/>
              <w:rPr>
                <w:lang w:val="en-GB"/>
              </w:rPr>
            </w:pPr>
            <w:r w:rsidRPr="0031164B">
              <w:rPr>
                <w:lang w:val="en-GB"/>
              </w:rPr>
              <w:t>A Party claiming a right to excused performance due to a Force Majeure Event shall immediately notify the other Party in writing of the extent of its inability to perform and shall specify the Force Majeure Event that prevents such performance.</w:t>
            </w:r>
          </w:p>
        </w:tc>
      </w:tr>
      <w:tr w:rsidR="00C32FF1" w:rsidRPr="0031164B" w14:paraId="0886A25D" w14:textId="6CB83394" w:rsidTr="00C32FF1">
        <w:tc>
          <w:tcPr>
            <w:tcW w:w="2500" w:type="pct"/>
            <w:tcBorders>
              <w:top w:val="nil"/>
              <w:left w:val="nil"/>
              <w:bottom w:val="nil"/>
              <w:right w:val="nil"/>
            </w:tcBorders>
          </w:tcPr>
          <w:p w14:paraId="0AF5889D" w14:textId="01C3B63C" w:rsidR="00C32FF1" w:rsidRPr="001314E7" w:rsidRDefault="00C32FF1" w:rsidP="00C32FF1">
            <w:pPr>
              <w:pStyle w:val="Legal1L2"/>
              <w:ind w:left="0"/>
              <w:rPr>
                <w:rFonts w:eastAsia="Times New Roman"/>
                <w:w w:val="100"/>
                <w:sz w:val="24"/>
                <w:szCs w:val="24"/>
              </w:rPr>
            </w:pPr>
            <w:bookmarkStart w:id="247" w:name="_Toc6234362"/>
            <w:bookmarkStart w:id="248" w:name="_Toc6234040"/>
            <w:bookmarkStart w:id="249" w:name="_Toc256000066"/>
            <w:bookmarkEnd w:id="246"/>
            <w:r w:rsidRPr="001314E7">
              <w:rPr>
                <w:w w:val="100"/>
                <w:sz w:val="24"/>
                <w:szCs w:val="24"/>
                <w:u w:val="single"/>
              </w:rPr>
              <w:t>Oddělitelnost</w:t>
            </w:r>
            <w:bookmarkStart w:id="250" w:name="_Hlk13431128"/>
            <w:bookmarkEnd w:id="247"/>
            <w:bookmarkEnd w:id="248"/>
            <w:bookmarkEnd w:id="249"/>
            <w:r w:rsidRPr="001314E7">
              <w:rPr>
                <w:w w:val="100"/>
                <w:sz w:val="24"/>
                <w:szCs w:val="24"/>
                <w:u w:val="single"/>
              </w:rPr>
              <w:t>.</w:t>
            </w:r>
            <w:r w:rsidRPr="001314E7">
              <w:rPr>
                <w:w w:val="100"/>
                <w:sz w:val="24"/>
                <w:szCs w:val="24"/>
              </w:rPr>
              <w:t xml:space="preserve"> Pokud soud shledá některou podmínku nebo ustanovení této smlouvy nebo prohlášení o pracovní činnosti neplatnými, ostatní ustanovení jsou přesto vymahatelná a účinná. Každá podmínka nebo ustanovení, které budou shledány neplatnými, nezákonnými nebo nevymahatelnými, budou upraveny tak, aby </w:t>
            </w:r>
            <w:r w:rsidRPr="001314E7">
              <w:rPr>
                <w:w w:val="100"/>
                <w:sz w:val="24"/>
                <w:szCs w:val="24"/>
              </w:rPr>
              <w:lastRenderedPageBreak/>
              <w:t>byly v souladu s platnými právními předpisy, nebo budou vyškrtnuty, pokud je nelze uvést do souladu. Záměrem je realizovat tuto smlouv</w:t>
            </w:r>
            <w:r w:rsidR="00592C57">
              <w:rPr>
                <w:w w:val="100"/>
                <w:sz w:val="24"/>
                <w:szCs w:val="24"/>
              </w:rPr>
              <w:t>u</w:t>
            </w:r>
            <w:r w:rsidRPr="001314E7">
              <w:rPr>
                <w:w w:val="100"/>
                <w:sz w:val="24"/>
                <w:szCs w:val="24"/>
              </w:rPr>
              <w:t xml:space="preserve"> a jakékoli prohlášení o pracovní činnosti v co nejširším možném rozsahu.  </w:t>
            </w:r>
            <w:bookmarkEnd w:id="250"/>
          </w:p>
        </w:tc>
        <w:tc>
          <w:tcPr>
            <w:tcW w:w="2500" w:type="pct"/>
            <w:tcBorders>
              <w:top w:val="nil"/>
              <w:left w:val="nil"/>
              <w:bottom w:val="nil"/>
              <w:right w:val="nil"/>
            </w:tcBorders>
          </w:tcPr>
          <w:p w14:paraId="719F981E" w14:textId="5616D19F" w:rsidR="00C32FF1" w:rsidRPr="0031164B" w:rsidRDefault="00DC6A4A" w:rsidP="00F35BB8">
            <w:pPr>
              <w:widowControl/>
              <w:autoSpaceDE/>
              <w:autoSpaceDN/>
              <w:adjustRightInd/>
              <w:spacing w:after="160" w:line="259" w:lineRule="auto"/>
              <w:jc w:val="both"/>
              <w:rPr>
                <w:lang w:val="en-GB"/>
              </w:rPr>
            </w:pPr>
            <w:r w:rsidRPr="00DC6A4A">
              <w:rPr>
                <w:lang w:val="en-GB"/>
              </w:rPr>
              <w:lastRenderedPageBreak/>
              <w:t>16.6</w:t>
            </w:r>
            <w:r w:rsidRPr="00DC6A4A">
              <w:rPr>
                <w:lang w:val="en-GB"/>
              </w:rPr>
              <w:tab/>
            </w:r>
            <w:r w:rsidR="00C32FF1" w:rsidRPr="0031164B">
              <w:rPr>
                <w:u w:val="single"/>
                <w:lang w:val="en-GB"/>
              </w:rPr>
              <w:t>Severability.</w:t>
            </w:r>
            <w:r w:rsidR="00C32FF1" w:rsidRPr="0031164B">
              <w:rPr>
                <w:lang w:val="en-GB"/>
              </w:rPr>
              <w:t xml:space="preserve"> If any term or provision of this Agreement or a Statement of Work is found by a court to be invalid, the remaining provisions shall nevertheless be enforceable and effective. Each term or provision found to be invalid, illegal or unenforceable will be reformed to comply with Applicable Law or </w:t>
            </w:r>
            <w:r w:rsidR="00C32FF1" w:rsidRPr="0031164B">
              <w:rPr>
                <w:lang w:val="en-GB"/>
              </w:rPr>
              <w:lastRenderedPageBreak/>
              <w:t xml:space="preserve">stricken if not so conformable. The intent being to effectuate this Agreement and any Statement of Work to the fullest extent possible.  </w:t>
            </w:r>
          </w:p>
        </w:tc>
      </w:tr>
      <w:tr w:rsidR="00C32FF1" w:rsidRPr="0031164B" w14:paraId="5FB508F2" w14:textId="79FD3B80" w:rsidTr="00C32FF1">
        <w:tc>
          <w:tcPr>
            <w:tcW w:w="2500" w:type="pct"/>
            <w:tcBorders>
              <w:top w:val="nil"/>
              <w:left w:val="nil"/>
              <w:bottom w:val="nil"/>
              <w:right w:val="nil"/>
            </w:tcBorders>
          </w:tcPr>
          <w:p w14:paraId="300F8D86" w14:textId="77777777" w:rsidR="00C32FF1" w:rsidRPr="001314E7" w:rsidRDefault="00C32FF1" w:rsidP="00C32FF1">
            <w:pPr>
              <w:pStyle w:val="Legal1L2"/>
              <w:ind w:left="0"/>
              <w:rPr>
                <w:rFonts w:eastAsia="Times New Roman"/>
                <w:w w:val="100"/>
                <w:sz w:val="24"/>
                <w:szCs w:val="24"/>
              </w:rPr>
            </w:pPr>
            <w:bookmarkStart w:id="251" w:name="_DV_M453"/>
            <w:bookmarkStart w:id="252" w:name="_DV_M454"/>
            <w:bookmarkStart w:id="253" w:name="_Toc256000067"/>
            <w:bookmarkStart w:id="254" w:name="_Toc6234041"/>
            <w:bookmarkStart w:id="255" w:name="_Toc6234363"/>
            <w:bookmarkEnd w:id="251"/>
            <w:bookmarkEnd w:id="252"/>
            <w:r w:rsidRPr="001314E7">
              <w:rPr>
                <w:w w:val="100"/>
                <w:sz w:val="24"/>
                <w:szCs w:val="24"/>
                <w:u w:val="single"/>
              </w:rPr>
              <w:lastRenderedPageBreak/>
              <w:t>Vzdání se práva</w:t>
            </w:r>
            <w:bookmarkStart w:id="256" w:name="_Hlk13431309"/>
            <w:bookmarkEnd w:id="253"/>
            <w:bookmarkEnd w:id="254"/>
            <w:bookmarkEnd w:id="255"/>
            <w:r w:rsidRPr="001314E7">
              <w:rPr>
                <w:w w:val="100"/>
                <w:sz w:val="24"/>
                <w:szCs w:val="24"/>
                <w:u w:val="single"/>
              </w:rPr>
              <w:t>.</w:t>
            </w:r>
            <w:r w:rsidRPr="001314E7">
              <w:rPr>
                <w:w w:val="100"/>
                <w:sz w:val="24"/>
                <w:szCs w:val="24"/>
              </w:rPr>
              <w:t xml:space="preserve"> Pokud některá ze stran neuplatní právo vyplývající z této smlouvy, neznamená to, že se tohoto práva vzdává ve vztahu k jakémukoli jinému předchozímu nebo následnému porušení jakéhokoli ustanovení této smlouvy.</w:t>
            </w:r>
          </w:p>
        </w:tc>
        <w:tc>
          <w:tcPr>
            <w:tcW w:w="2500" w:type="pct"/>
            <w:tcBorders>
              <w:top w:val="nil"/>
              <w:left w:val="nil"/>
              <w:bottom w:val="nil"/>
              <w:right w:val="nil"/>
            </w:tcBorders>
          </w:tcPr>
          <w:p w14:paraId="02E09A09" w14:textId="1BE04019" w:rsidR="00C32FF1" w:rsidRPr="0031164B" w:rsidRDefault="00DC6A4A" w:rsidP="00F35BB8">
            <w:pPr>
              <w:widowControl/>
              <w:autoSpaceDE/>
              <w:autoSpaceDN/>
              <w:adjustRightInd/>
              <w:spacing w:after="160" w:line="259" w:lineRule="auto"/>
              <w:jc w:val="both"/>
              <w:rPr>
                <w:lang w:val="en-GB"/>
              </w:rPr>
            </w:pPr>
            <w:r w:rsidRPr="00DC6A4A">
              <w:rPr>
                <w:lang w:val="en-GB"/>
              </w:rPr>
              <w:t>16.7</w:t>
            </w:r>
            <w:r w:rsidRPr="00DC6A4A">
              <w:rPr>
                <w:lang w:val="en-GB"/>
              </w:rPr>
              <w:tab/>
            </w:r>
            <w:r w:rsidR="00C32FF1" w:rsidRPr="0031164B">
              <w:rPr>
                <w:u w:val="single"/>
                <w:lang w:val="en-GB"/>
              </w:rPr>
              <w:t>Waiver.</w:t>
            </w:r>
            <w:r w:rsidR="00C32FF1" w:rsidRPr="0031164B">
              <w:rPr>
                <w:lang w:val="en-GB"/>
              </w:rPr>
              <w:t xml:space="preserve"> Failure of either Party to enforce a right under this Agreement shall not constitute a waiver of that right with respect to any other precedent or subsequent breach of any provision hereof.</w:t>
            </w:r>
          </w:p>
        </w:tc>
      </w:tr>
      <w:tr w:rsidR="00C32FF1" w:rsidRPr="0031164B" w14:paraId="0E4001EA" w14:textId="7E75BE4D" w:rsidTr="00C32FF1">
        <w:tc>
          <w:tcPr>
            <w:tcW w:w="2500" w:type="pct"/>
            <w:tcBorders>
              <w:top w:val="nil"/>
              <w:left w:val="nil"/>
              <w:bottom w:val="nil"/>
              <w:right w:val="nil"/>
            </w:tcBorders>
          </w:tcPr>
          <w:p w14:paraId="3F251FC1" w14:textId="56712454" w:rsidR="00C32FF1" w:rsidRPr="001314E7" w:rsidRDefault="00C32FF1" w:rsidP="00C32FF1">
            <w:pPr>
              <w:pStyle w:val="Legal1L2"/>
              <w:ind w:left="0"/>
              <w:rPr>
                <w:rFonts w:eastAsia="Times New Roman"/>
                <w:w w:val="100"/>
                <w:sz w:val="24"/>
                <w:szCs w:val="24"/>
              </w:rPr>
            </w:pPr>
            <w:bookmarkStart w:id="257" w:name="_DV_M456"/>
            <w:bookmarkStart w:id="258" w:name="_DV_M457"/>
            <w:bookmarkStart w:id="259" w:name="_DV_M458"/>
            <w:bookmarkStart w:id="260" w:name="_Toc256000070"/>
            <w:bookmarkStart w:id="261" w:name="_Toc6234044"/>
            <w:bookmarkStart w:id="262" w:name="_Toc6234366"/>
            <w:bookmarkStart w:id="263" w:name="_Ref_ContractCompanion_9kb9Ur026"/>
            <w:bookmarkEnd w:id="256"/>
            <w:bookmarkEnd w:id="257"/>
            <w:bookmarkEnd w:id="258"/>
            <w:bookmarkEnd w:id="259"/>
            <w:r w:rsidRPr="001314E7">
              <w:rPr>
                <w:w w:val="100"/>
                <w:sz w:val="24"/>
                <w:szCs w:val="24"/>
                <w:u w:val="single"/>
              </w:rPr>
              <w:t>Úplná dohoda</w:t>
            </w:r>
            <w:bookmarkEnd w:id="260"/>
            <w:bookmarkEnd w:id="261"/>
            <w:bookmarkEnd w:id="262"/>
            <w:r w:rsidRPr="001314E7">
              <w:rPr>
                <w:w w:val="100"/>
                <w:sz w:val="24"/>
                <w:szCs w:val="24"/>
              </w:rPr>
              <w:t xml:space="preserve">. Tato smlouva spolu s případnými prohlášeními o pracovní činnosti a přílohami představuje celé a úplné ujednání mezi stranami ohledně předmětu této smlouvy a nahrazuje veškerá předchozí ujednání, prohlášení nebo dohody, ať už písemné nebo ústní, týkající se tohoto předmětu.  Tato smlouva nahrazuje ustanovení jakékoli dřívější dohody o důvěrnosti nebo mlčenlivosti mezi stranami týkající se předmětu této smlouvy a jakákoli sdělení učiněná mezi stranami na základě takové dřívější dohody o důvěrnosti nebo mlčenlivosti se považují za učiněná podle této smlouvy po dobu její platnosti, a proto mohou představovat „důvěrné informace“ ve smyslu oddílu </w:t>
            </w:r>
            <w:r w:rsidRPr="0031164B">
              <w:rPr>
                <w:rFonts w:eastAsia="Times New Roman"/>
                <w:w w:val="100"/>
                <w:sz w:val="24"/>
                <w:szCs w:val="24"/>
                <w:lang w:val="en-GB"/>
              </w:rPr>
              <w:fldChar w:fldCharType="begin" w:fldLock="1"/>
            </w:r>
            <w:r w:rsidRPr="001314E7">
              <w:rPr>
                <w:rFonts w:eastAsia="Times New Roman"/>
                <w:w w:val="100"/>
                <w:sz w:val="24"/>
                <w:szCs w:val="24"/>
              </w:rPr>
              <w:instrText xml:space="preserve"> REF _Ref39127152 \r \h  \* MERGEFORMAT </w:instrText>
            </w:r>
            <w:r w:rsidRPr="0031164B">
              <w:rPr>
                <w:rFonts w:eastAsia="Times New Roman"/>
                <w:w w:val="100"/>
                <w:sz w:val="24"/>
                <w:szCs w:val="24"/>
                <w:lang w:val="en-GB"/>
              </w:rPr>
            </w:r>
            <w:r w:rsidRPr="0031164B">
              <w:rPr>
                <w:rFonts w:eastAsia="Times New Roman"/>
                <w:w w:val="100"/>
                <w:sz w:val="24"/>
                <w:szCs w:val="24"/>
                <w:lang w:val="en-GB"/>
              </w:rPr>
              <w:fldChar w:fldCharType="separate"/>
            </w:r>
            <w:r w:rsidR="00816D6D">
              <w:rPr>
                <w:rFonts w:eastAsia="Times New Roman"/>
                <w:w w:val="100"/>
                <w:sz w:val="24"/>
                <w:szCs w:val="24"/>
              </w:rPr>
              <w:t>11</w:t>
            </w:r>
            <w:r w:rsidRPr="0031164B">
              <w:rPr>
                <w:rFonts w:eastAsia="Times New Roman"/>
                <w:w w:val="100"/>
                <w:sz w:val="24"/>
                <w:szCs w:val="24"/>
                <w:lang w:val="en-GB"/>
              </w:rPr>
              <w:fldChar w:fldCharType="end"/>
            </w:r>
            <w:r w:rsidRPr="001314E7">
              <w:rPr>
                <w:w w:val="100"/>
                <w:sz w:val="24"/>
                <w:szCs w:val="24"/>
              </w:rPr>
              <w:t xml:space="preserve"> této smlouvy.</w:t>
            </w:r>
            <w:bookmarkStart w:id="264" w:name="_DV_IPM8"/>
            <w:bookmarkStart w:id="265" w:name="_DV_IPM9"/>
            <w:bookmarkStart w:id="266" w:name="_DV_IPM10"/>
            <w:bookmarkStart w:id="267" w:name="_DV_M463"/>
            <w:bookmarkEnd w:id="263"/>
            <w:bookmarkEnd w:id="264"/>
            <w:bookmarkEnd w:id="265"/>
            <w:bookmarkEnd w:id="266"/>
            <w:bookmarkEnd w:id="267"/>
          </w:p>
        </w:tc>
        <w:tc>
          <w:tcPr>
            <w:tcW w:w="2500" w:type="pct"/>
            <w:tcBorders>
              <w:top w:val="nil"/>
              <w:left w:val="nil"/>
              <w:bottom w:val="nil"/>
              <w:right w:val="nil"/>
            </w:tcBorders>
          </w:tcPr>
          <w:p w14:paraId="0612810B" w14:textId="35BA91EF" w:rsidR="00C32FF1" w:rsidRPr="0031164B" w:rsidRDefault="00DC6A4A" w:rsidP="00F35BB8">
            <w:pPr>
              <w:widowControl/>
              <w:autoSpaceDE/>
              <w:autoSpaceDN/>
              <w:adjustRightInd/>
              <w:spacing w:after="160" w:line="259" w:lineRule="auto"/>
              <w:jc w:val="both"/>
              <w:rPr>
                <w:lang w:val="en-GB"/>
              </w:rPr>
            </w:pPr>
            <w:r w:rsidRPr="00DC6A4A">
              <w:rPr>
                <w:lang w:val="en-GB"/>
              </w:rPr>
              <w:t>16.8</w:t>
            </w:r>
            <w:r w:rsidRPr="00DC6A4A">
              <w:rPr>
                <w:lang w:val="en-GB"/>
              </w:rPr>
              <w:tab/>
            </w:r>
            <w:r w:rsidR="00C32FF1" w:rsidRPr="0031164B">
              <w:rPr>
                <w:u w:val="single"/>
                <w:lang w:val="en-GB"/>
              </w:rPr>
              <w:t>Entire Agreement</w:t>
            </w:r>
            <w:r w:rsidR="00C32FF1" w:rsidRPr="0031164B">
              <w:rPr>
                <w:lang w:val="en-GB"/>
              </w:rPr>
              <w:t xml:space="preserve">. This Agreement, together with any Statements of Work and the Attachments, represents the complete and entire understanding between the Parties regarding the subject matter herein and supersedes all prior negotiations, representations or agreements, either written or oral, regarding this subject matter.  This Agreement shall supersede the provisions of any pre-existing confidentiality or non-disclosure agreement between the Parties pertaining to the subject matter of this Agreement, and any disclosures made between the Parties pursuant to such prior confidentiality or non-disclosure agreement shall be deemed to have been made hereunder during the term of this Agreement, and therefore may constitute “Confidential Information” within the meaning of Section </w:t>
            </w:r>
            <w:r w:rsidR="00C32FF1" w:rsidRPr="0031164B">
              <w:rPr>
                <w:lang w:val="en-GB"/>
              </w:rPr>
              <w:fldChar w:fldCharType="begin" w:fldLock="1"/>
            </w:r>
            <w:r w:rsidR="00C32FF1" w:rsidRPr="0031164B">
              <w:rPr>
                <w:lang w:val="en-GB"/>
              </w:rPr>
              <w:instrText xml:space="preserve"> REF _Ref39127152 \r \h  \* MERGEFORMAT </w:instrText>
            </w:r>
            <w:r w:rsidR="00C32FF1" w:rsidRPr="0031164B">
              <w:rPr>
                <w:lang w:val="en-GB"/>
              </w:rPr>
            </w:r>
            <w:r w:rsidR="00C32FF1" w:rsidRPr="0031164B">
              <w:rPr>
                <w:lang w:val="en-GB"/>
              </w:rPr>
              <w:fldChar w:fldCharType="separate"/>
            </w:r>
            <w:r w:rsidR="00816D6D">
              <w:rPr>
                <w:lang w:val="en-GB"/>
              </w:rPr>
              <w:t>11</w:t>
            </w:r>
            <w:r w:rsidR="00C32FF1" w:rsidRPr="0031164B">
              <w:rPr>
                <w:lang w:val="en-GB"/>
              </w:rPr>
              <w:fldChar w:fldCharType="end"/>
            </w:r>
            <w:r w:rsidR="00C32FF1" w:rsidRPr="0031164B">
              <w:rPr>
                <w:lang w:val="en-GB"/>
              </w:rPr>
              <w:t xml:space="preserve"> herein.</w:t>
            </w:r>
          </w:p>
        </w:tc>
      </w:tr>
      <w:tr w:rsidR="00C32FF1" w:rsidRPr="0031164B" w14:paraId="40E8D6BB" w14:textId="3DDF4B2A" w:rsidTr="00C32FF1">
        <w:tc>
          <w:tcPr>
            <w:tcW w:w="2500" w:type="pct"/>
            <w:tcBorders>
              <w:top w:val="nil"/>
              <w:left w:val="nil"/>
              <w:bottom w:val="nil"/>
              <w:right w:val="nil"/>
            </w:tcBorders>
          </w:tcPr>
          <w:p w14:paraId="48961678" w14:textId="08F47BEE" w:rsidR="00C32FF1" w:rsidRPr="0031164B" w:rsidRDefault="00C32FF1" w:rsidP="00C32FF1">
            <w:pPr>
              <w:pStyle w:val="Legal1L2"/>
              <w:ind w:left="0"/>
              <w:rPr>
                <w:rFonts w:eastAsia="Times New Roman"/>
                <w:w w:val="100"/>
                <w:sz w:val="24"/>
                <w:szCs w:val="24"/>
                <w:lang w:val="en-GB"/>
              </w:rPr>
            </w:pPr>
            <w:r w:rsidRPr="001314E7">
              <w:rPr>
                <w:w w:val="100"/>
                <w:sz w:val="24"/>
                <w:szCs w:val="24"/>
                <w:u w:val="single"/>
              </w:rPr>
              <w:t>Jazykové verze</w:t>
            </w:r>
            <w:r w:rsidRPr="001314E7">
              <w:rPr>
                <w:w w:val="100"/>
                <w:sz w:val="24"/>
                <w:szCs w:val="24"/>
              </w:rPr>
              <w:t xml:space="preserve">. Tato smlouva je vyhotovena v českém a anglickém jazyce. </w:t>
            </w:r>
            <w:r w:rsidRPr="0031164B">
              <w:rPr>
                <w:w w:val="100"/>
                <w:sz w:val="24"/>
                <w:szCs w:val="24"/>
                <w:lang w:val="en-GB"/>
              </w:rPr>
              <w:t xml:space="preserve">V případě jakéhokoli sporu je rozhodující </w:t>
            </w:r>
            <w:r w:rsidR="00682F30">
              <w:rPr>
                <w:w w:val="100"/>
                <w:sz w:val="24"/>
                <w:szCs w:val="24"/>
                <w:lang w:val="en-GB"/>
              </w:rPr>
              <w:t>česká</w:t>
            </w:r>
            <w:r w:rsidR="00682F30" w:rsidRPr="002C5BB6">
              <w:rPr>
                <w:w w:val="100"/>
                <w:sz w:val="24"/>
                <w:szCs w:val="24"/>
                <w:lang w:val="en-GB"/>
              </w:rPr>
              <w:t xml:space="preserve"> </w:t>
            </w:r>
            <w:r w:rsidRPr="002C5BB6">
              <w:rPr>
                <w:w w:val="100"/>
                <w:sz w:val="24"/>
                <w:szCs w:val="24"/>
                <w:lang w:val="en-GB"/>
              </w:rPr>
              <w:t>verze.</w:t>
            </w:r>
          </w:p>
        </w:tc>
        <w:tc>
          <w:tcPr>
            <w:tcW w:w="2500" w:type="pct"/>
            <w:tcBorders>
              <w:top w:val="nil"/>
              <w:left w:val="nil"/>
              <w:bottom w:val="nil"/>
              <w:right w:val="nil"/>
            </w:tcBorders>
          </w:tcPr>
          <w:p w14:paraId="3A535569" w14:textId="02F3BF24" w:rsidR="00C32FF1" w:rsidRPr="0031164B" w:rsidRDefault="00DC6A4A" w:rsidP="00F35BB8">
            <w:pPr>
              <w:widowControl/>
              <w:autoSpaceDE/>
              <w:autoSpaceDN/>
              <w:adjustRightInd/>
              <w:spacing w:after="160" w:line="259" w:lineRule="auto"/>
              <w:jc w:val="both"/>
              <w:rPr>
                <w:lang w:val="en-GB"/>
              </w:rPr>
            </w:pPr>
            <w:r w:rsidRPr="00DC6A4A">
              <w:rPr>
                <w:lang w:val="en-GB"/>
              </w:rPr>
              <w:t>16.9</w:t>
            </w:r>
            <w:r w:rsidRPr="00DC6A4A">
              <w:rPr>
                <w:lang w:val="en-GB"/>
              </w:rPr>
              <w:tab/>
            </w:r>
            <w:r w:rsidR="00C32FF1" w:rsidRPr="0031164B">
              <w:rPr>
                <w:u w:val="single"/>
                <w:lang w:val="en-GB"/>
              </w:rPr>
              <w:t>Language versions</w:t>
            </w:r>
            <w:r w:rsidR="00C32FF1" w:rsidRPr="0031164B">
              <w:rPr>
                <w:lang w:val="en-GB"/>
              </w:rPr>
              <w:t xml:space="preserve">. This Agreement is drawn up in English and in Czech language versions. In case of any dispute the </w:t>
            </w:r>
            <w:r w:rsidR="00682F30">
              <w:rPr>
                <w:lang w:val="en-GB"/>
              </w:rPr>
              <w:t xml:space="preserve">Czech </w:t>
            </w:r>
            <w:r w:rsidR="00C32FF1" w:rsidRPr="0031164B">
              <w:rPr>
                <w:lang w:val="en-GB"/>
              </w:rPr>
              <w:t>version shall prevail.</w:t>
            </w:r>
          </w:p>
        </w:tc>
      </w:tr>
      <w:tr w:rsidR="00C32FF1" w:rsidRPr="0031164B" w14:paraId="0FA6B538" w14:textId="6FF286EE" w:rsidTr="00C32FF1">
        <w:tc>
          <w:tcPr>
            <w:tcW w:w="2500" w:type="pct"/>
            <w:tcBorders>
              <w:top w:val="nil"/>
              <w:left w:val="nil"/>
              <w:bottom w:val="nil"/>
              <w:right w:val="nil"/>
            </w:tcBorders>
          </w:tcPr>
          <w:p w14:paraId="3F82954E" w14:textId="77777777" w:rsidR="00C32FF1" w:rsidRPr="001314E7" w:rsidRDefault="00C32FF1" w:rsidP="00C32FF1">
            <w:pPr>
              <w:pStyle w:val="Zkladntext"/>
              <w:keepNext/>
              <w:ind w:firstLine="0"/>
              <w:rPr>
                <w:u w:val="single"/>
              </w:rPr>
            </w:pPr>
            <w:r w:rsidRPr="001314E7">
              <w:lastRenderedPageBreak/>
              <w:t>Strany podepsaly tuto smlouvu prostřednictvím svých řádně zmocněných zástupců k níže uvedeným datům a tato smlouva nabývá účinnosti dnem účinnosti uvedeným výše.</w:t>
            </w:r>
          </w:p>
        </w:tc>
        <w:tc>
          <w:tcPr>
            <w:tcW w:w="2500" w:type="pct"/>
            <w:tcBorders>
              <w:top w:val="nil"/>
              <w:left w:val="nil"/>
              <w:bottom w:val="nil"/>
              <w:right w:val="nil"/>
            </w:tcBorders>
          </w:tcPr>
          <w:p w14:paraId="462F5059" w14:textId="202A31C9" w:rsidR="00C32FF1" w:rsidRPr="0031164B" w:rsidRDefault="00C32FF1" w:rsidP="00F35BB8">
            <w:pPr>
              <w:widowControl/>
              <w:autoSpaceDE/>
              <w:autoSpaceDN/>
              <w:adjustRightInd/>
              <w:spacing w:after="160" w:line="259" w:lineRule="auto"/>
              <w:jc w:val="both"/>
              <w:rPr>
                <w:u w:val="single"/>
                <w:lang w:val="en-GB"/>
              </w:rPr>
            </w:pPr>
            <w:r w:rsidRPr="0031164B">
              <w:rPr>
                <w:lang w:val="en-GB"/>
              </w:rPr>
              <w:t>The Parties have executed this Agreement by their duly authorized representatives as of the dates set forth below and this Agreement shall be effective as of the Effective Date set forth above.</w:t>
            </w:r>
          </w:p>
        </w:tc>
      </w:tr>
    </w:tbl>
    <w:p w14:paraId="63E34C5A" w14:textId="77777777" w:rsidR="000A5162" w:rsidRPr="0031164B" w:rsidRDefault="000A5162" w:rsidP="000A5162">
      <w:pPr>
        <w:pStyle w:val="Podpis"/>
        <w:keepNext/>
        <w:widowControl/>
        <w:adjustRightInd/>
        <w:rPr>
          <w:w w:val="100"/>
          <w:lang w:val="en-GB"/>
        </w:rPr>
      </w:pPr>
      <w:bookmarkStart w:id="268" w:name="_DV_M464"/>
      <w:bookmarkEnd w:id="2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524"/>
        <w:gridCol w:w="856"/>
        <w:gridCol w:w="3604"/>
      </w:tblGrid>
      <w:tr w:rsidR="00205626" w:rsidRPr="0031164B" w14:paraId="63E34C5D" w14:textId="77777777">
        <w:tc>
          <w:tcPr>
            <w:tcW w:w="4506" w:type="dxa"/>
            <w:gridSpan w:val="2"/>
            <w:tcBorders>
              <w:top w:val="nil"/>
              <w:left w:val="nil"/>
              <w:bottom w:val="nil"/>
              <w:right w:val="nil"/>
            </w:tcBorders>
            <w:hideMark/>
          </w:tcPr>
          <w:p w14:paraId="63E34C5B" w14:textId="4B991F22" w:rsidR="000A5162" w:rsidRPr="0031164B" w:rsidRDefault="00C7741B">
            <w:pPr>
              <w:keepNext/>
              <w:spacing w:after="240"/>
              <w:jc w:val="both"/>
              <w:rPr>
                <w:b/>
                <w:bCs/>
                <w:lang w:val="en-GB"/>
              </w:rPr>
            </w:pPr>
            <w:r w:rsidRPr="00C7741B">
              <w:rPr>
                <w:b/>
                <w:caps/>
                <w:lang w:val="en-GB"/>
              </w:rPr>
              <w:t xml:space="preserve">Celgene International Sàrl   </w:t>
            </w:r>
          </w:p>
        </w:tc>
        <w:tc>
          <w:tcPr>
            <w:tcW w:w="4513" w:type="dxa"/>
            <w:gridSpan w:val="2"/>
            <w:tcBorders>
              <w:top w:val="nil"/>
              <w:left w:val="nil"/>
              <w:bottom w:val="nil"/>
              <w:right w:val="nil"/>
            </w:tcBorders>
            <w:hideMark/>
          </w:tcPr>
          <w:p w14:paraId="63E34C5C" w14:textId="44778DDC" w:rsidR="000A5162" w:rsidRPr="0031164B" w:rsidRDefault="006F16F7">
            <w:pPr>
              <w:keepNext/>
              <w:spacing w:after="480"/>
              <w:jc w:val="both"/>
              <w:rPr>
                <w:lang w:val="en-GB"/>
              </w:rPr>
            </w:pPr>
            <w:r>
              <w:rPr>
                <w:b/>
                <w:caps/>
                <w:lang w:val="en-GB"/>
              </w:rPr>
              <w:t xml:space="preserve">FAKULTNI NEMOCNICE </w:t>
            </w:r>
            <w:r w:rsidR="00D36117">
              <w:rPr>
                <w:b/>
                <w:caps/>
                <w:lang w:val="en-GB"/>
              </w:rPr>
              <w:t>Plzeň</w:t>
            </w:r>
          </w:p>
        </w:tc>
      </w:tr>
      <w:tr w:rsidR="00205626" w:rsidRPr="0031164B" w14:paraId="63E34C65" w14:textId="77777777">
        <w:tc>
          <w:tcPr>
            <w:tcW w:w="900" w:type="dxa"/>
            <w:tcBorders>
              <w:top w:val="nil"/>
              <w:left w:val="nil"/>
              <w:bottom w:val="nil"/>
              <w:right w:val="nil"/>
            </w:tcBorders>
            <w:vAlign w:val="bottom"/>
            <w:hideMark/>
          </w:tcPr>
          <w:p w14:paraId="63E34C5E" w14:textId="77777777" w:rsidR="003368CD" w:rsidRPr="0031164B" w:rsidRDefault="003368CD">
            <w:pPr>
              <w:keepNext/>
              <w:jc w:val="both"/>
              <w:rPr>
                <w:lang w:val="en-GB"/>
              </w:rPr>
            </w:pPr>
          </w:p>
          <w:p w14:paraId="63E34C5F" w14:textId="77777777" w:rsidR="003368CD" w:rsidRPr="0031164B" w:rsidRDefault="003368CD">
            <w:pPr>
              <w:keepNext/>
              <w:jc w:val="both"/>
              <w:rPr>
                <w:lang w:val="en-GB"/>
              </w:rPr>
            </w:pPr>
          </w:p>
          <w:p w14:paraId="63E34C61" w14:textId="77777777" w:rsidR="000A5162" w:rsidRPr="0031164B" w:rsidRDefault="00CA50DA">
            <w:pPr>
              <w:keepNext/>
              <w:jc w:val="both"/>
              <w:rPr>
                <w:u w:val="single"/>
                <w:lang w:val="en-GB"/>
              </w:rPr>
            </w:pPr>
            <w:r w:rsidRPr="0031164B">
              <w:rPr>
                <w:lang w:val="en-GB"/>
              </w:rPr>
              <w:t xml:space="preserve">Podepsán/a: </w:t>
            </w:r>
          </w:p>
        </w:tc>
        <w:tc>
          <w:tcPr>
            <w:tcW w:w="3606" w:type="dxa"/>
            <w:tcBorders>
              <w:top w:val="nil"/>
              <w:left w:val="nil"/>
              <w:bottom w:val="single" w:sz="4" w:space="0" w:color="auto"/>
              <w:right w:val="nil"/>
            </w:tcBorders>
            <w:vAlign w:val="bottom"/>
          </w:tcPr>
          <w:p w14:paraId="63E34C62" w14:textId="77777777" w:rsidR="000A5162" w:rsidRPr="0031164B" w:rsidRDefault="000A5162">
            <w:pPr>
              <w:keepNext/>
              <w:jc w:val="both"/>
              <w:rPr>
                <w:u w:val="single"/>
                <w:lang w:val="en-GB"/>
              </w:rPr>
            </w:pPr>
          </w:p>
        </w:tc>
        <w:tc>
          <w:tcPr>
            <w:tcW w:w="828" w:type="dxa"/>
            <w:tcBorders>
              <w:top w:val="nil"/>
              <w:left w:val="nil"/>
              <w:bottom w:val="nil"/>
              <w:right w:val="nil"/>
            </w:tcBorders>
            <w:vAlign w:val="bottom"/>
            <w:hideMark/>
          </w:tcPr>
          <w:p w14:paraId="63E34C63" w14:textId="77777777" w:rsidR="000A5162" w:rsidRPr="0031164B" w:rsidRDefault="00CA50DA">
            <w:pPr>
              <w:keepNext/>
              <w:jc w:val="both"/>
              <w:rPr>
                <w:u w:val="single"/>
                <w:lang w:val="en-GB"/>
              </w:rPr>
            </w:pPr>
            <w:r w:rsidRPr="0031164B">
              <w:rPr>
                <w:lang w:val="en-GB"/>
              </w:rPr>
              <w:t xml:space="preserve">By:  </w:t>
            </w:r>
          </w:p>
        </w:tc>
        <w:tc>
          <w:tcPr>
            <w:tcW w:w="3685" w:type="dxa"/>
            <w:tcBorders>
              <w:top w:val="nil"/>
              <w:left w:val="nil"/>
              <w:bottom w:val="single" w:sz="4" w:space="0" w:color="auto"/>
              <w:right w:val="nil"/>
            </w:tcBorders>
            <w:vAlign w:val="bottom"/>
          </w:tcPr>
          <w:p w14:paraId="63E34C64" w14:textId="77777777" w:rsidR="000A5162" w:rsidRPr="0031164B" w:rsidRDefault="000A5162">
            <w:pPr>
              <w:keepNext/>
              <w:jc w:val="both"/>
              <w:rPr>
                <w:u w:val="single"/>
                <w:lang w:val="en-GB"/>
              </w:rPr>
            </w:pPr>
          </w:p>
        </w:tc>
      </w:tr>
      <w:tr w:rsidR="00205626" w:rsidRPr="0031164B" w14:paraId="63E34C6B" w14:textId="77777777">
        <w:tc>
          <w:tcPr>
            <w:tcW w:w="900" w:type="dxa"/>
            <w:tcBorders>
              <w:top w:val="nil"/>
              <w:left w:val="nil"/>
              <w:bottom w:val="nil"/>
              <w:right w:val="nil"/>
            </w:tcBorders>
            <w:vAlign w:val="bottom"/>
          </w:tcPr>
          <w:p w14:paraId="63E34C66" w14:textId="77777777" w:rsidR="000A5162" w:rsidRPr="0031164B" w:rsidRDefault="000A5162">
            <w:pPr>
              <w:keepNext/>
              <w:jc w:val="both"/>
              <w:rPr>
                <w:lang w:val="en-GB"/>
              </w:rPr>
            </w:pPr>
          </w:p>
          <w:p w14:paraId="63E34C67" w14:textId="77777777" w:rsidR="000A5162" w:rsidRPr="0031164B" w:rsidRDefault="00CA50DA">
            <w:pPr>
              <w:keepNext/>
              <w:jc w:val="both"/>
              <w:rPr>
                <w:lang w:val="en-GB"/>
              </w:rPr>
            </w:pPr>
            <w:r w:rsidRPr="0031164B">
              <w:rPr>
                <w:lang w:val="en-GB"/>
              </w:rPr>
              <w:t xml:space="preserve">Jméno:  </w:t>
            </w:r>
          </w:p>
        </w:tc>
        <w:tc>
          <w:tcPr>
            <w:tcW w:w="3606" w:type="dxa"/>
            <w:tcBorders>
              <w:top w:val="single" w:sz="4" w:space="0" w:color="auto"/>
              <w:left w:val="nil"/>
              <w:bottom w:val="single" w:sz="4" w:space="0" w:color="auto"/>
              <w:right w:val="nil"/>
            </w:tcBorders>
            <w:vAlign w:val="bottom"/>
          </w:tcPr>
          <w:p w14:paraId="63E34C68" w14:textId="77777777" w:rsidR="000A5162" w:rsidRPr="0031164B" w:rsidRDefault="000A5162">
            <w:pPr>
              <w:keepNext/>
              <w:jc w:val="both"/>
              <w:rPr>
                <w:u w:val="single"/>
                <w:lang w:val="en-GB"/>
              </w:rPr>
            </w:pPr>
          </w:p>
        </w:tc>
        <w:tc>
          <w:tcPr>
            <w:tcW w:w="828" w:type="dxa"/>
            <w:tcBorders>
              <w:top w:val="nil"/>
              <w:left w:val="nil"/>
              <w:bottom w:val="nil"/>
              <w:right w:val="nil"/>
            </w:tcBorders>
            <w:vAlign w:val="bottom"/>
            <w:hideMark/>
          </w:tcPr>
          <w:p w14:paraId="63E34C69" w14:textId="77777777" w:rsidR="000A5162" w:rsidRPr="0031164B" w:rsidRDefault="00CA50DA">
            <w:pPr>
              <w:keepNext/>
              <w:jc w:val="both"/>
              <w:rPr>
                <w:u w:val="single"/>
                <w:lang w:val="en-GB"/>
              </w:rPr>
            </w:pPr>
            <w:r w:rsidRPr="0031164B">
              <w:rPr>
                <w:lang w:val="en-GB"/>
              </w:rPr>
              <w:t xml:space="preserve">Name: </w:t>
            </w:r>
          </w:p>
        </w:tc>
        <w:tc>
          <w:tcPr>
            <w:tcW w:w="3685" w:type="dxa"/>
            <w:tcBorders>
              <w:top w:val="single" w:sz="4" w:space="0" w:color="auto"/>
              <w:left w:val="nil"/>
              <w:bottom w:val="single" w:sz="4" w:space="0" w:color="auto"/>
              <w:right w:val="nil"/>
            </w:tcBorders>
            <w:vAlign w:val="bottom"/>
          </w:tcPr>
          <w:p w14:paraId="63E34C6A" w14:textId="1A24305B" w:rsidR="000A5162" w:rsidRPr="0031164B" w:rsidRDefault="00AF269B">
            <w:pPr>
              <w:keepNext/>
              <w:jc w:val="both"/>
              <w:rPr>
                <w:u w:val="single"/>
                <w:lang w:val="en-GB"/>
              </w:rPr>
            </w:pPr>
            <w:r w:rsidRPr="00B35FCC">
              <w:rPr>
                <w:sz w:val="22"/>
                <w:szCs w:val="22"/>
                <w:u w:val="single"/>
                <w:lang w:val="en-GB"/>
              </w:rPr>
              <w:t>Doc. MUDr. Václav Šimánek</w:t>
            </w:r>
            <w:r w:rsidR="004331DE" w:rsidRPr="00B35FCC">
              <w:rPr>
                <w:sz w:val="22"/>
                <w:szCs w:val="22"/>
                <w:u w:val="single"/>
                <w:lang w:val="en-GB"/>
              </w:rPr>
              <w:t xml:space="preserve"> Ph.D</w:t>
            </w:r>
            <w:r w:rsidR="004331DE">
              <w:rPr>
                <w:u w:val="single"/>
                <w:lang w:val="en-GB"/>
              </w:rPr>
              <w:t>.</w:t>
            </w:r>
          </w:p>
        </w:tc>
      </w:tr>
      <w:tr w:rsidR="00205626" w:rsidRPr="0031164B" w14:paraId="63E34C71" w14:textId="77777777">
        <w:tc>
          <w:tcPr>
            <w:tcW w:w="900" w:type="dxa"/>
            <w:tcBorders>
              <w:top w:val="nil"/>
              <w:left w:val="nil"/>
              <w:bottom w:val="nil"/>
              <w:right w:val="nil"/>
            </w:tcBorders>
            <w:vAlign w:val="bottom"/>
          </w:tcPr>
          <w:p w14:paraId="63E34C6C" w14:textId="77777777" w:rsidR="000A5162" w:rsidRPr="0031164B" w:rsidRDefault="000A5162">
            <w:pPr>
              <w:keepNext/>
              <w:jc w:val="both"/>
              <w:rPr>
                <w:lang w:val="en-GB"/>
              </w:rPr>
            </w:pPr>
          </w:p>
          <w:p w14:paraId="63E34C6D" w14:textId="77777777" w:rsidR="000A5162" w:rsidRPr="0031164B" w:rsidRDefault="00CA50DA">
            <w:pPr>
              <w:keepNext/>
              <w:jc w:val="both"/>
              <w:rPr>
                <w:lang w:val="en-GB"/>
              </w:rPr>
            </w:pPr>
            <w:r w:rsidRPr="0031164B">
              <w:rPr>
                <w:lang w:val="en-GB"/>
              </w:rPr>
              <w:t>Pozice:</w:t>
            </w:r>
          </w:p>
        </w:tc>
        <w:tc>
          <w:tcPr>
            <w:tcW w:w="3606" w:type="dxa"/>
            <w:tcBorders>
              <w:top w:val="single" w:sz="4" w:space="0" w:color="auto"/>
              <w:left w:val="nil"/>
              <w:bottom w:val="single" w:sz="4" w:space="0" w:color="auto"/>
              <w:right w:val="nil"/>
            </w:tcBorders>
            <w:vAlign w:val="bottom"/>
          </w:tcPr>
          <w:p w14:paraId="63E34C6E" w14:textId="77777777" w:rsidR="000A5162" w:rsidRPr="0031164B" w:rsidRDefault="000A5162">
            <w:pPr>
              <w:keepNext/>
              <w:jc w:val="both"/>
              <w:rPr>
                <w:u w:val="single"/>
                <w:lang w:val="en-GB"/>
              </w:rPr>
            </w:pPr>
          </w:p>
        </w:tc>
        <w:tc>
          <w:tcPr>
            <w:tcW w:w="828" w:type="dxa"/>
            <w:tcBorders>
              <w:top w:val="nil"/>
              <w:left w:val="nil"/>
              <w:bottom w:val="nil"/>
              <w:right w:val="nil"/>
            </w:tcBorders>
            <w:vAlign w:val="bottom"/>
            <w:hideMark/>
          </w:tcPr>
          <w:p w14:paraId="63E34C6F" w14:textId="77777777" w:rsidR="000A5162" w:rsidRPr="0031164B" w:rsidRDefault="00CA50DA">
            <w:pPr>
              <w:keepNext/>
              <w:jc w:val="both"/>
              <w:rPr>
                <w:u w:val="single"/>
                <w:lang w:val="en-GB"/>
              </w:rPr>
            </w:pPr>
            <w:r w:rsidRPr="0031164B">
              <w:rPr>
                <w:lang w:val="en-GB"/>
              </w:rPr>
              <w:t xml:space="preserve">Title:  </w:t>
            </w:r>
          </w:p>
        </w:tc>
        <w:tc>
          <w:tcPr>
            <w:tcW w:w="3685" w:type="dxa"/>
            <w:tcBorders>
              <w:top w:val="single" w:sz="4" w:space="0" w:color="auto"/>
              <w:left w:val="nil"/>
              <w:bottom w:val="single" w:sz="4" w:space="0" w:color="auto"/>
              <w:right w:val="nil"/>
            </w:tcBorders>
            <w:vAlign w:val="bottom"/>
          </w:tcPr>
          <w:p w14:paraId="63E34C70" w14:textId="0CC1E16F" w:rsidR="000A5162" w:rsidRPr="0031164B" w:rsidRDefault="004331DE">
            <w:pPr>
              <w:keepNext/>
              <w:jc w:val="both"/>
              <w:rPr>
                <w:u w:val="single"/>
                <w:lang w:val="en-GB"/>
              </w:rPr>
            </w:pPr>
            <w:r>
              <w:rPr>
                <w:u w:val="single"/>
                <w:lang w:val="en-GB"/>
              </w:rPr>
              <w:t>ředitel</w:t>
            </w:r>
          </w:p>
        </w:tc>
      </w:tr>
      <w:tr w:rsidR="00205626" w:rsidRPr="0031164B" w14:paraId="63E34C77" w14:textId="77777777">
        <w:tc>
          <w:tcPr>
            <w:tcW w:w="900" w:type="dxa"/>
            <w:tcBorders>
              <w:top w:val="nil"/>
              <w:left w:val="nil"/>
              <w:bottom w:val="nil"/>
              <w:right w:val="nil"/>
            </w:tcBorders>
            <w:vAlign w:val="bottom"/>
          </w:tcPr>
          <w:p w14:paraId="63E34C72" w14:textId="77777777" w:rsidR="000A5162" w:rsidRPr="0031164B" w:rsidRDefault="000A5162">
            <w:pPr>
              <w:keepNext/>
              <w:jc w:val="both"/>
              <w:rPr>
                <w:lang w:val="en-GB"/>
              </w:rPr>
            </w:pPr>
          </w:p>
          <w:p w14:paraId="63E34C73" w14:textId="77777777" w:rsidR="000A5162" w:rsidRPr="0031164B" w:rsidRDefault="00CA50DA">
            <w:pPr>
              <w:keepNext/>
              <w:jc w:val="both"/>
              <w:rPr>
                <w:lang w:val="en-GB"/>
              </w:rPr>
            </w:pPr>
            <w:r w:rsidRPr="0031164B">
              <w:rPr>
                <w:lang w:val="en-GB"/>
              </w:rPr>
              <w:t>Datum:</w:t>
            </w:r>
          </w:p>
        </w:tc>
        <w:tc>
          <w:tcPr>
            <w:tcW w:w="3606" w:type="dxa"/>
            <w:tcBorders>
              <w:top w:val="single" w:sz="4" w:space="0" w:color="auto"/>
              <w:left w:val="nil"/>
              <w:bottom w:val="single" w:sz="4" w:space="0" w:color="auto"/>
              <w:right w:val="nil"/>
            </w:tcBorders>
            <w:vAlign w:val="bottom"/>
          </w:tcPr>
          <w:p w14:paraId="63E34C74" w14:textId="77777777" w:rsidR="000A5162" w:rsidRPr="0031164B" w:rsidRDefault="000A5162">
            <w:pPr>
              <w:keepNext/>
              <w:jc w:val="both"/>
              <w:rPr>
                <w:u w:val="single"/>
                <w:lang w:val="en-GB"/>
              </w:rPr>
            </w:pPr>
          </w:p>
        </w:tc>
        <w:tc>
          <w:tcPr>
            <w:tcW w:w="828" w:type="dxa"/>
            <w:tcBorders>
              <w:top w:val="nil"/>
              <w:left w:val="nil"/>
              <w:bottom w:val="nil"/>
              <w:right w:val="nil"/>
            </w:tcBorders>
            <w:vAlign w:val="bottom"/>
            <w:hideMark/>
          </w:tcPr>
          <w:p w14:paraId="63E34C75" w14:textId="77777777" w:rsidR="000A5162" w:rsidRPr="0031164B" w:rsidRDefault="00CA50DA">
            <w:pPr>
              <w:keepNext/>
              <w:jc w:val="both"/>
              <w:rPr>
                <w:u w:val="single"/>
                <w:lang w:val="en-GB"/>
              </w:rPr>
            </w:pPr>
            <w:r w:rsidRPr="0031164B">
              <w:rPr>
                <w:lang w:val="en-GB"/>
              </w:rPr>
              <w:t xml:space="preserve">Date:  </w:t>
            </w:r>
          </w:p>
        </w:tc>
        <w:tc>
          <w:tcPr>
            <w:tcW w:w="3685" w:type="dxa"/>
            <w:tcBorders>
              <w:top w:val="single" w:sz="4" w:space="0" w:color="auto"/>
              <w:left w:val="nil"/>
              <w:bottom w:val="single" w:sz="4" w:space="0" w:color="auto"/>
              <w:right w:val="nil"/>
            </w:tcBorders>
            <w:vAlign w:val="bottom"/>
          </w:tcPr>
          <w:p w14:paraId="63E34C76" w14:textId="77777777" w:rsidR="000A5162" w:rsidRPr="0031164B" w:rsidRDefault="000A5162">
            <w:pPr>
              <w:keepNext/>
              <w:jc w:val="both"/>
              <w:rPr>
                <w:u w:val="single"/>
                <w:lang w:val="en-GB"/>
              </w:rPr>
            </w:pPr>
          </w:p>
        </w:tc>
      </w:tr>
    </w:tbl>
    <w:p w14:paraId="63E34C78" w14:textId="77777777" w:rsidR="000A5162" w:rsidRPr="0031164B" w:rsidRDefault="000A5162" w:rsidP="000A5162">
      <w:pPr>
        <w:pStyle w:val="Podpis"/>
        <w:keepNext/>
        <w:widowControl/>
        <w:adjustRightInd/>
        <w:rPr>
          <w:w w:val="100"/>
          <w:lang w:val="en-GB"/>
        </w:rPr>
      </w:pPr>
      <w:bookmarkStart w:id="269" w:name="_DV_M465"/>
      <w:bookmarkStart w:id="270" w:name="_DV_M466"/>
      <w:bookmarkStart w:id="271" w:name="_DV_M468"/>
      <w:bookmarkEnd w:id="269"/>
      <w:bookmarkEnd w:id="270"/>
      <w:bookmarkEnd w:id="271"/>
    </w:p>
    <w:p w14:paraId="63E34C79" w14:textId="77777777" w:rsidR="000A5162" w:rsidRPr="0031164B" w:rsidRDefault="000A5162" w:rsidP="000A5162">
      <w:pPr>
        <w:pStyle w:val="Podpis"/>
        <w:widowControl/>
        <w:adjustRightInd/>
        <w:rPr>
          <w:w w:val="100"/>
          <w:lang w:val="en-GB"/>
        </w:rPr>
      </w:pPr>
    </w:p>
    <w:p w14:paraId="61617FBB" w14:textId="77777777" w:rsidR="00B17FF3" w:rsidRPr="0031164B" w:rsidRDefault="00B17FF3" w:rsidP="000A5162">
      <w:pPr>
        <w:widowControl/>
        <w:autoSpaceDE/>
        <w:autoSpaceDN/>
        <w:adjustRightInd/>
        <w:rPr>
          <w:lang w:val="en-GB"/>
        </w:rPr>
      </w:pPr>
    </w:p>
    <w:p w14:paraId="33D453F2" w14:textId="77777777" w:rsidR="00B17FF3" w:rsidRPr="0031164B" w:rsidRDefault="00B17FF3" w:rsidP="000A5162">
      <w:pPr>
        <w:widowControl/>
        <w:autoSpaceDE/>
        <w:autoSpaceDN/>
        <w:adjustRightInd/>
        <w:rPr>
          <w:lang w:val="en-GB"/>
        </w:rPr>
      </w:pPr>
    </w:p>
    <w:p w14:paraId="18520FD2" w14:textId="77777777" w:rsidR="00812E9E" w:rsidRDefault="00812E9E" w:rsidP="000A5162">
      <w:pPr>
        <w:widowControl/>
        <w:autoSpaceDE/>
        <w:autoSpaceDN/>
        <w:adjustRightInd/>
        <w:rPr>
          <w:b/>
          <w:bCs/>
          <w:lang w:val="en-GB"/>
        </w:rPr>
      </w:pPr>
    </w:p>
    <w:p w14:paraId="4FFB426E" w14:textId="5B032701" w:rsidR="00B17FF3" w:rsidRPr="0031164B" w:rsidRDefault="009F0750" w:rsidP="000A5162">
      <w:pPr>
        <w:widowControl/>
        <w:autoSpaceDE/>
        <w:autoSpaceDN/>
        <w:adjustRightInd/>
        <w:rPr>
          <w:b/>
          <w:bCs/>
          <w:lang w:val="en-GB"/>
        </w:rPr>
      </w:pPr>
      <w:r w:rsidRPr="0031164B">
        <w:rPr>
          <w:b/>
          <w:bCs/>
          <w:lang w:val="en-GB"/>
        </w:rPr>
        <w:t>Bristol-Myers Squibb spol. s r.o</w:t>
      </w:r>
    </w:p>
    <w:p w14:paraId="0DBED66A" w14:textId="77777777" w:rsidR="00B17FF3" w:rsidRPr="0031164B" w:rsidRDefault="00B17FF3" w:rsidP="000A5162">
      <w:pPr>
        <w:widowControl/>
        <w:autoSpaceDE/>
        <w:autoSpaceDN/>
        <w:adjustRightInd/>
        <w:rPr>
          <w:b/>
          <w:bCs/>
          <w:lang w:val="en-GB"/>
        </w:rPr>
      </w:pPr>
    </w:p>
    <w:p w14:paraId="25E34E34" w14:textId="77777777" w:rsidR="00B17FF3" w:rsidRPr="0031164B" w:rsidRDefault="00B17FF3" w:rsidP="000A5162">
      <w:pPr>
        <w:widowControl/>
        <w:autoSpaceDE/>
        <w:autoSpaceDN/>
        <w:adjustRightInd/>
        <w:rPr>
          <w:b/>
          <w:bCs/>
          <w:lang w:val="en-GB"/>
        </w:rPr>
      </w:pPr>
    </w:p>
    <w:tbl>
      <w:tblPr>
        <w:tblW w:w="8112" w:type="dxa"/>
        <w:tblLook w:val="04A0" w:firstRow="1" w:lastRow="0" w:firstColumn="1" w:lastColumn="0" w:noHBand="0" w:noVBand="1"/>
      </w:tblPr>
      <w:tblGrid>
        <w:gridCol w:w="1376"/>
        <w:gridCol w:w="3343"/>
        <w:gridCol w:w="3393"/>
      </w:tblGrid>
      <w:tr w:rsidR="00C32FF1" w:rsidRPr="0031164B" w14:paraId="7B5D5933" w14:textId="5A31AF5C" w:rsidTr="00C32FF1">
        <w:tc>
          <w:tcPr>
            <w:tcW w:w="900" w:type="dxa"/>
            <w:vAlign w:val="bottom"/>
            <w:hideMark/>
          </w:tcPr>
          <w:p w14:paraId="11589DB6" w14:textId="77777777" w:rsidR="00C32FF1" w:rsidRPr="0031164B" w:rsidRDefault="00C32FF1" w:rsidP="00C32FF1">
            <w:pPr>
              <w:keepNext/>
              <w:jc w:val="both"/>
              <w:rPr>
                <w:lang w:val="en-GB"/>
              </w:rPr>
            </w:pPr>
          </w:p>
          <w:p w14:paraId="0FA71CAC" w14:textId="77777777" w:rsidR="00C32FF1" w:rsidRPr="0031164B" w:rsidRDefault="00C32FF1" w:rsidP="00C32FF1">
            <w:pPr>
              <w:keepNext/>
              <w:jc w:val="both"/>
              <w:rPr>
                <w:lang w:val="en-GB"/>
              </w:rPr>
            </w:pPr>
          </w:p>
          <w:p w14:paraId="1903A5E3" w14:textId="77777777" w:rsidR="00C32FF1" w:rsidRPr="0031164B" w:rsidRDefault="00C32FF1" w:rsidP="00C32FF1">
            <w:pPr>
              <w:keepNext/>
              <w:jc w:val="both"/>
              <w:rPr>
                <w:lang w:val="en-GB"/>
              </w:rPr>
            </w:pPr>
          </w:p>
          <w:p w14:paraId="3BFFC02B" w14:textId="77777777" w:rsidR="00C32FF1" w:rsidRPr="0031164B" w:rsidRDefault="00C32FF1" w:rsidP="00C32FF1">
            <w:pPr>
              <w:keepNext/>
              <w:jc w:val="both"/>
              <w:rPr>
                <w:u w:val="single"/>
                <w:lang w:val="en-GB"/>
              </w:rPr>
            </w:pPr>
            <w:r w:rsidRPr="0031164B">
              <w:rPr>
                <w:lang w:val="en-GB"/>
              </w:rPr>
              <w:t xml:space="preserve">Podepsán/a: </w:t>
            </w:r>
          </w:p>
        </w:tc>
        <w:tc>
          <w:tcPr>
            <w:tcW w:w="3606" w:type="dxa"/>
            <w:tcBorders>
              <w:bottom w:val="single" w:sz="4" w:space="0" w:color="auto"/>
            </w:tcBorders>
            <w:vAlign w:val="bottom"/>
          </w:tcPr>
          <w:p w14:paraId="5D7C0F21" w14:textId="77777777" w:rsidR="00C32FF1" w:rsidRPr="0031164B" w:rsidRDefault="00C32FF1" w:rsidP="00C32FF1">
            <w:pPr>
              <w:keepNext/>
              <w:jc w:val="both"/>
              <w:rPr>
                <w:u w:val="single"/>
                <w:lang w:val="en-GB"/>
              </w:rPr>
            </w:pPr>
          </w:p>
        </w:tc>
        <w:tc>
          <w:tcPr>
            <w:tcW w:w="3606" w:type="dxa"/>
            <w:tcBorders>
              <w:bottom w:val="single" w:sz="4" w:space="0" w:color="auto"/>
            </w:tcBorders>
            <w:vAlign w:val="bottom"/>
          </w:tcPr>
          <w:p w14:paraId="0F948D07" w14:textId="77777777" w:rsidR="00C32FF1" w:rsidRPr="0031164B" w:rsidRDefault="00C32FF1" w:rsidP="00C32FF1">
            <w:pPr>
              <w:keepNext/>
              <w:jc w:val="both"/>
              <w:rPr>
                <w:lang w:val="en-GB"/>
              </w:rPr>
            </w:pPr>
          </w:p>
          <w:p w14:paraId="50F311E5" w14:textId="77777777" w:rsidR="00C32FF1" w:rsidRPr="0031164B" w:rsidRDefault="00C32FF1" w:rsidP="00C32FF1">
            <w:pPr>
              <w:keepNext/>
              <w:jc w:val="both"/>
              <w:rPr>
                <w:lang w:val="en-GB"/>
              </w:rPr>
            </w:pPr>
          </w:p>
          <w:p w14:paraId="18025B8E" w14:textId="77777777" w:rsidR="00C32FF1" w:rsidRPr="0031164B" w:rsidRDefault="00C32FF1" w:rsidP="00C32FF1">
            <w:pPr>
              <w:keepNext/>
              <w:jc w:val="both"/>
              <w:rPr>
                <w:lang w:val="en-GB"/>
              </w:rPr>
            </w:pPr>
          </w:p>
          <w:p w14:paraId="3F2135E3" w14:textId="2D7F1680" w:rsidR="00C32FF1" w:rsidRPr="0031164B" w:rsidRDefault="00C32FF1" w:rsidP="00C32FF1">
            <w:pPr>
              <w:widowControl/>
              <w:autoSpaceDE/>
              <w:autoSpaceDN/>
              <w:adjustRightInd/>
              <w:spacing w:after="160" w:line="259" w:lineRule="auto"/>
              <w:rPr>
                <w:lang w:val="en-GB"/>
              </w:rPr>
            </w:pPr>
            <w:r w:rsidRPr="0031164B">
              <w:rPr>
                <w:lang w:val="en-GB"/>
              </w:rPr>
              <w:t xml:space="preserve">By: </w:t>
            </w:r>
          </w:p>
        </w:tc>
      </w:tr>
      <w:tr w:rsidR="00C32FF1" w:rsidRPr="0031164B" w14:paraId="79F0DB71" w14:textId="7F8F0403" w:rsidTr="00C32FF1">
        <w:tc>
          <w:tcPr>
            <w:tcW w:w="900" w:type="dxa"/>
            <w:vAlign w:val="bottom"/>
          </w:tcPr>
          <w:p w14:paraId="4733EF2A" w14:textId="77777777" w:rsidR="00C32FF1" w:rsidRPr="0031164B" w:rsidRDefault="00C32FF1" w:rsidP="00C32FF1">
            <w:pPr>
              <w:keepNext/>
              <w:jc w:val="both"/>
              <w:rPr>
                <w:lang w:val="en-GB"/>
              </w:rPr>
            </w:pPr>
          </w:p>
          <w:p w14:paraId="2E6AFEFE" w14:textId="77777777" w:rsidR="00C32FF1" w:rsidRPr="0031164B" w:rsidRDefault="00C32FF1" w:rsidP="00C32FF1">
            <w:pPr>
              <w:keepNext/>
              <w:jc w:val="both"/>
              <w:rPr>
                <w:lang w:val="en-GB"/>
              </w:rPr>
            </w:pPr>
            <w:r w:rsidRPr="0031164B">
              <w:rPr>
                <w:lang w:val="en-GB"/>
              </w:rPr>
              <w:t xml:space="preserve">Jméno:  </w:t>
            </w:r>
          </w:p>
        </w:tc>
        <w:tc>
          <w:tcPr>
            <w:tcW w:w="3606" w:type="dxa"/>
            <w:tcBorders>
              <w:top w:val="single" w:sz="4" w:space="0" w:color="auto"/>
              <w:bottom w:val="single" w:sz="4" w:space="0" w:color="auto"/>
            </w:tcBorders>
            <w:vAlign w:val="bottom"/>
          </w:tcPr>
          <w:p w14:paraId="59C51CDB" w14:textId="77777777" w:rsidR="00C32FF1" w:rsidRPr="0031164B" w:rsidRDefault="00C32FF1" w:rsidP="00C32FF1">
            <w:pPr>
              <w:keepNext/>
              <w:jc w:val="both"/>
              <w:rPr>
                <w:u w:val="single"/>
                <w:lang w:val="en-GB"/>
              </w:rPr>
            </w:pPr>
          </w:p>
        </w:tc>
        <w:tc>
          <w:tcPr>
            <w:tcW w:w="3606" w:type="dxa"/>
            <w:tcBorders>
              <w:top w:val="single" w:sz="4" w:space="0" w:color="auto"/>
              <w:bottom w:val="single" w:sz="4" w:space="0" w:color="auto"/>
            </w:tcBorders>
            <w:vAlign w:val="bottom"/>
          </w:tcPr>
          <w:p w14:paraId="78667CE2" w14:textId="77777777" w:rsidR="00C32FF1" w:rsidRPr="0031164B" w:rsidRDefault="00C32FF1" w:rsidP="00C32FF1">
            <w:pPr>
              <w:keepNext/>
              <w:jc w:val="both"/>
              <w:rPr>
                <w:lang w:val="en-GB"/>
              </w:rPr>
            </w:pPr>
          </w:p>
          <w:p w14:paraId="2C99ED4A" w14:textId="0ED1D22E" w:rsidR="00C32FF1" w:rsidRPr="0031164B" w:rsidRDefault="00C32FF1" w:rsidP="00C32FF1">
            <w:pPr>
              <w:widowControl/>
              <w:autoSpaceDE/>
              <w:autoSpaceDN/>
              <w:adjustRightInd/>
              <w:spacing w:after="160" w:line="259" w:lineRule="auto"/>
              <w:rPr>
                <w:lang w:val="en-GB"/>
              </w:rPr>
            </w:pPr>
            <w:r w:rsidRPr="0031164B">
              <w:rPr>
                <w:lang w:val="en-GB"/>
              </w:rPr>
              <w:t xml:space="preserve">Name:  </w:t>
            </w:r>
          </w:p>
        </w:tc>
      </w:tr>
      <w:tr w:rsidR="00C32FF1" w:rsidRPr="0031164B" w14:paraId="2A4BA0E6" w14:textId="2278EDBA" w:rsidTr="00C32FF1">
        <w:tc>
          <w:tcPr>
            <w:tcW w:w="900" w:type="dxa"/>
            <w:vAlign w:val="bottom"/>
          </w:tcPr>
          <w:p w14:paraId="281F6EBF" w14:textId="77777777" w:rsidR="00C32FF1" w:rsidRPr="0031164B" w:rsidRDefault="00C32FF1" w:rsidP="00C32FF1">
            <w:pPr>
              <w:keepNext/>
              <w:jc w:val="both"/>
              <w:rPr>
                <w:lang w:val="en-GB"/>
              </w:rPr>
            </w:pPr>
          </w:p>
          <w:p w14:paraId="58E8500E" w14:textId="77777777" w:rsidR="00C32FF1" w:rsidRPr="0031164B" w:rsidRDefault="00C32FF1" w:rsidP="00C32FF1">
            <w:pPr>
              <w:keepNext/>
              <w:jc w:val="both"/>
              <w:rPr>
                <w:lang w:val="en-GB"/>
              </w:rPr>
            </w:pPr>
            <w:r w:rsidRPr="0031164B">
              <w:rPr>
                <w:lang w:val="en-GB"/>
              </w:rPr>
              <w:t>Pozice:</w:t>
            </w:r>
          </w:p>
        </w:tc>
        <w:tc>
          <w:tcPr>
            <w:tcW w:w="3606" w:type="dxa"/>
            <w:tcBorders>
              <w:top w:val="single" w:sz="4" w:space="0" w:color="auto"/>
              <w:bottom w:val="single" w:sz="4" w:space="0" w:color="auto"/>
            </w:tcBorders>
            <w:vAlign w:val="bottom"/>
          </w:tcPr>
          <w:p w14:paraId="63540B8A" w14:textId="77777777" w:rsidR="00C32FF1" w:rsidRPr="0031164B" w:rsidRDefault="00C32FF1" w:rsidP="00C32FF1">
            <w:pPr>
              <w:keepNext/>
              <w:jc w:val="both"/>
              <w:rPr>
                <w:u w:val="single"/>
                <w:lang w:val="en-GB"/>
              </w:rPr>
            </w:pPr>
          </w:p>
        </w:tc>
        <w:tc>
          <w:tcPr>
            <w:tcW w:w="3606" w:type="dxa"/>
            <w:tcBorders>
              <w:top w:val="single" w:sz="4" w:space="0" w:color="auto"/>
              <w:bottom w:val="single" w:sz="4" w:space="0" w:color="auto"/>
            </w:tcBorders>
            <w:vAlign w:val="bottom"/>
          </w:tcPr>
          <w:p w14:paraId="1CB765C4" w14:textId="77777777" w:rsidR="00C32FF1" w:rsidRPr="0031164B" w:rsidRDefault="00C32FF1" w:rsidP="00C32FF1">
            <w:pPr>
              <w:keepNext/>
              <w:jc w:val="both"/>
              <w:rPr>
                <w:lang w:val="en-GB"/>
              </w:rPr>
            </w:pPr>
          </w:p>
          <w:p w14:paraId="1444C932" w14:textId="42C7D6B6" w:rsidR="00C32FF1" w:rsidRPr="0031164B" w:rsidRDefault="00C32FF1" w:rsidP="00C32FF1">
            <w:pPr>
              <w:widowControl/>
              <w:autoSpaceDE/>
              <w:autoSpaceDN/>
              <w:adjustRightInd/>
              <w:spacing w:after="160" w:line="259" w:lineRule="auto"/>
              <w:rPr>
                <w:lang w:val="en-GB"/>
              </w:rPr>
            </w:pPr>
            <w:r w:rsidRPr="0031164B">
              <w:rPr>
                <w:lang w:val="en-GB"/>
              </w:rPr>
              <w:t>Title:</w:t>
            </w:r>
          </w:p>
        </w:tc>
      </w:tr>
      <w:tr w:rsidR="00C32FF1" w:rsidRPr="0031164B" w14:paraId="344EC4A8" w14:textId="0784DB0A" w:rsidTr="00C32FF1">
        <w:tc>
          <w:tcPr>
            <w:tcW w:w="900" w:type="dxa"/>
            <w:vAlign w:val="bottom"/>
          </w:tcPr>
          <w:p w14:paraId="32686362" w14:textId="77777777" w:rsidR="00C32FF1" w:rsidRPr="0031164B" w:rsidRDefault="00C32FF1" w:rsidP="00C32FF1">
            <w:pPr>
              <w:keepNext/>
              <w:jc w:val="both"/>
              <w:rPr>
                <w:lang w:val="en-GB"/>
              </w:rPr>
            </w:pPr>
          </w:p>
          <w:p w14:paraId="69B9798C" w14:textId="77777777" w:rsidR="00C32FF1" w:rsidRPr="0031164B" w:rsidRDefault="00C32FF1" w:rsidP="00C32FF1">
            <w:pPr>
              <w:keepNext/>
              <w:jc w:val="both"/>
              <w:rPr>
                <w:lang w:val="en-GB"/>
              </w:rPr>
            </w:pPr>
            <w:r w:rsidRPr="0031164B">
              <w:rPr>
                <w:lang w:val="en-GB"/>
              </w:rPr>
              <w:t>Datum:</w:t>
            </w:r>
          </w:p>
        </w:tc>
        <w:tc>
          <w:tcPr>
            <w:tcW w:w="3606" w:type="dxa"/>
            <w:tcBorders>
              <w:top w:val="single" w:sz="4" w:space="0" w:color="auto"/>
              <w:bottom w:val="single" w:sz="4" w:space="0" w:color="auto"/>
            </w:tcBorders>
            <w:vAlign w:val="bottom"/>
          </w:tcPr>
          <w:p w14:paraId="0B78CCA0" w14:textId="77777777" w:rsidR="00C32FF1" w:rsidRPr="0031164B" w:rsidRDefault="00C32FF1" w:rsidP="00C32FF1">
            <w:pPr>
              <w:keepNext/>
              <w:jc w:val="both"/>
              <w:rPr>
                <w:u w:val="single"/>
                <w:lang w:val="en-GB"/>
              </w:rPr>
            </w:pPr>
          </w:p>
        </w:tc>
        <w:tc>
          <w:tcPr>
            <w:tcW w:w="3606" w:type="dxa"/>
            <w:tcBorders>
              <w:top w:val="single" w:sz="4" w:space="0" w:color="auto"/>
              <w:bottom w:val="single" w:sz="4" w:space="0" w:color="auto"/>
            </w:tcBorders>
            <w:vAlign w:val="bottom"/>
          </w:tcPr>
          <w:p w14:paraId="357BC17A" w14:textId="77777777" w:rsidR="00C32FF1" w:rsidRPr="0031164B" w:rsidRDefault="00C32FF1" w:rsidP="00C32FF1">
            <w:pPr>
              <w:keepNext/>
              <w:jc w:val="both"/>
              <w:rPr>
                <w:lang w:val="en-GB"/>
              </w:rPr>
            </w:pPr>
          </w:p>
          <w:p w14:paraId="0ED3B6B9" w14:textId="67BA4766" w:rsidR="00C32FF1" w:rsidRPr="0031164B" w:rsidRDefault="00C32FF1" w:rsidP="00C32FF1">
            <w:pPr>
              <w:widowControl/>
              <w:autoSpaceDE/>
              <w:autoSpaceDN/>
              <w:adjustRightInd/>
              <w:spacing w:after="160" w:line="259" w:lineRule="auto"/>
              <w:rPr>
                <w:lang w:val="en-GB"/>
              </w:rPr>
            </w:pPr>
            <w:r w:rsidRPr="0031164B">
              <w:rPr>
                <w:lang w:val="en-GB"/>
              </w:rPr>
              <w:t>Date:</w:t>
            </w:r>
          </w:p>
        </w:tc>
      </w:tr>
    </w:tbl>
    <w:p w14:paraId="63E34C7A" w14:textId="09910797" w:rsidR="00B17FF3" w:rsidRPr="0031164B" w:rsidRDefault="00B17FF3" w:rsidP="000A5162">
      <w:pPr>
        <w:widowControl/>
        <w:autoSpaceDE/>
        <w:autoSpaceDN/>
        <w:adjustRightInd/>
        <w:rPr>
          <w:lang w:val="en-GB"/>
        </w:rPr>
        <w:sectPr w:rsidR="00B17FF3" w:rsidRPr="0031164B">
          <w:footerReference w:type="default" r:id="rId13"/>
          <w:pgSz w:w="12240" w:h="15840"/>
          <w:pgMar w:top="1440" w:right="1440" w:bottom="1440" w:left="1440" w:header="720" w:footer="720" w:gutter="0"/>
          <w:cols w:space="720"/>
        </w:sect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2FF1" w:rsidRPr="0031164B" w14:paraId="38B79749" w14:textId="77C35D74" w:rsidTr="00186A79">
        <w:tc>
          <w:tcPr>
            <w:tcW w:w="2500" w:type="pct"/>
          </w:tcPr>
          <w:p w14:paraId="5BE69A3A" w14:textId="77777777" w:rsidR="00C32FF1" w:rsidRPr="0031164B" w:rsidRDefault="00C32FF1" w:rsidP="00C32FF1">
            <w:pPr>
              <w:widowControl/>
              <w:adjustRightInd/>
              <w:jc w:val="center"/>
              <w:rPr>
                <w:b/>
                <w:u w:val="single"/>
                <w:lang w:val="en-GB"/>
              </w:rPr>
            </w:pPr>
            <w:r w:rsidRPr="0031164B">
              <w:rPr>
                <w:b/>
                <w:u w:val="single"/>
                <w:lang w:val="en-GB"/>
              </w:rPr>
              <w:lastRenderedPageBreak/>
              <w:t>PŘÍLOHA A</w:t>
            </w:r>
          </w:p>
        </w:tc>
        <w:tc>
          <w:tcPr>
            <w:tcW w:w="2500" w:type="pct"/>
            <w:vAlign w:val="center"/>
          </w:tcPr>
          <w:p w14:paraId="1CE517F0" w14:textId="1BD42223" w:rsidR="00C32FF1" w:rsidRPr="0031164B" w:rsidRDefault="00C32FF1" w:rsidP="00C32FF1">
            <w:pPr>
              <w:widowControl/>
              <w:autoSpaceDE/>
              <w:autoSpaceDN/>
              <w:adjustRightInd/>
              <w:spacing w:after="160" w:line="259" w:lineRule="auto"/>
              <w:jc w:val="center"/>
              <w:rPr>
                <w:b/>
                <w:u w:val="single"/>
                <w:lang w:val="en-GB"/>
              </w:rPr>
            </w:pPr>
            <w:r w:rsidRPr="0031164B">
              <w:rPr>
                <w:b/>
                <w:u w:val="single"/>
                <w:lang w:val="en-GB"/>
              </w:rPr>
              <w:t>ATTACHMENT A</w:t>
            </w:r>
          </w:p>
        </w:tc>
      </w:tr>
      <w:tr w:rsidR="00C32FF1" w:rsidRPr="0031164B" w14:paraId="34C63E54" w14:textId="342E6B49" w:rsidTr="00186A79">
        <w:tc>
          <w:tcPr>
            <w:tcW w:w="2500" w:type="pct"/>
          </w:tcPr>
          <w:p w14:paraId="76339ACA" w14:textId="77777777" w:rsidR="00C32FF1" w:rsidRPr="0031164B" w:rsidRDefault="00C32FF1" w:rsidP="00C32FF1">
            <w:pPr>
              <w:widowControl/>
              <w:adjustRightInd/>
              <w:jc w:val="center"/>
              <w:rPr>
                <w:b/>
                <w:lang w:val="en-GB"/>
              </w:rPr>
            </w:pPr>
          </w:p>
        </w:tc>
        <w:tc>
          <w:tcPr>
            <w:tcW w:w="2500" w:type="pct"/>
            <w:vAlign w:val="center"/>
          </w:tcPr>
          <w:p w14:paraId="73D6AFCD" w14:textId="77777777" w:rsidR="00C32FF1" w:rsidRPr="0031164B" w:rsidRDefault="00C32FF1" w:rsidP="00C32FF1">
            <w:pPr>
              <w:widowControl/>
              <w:autoSpaceDE/>
              <w:autoSpaceDN/>
              <w:adjustRightInd/>
              <w:spacing w:after="160" w:line="259" w:lineRule="auto"/>
              <w:jc w:val="center"/>
              <w:rPr>
                <w:b/>
                <w:lang w:val="en-GB"/>
              </w:rPr>
            </w:pPr>
          </w:p>
        </w:tc>
      </w:tr>
      <w:tr w:rsidR="00C32FF1" w:rsidRPr="0031164B" w14:paraId="482E09AD" w14:textId="0E2334FA" w:rsidTr="00186A79">
        <w:tc>
          <w:tcPr>
            <w:tcW w:w="2500" w:type="pct"/>
          </w:tcPr>
          <w:p w14:paraId="3451FB9A" w14:textId="77777777" w:rsidR="00C32FF1" w:rsidRPr="001314E7" w:rsidRDefault="00C32FF1" w:rsidP="00C32FF1">
            <w:pPr>
              <w:widowControl/>
              <w:adjustRightInd/>
              <w:jc w:val="center"/>
              <w:rPr>
                <w:b/>
              </w:rPr>
            </w:pPr>
            <w:r w:rsidRPr="001314E7">
              <w:rPr>
                <w:b/>
              </w:rPr>
              <w:t xml:space="preserve">Prohlášení o pracovní činnosti pro služby aferézy </w:t>
            </w:r>
          </w:p>
        </w:tc>
        <w:tc>
          <w:tcPr>
            <w:tcW w:w="2500" w:type="pct"/>
            <w:vAlign w:val="center"/>
          </w:tcPr>
          <w:p w14:paraId="77B404B4" w14:textId="4C84A6E0" w:rsidR="00C32FF1" w:rsidRPr="0031164B" w:rsidRDefault="00C32FF1" w:rsidP="00C32FF1">
            <w:pPr>
              <w:widowControl/>
              <w:autoSpaceDE/>
              <w:autoSpaceDN/>
              <w:adjustRightInd/>
              <w:spacing w:after="160" w:line="259" w:lineRule="auto"/>
              <w:jc w:val="center"/>
              <w:rPr>
                <w:b/>
                <w:lang w:val="en-GB"/>
              </w:rPr>
            </w:pPr>
            <w:r w:rsidRPr="0031164B">
              <w:rPr>
                <w:b/>
                <w:lang w:val="en-GB"/>
              </w:rPr>
              <w:t>Statement of Work for Apheresis Services</w:t>
            </w:r>
          </w:p>
        </w:tc>
      </w:tr>
      <w:tr w:rsidR="00C32FF1" w:rsidRPr="0031164B" w14:paraId="1C1D1193" w14:textId="4440F0B1" w:rsidTr="00186A79">
        <w:tc>
          <w:tcPr>
            <w:tcW w:w="2500" w:type="pct"/>
          </w:tcPr>
          <w:p w14:paraId="29361DAC" w14:textId="77777777" w:rsidR="00C32FF1" w:rsidRPr="0031164B" w:rsidRDefault="00C32FF1" w:rsidP="00C32FF1">
            <w:pPr>
              <w:widowControl/>
              <w:adjustRightInd/>
              <w:jc w:val="center"/>
              <w:rPr>
                <w:b/>
                <w:lang w:val="en-GB"/>
              </w:rPr>
            </w:pPr>
          </w:p>
        </w:tc>
        <w:tc>
          <w:tcPr>
            <w:tcW w:w="2500" w:type="pct"/>
            <w:vAlign w:val="center"/>
          </w:tcPr>
          <w:p w14:paraId="0A5E88E0" w14:textId="77777777" w:rsidR="00C32FF1" w:rsidRPr="0031164B" w:rsidRDefault="00C32FF1" w:rsidP="00C32FF1">
            <w:pPr>
              <w:widowControl/>
              <w:autoSpaceDE/>
              <w:autoSpaceDN/>
              <w:adjustRightInd/>
              <w:spacing w:after="160" w:line="259" w:lineRule="auto"/>
              <w:jc w:val="center"/>
              <w:rPr>
                <w:b/>
                <w:lang w:val="en-GB"/>
              </w:rPr>
            </w:pPr>
          </w:p>
        </w:tc>
      </w:tr>
      <w:tr w:rsidR="00C32FF1" w:rsidRPr="0031164B" w14:paraId="56F826B3" w14:textId="67B5B34B" w:rsidTr="00186A79">
        <w:tc>
          <w:tcPr>
            <w:tcW w:w="2500" w:type="pct"/>
          </w:tcPr>
          <w:p w14:paraId="2237EFD3" w14:textId="6E61FD63" w:rsidR="00C32FF1" w:rsidRPr="0031164B" w:rsidRDefault="00C32FF1" w:rsidP="00C32FF1">
            <w:pPr>
              <w:widowControl/>
              <w:autoSpaceDE/>
              <w:adjustRightInd/>
              <w:spacing w:line="264" w:lineRule="auto"/>
              <w:jc w:val="center"/>
              <w:rPr>
                <w:rFonts w:eastAsia="SimSun"/>
                <w:b/>
                <w:u w:val="single"/>
                <w:lang w:val="en-GB"/>
              </w:rPr>
            </w:pPr>
            <w:r w:rsidRPr="0031164B">
              <w:rPr>
                <w:b/>
                <w:lang w:val="en-GB"/>
              </w:rPr>
              <w:t xml:space="preserve">PROHLÁŠENÍ O PRACOVNÍ ČINNOSTI # </w:t>
            </w:r>
            <w:r w:rsidR="00AE7766">
              <w:rPr>
                <w:b/>
                <w:u w:val="single"/>
                <w:lang w:val="en-GB"/>
              </w:rPr>
              <w:t>1</w:t>
            </w:r>
          </w:p>
        </w:tc>
        <w:tc>
          <w:tcPr>
            <w:tcW w:w="2500" w:type="pct"/>
            <w:vAlign w:val="center"/>
          </w:tcPr>
          <w:p w14:paraId="40AC2DBF" w14:textId="40FAA0C8" w:rsidR="00C32FF1" w:rsidRPr="0031164B" w:rsidRDefault="00C32FF1" w:rsidP="00C32FF1">
            <w:pPr>
              <w:widowControl/>
              <w:autoSpaceDE/>
              <w:autoSpaceDN/>
              <w:adjustRightInd/>
              <w:spacing w:after="160" w:line="259" w:lineRule="auto"/>
              <w:jc w:val="center"/>
              <w:rPr>
                <w:rFonts w:eastAsia="SimSun"/>
                <w:b/>
                <w:u w:val="single"/>
                <w:lang w:val="en-GB"/>
              </w:rPr>
            </w:pPr>
            <w:r w:rsidRPr="0031164B">
              <w:rPr>
                <w:b/>
                <w:lang w:val="en-GB" w:eastAsia="en-US"/>
              </w:rPr>
              <w:t xml:space="preserve">STATEMENT OF WORK # </w:t>
            </w:r>
            <w:r w:rsidR="00AE7766">
              <w:rPr>
                <w:b/>
                <w:u w:val="single"/>
                <w:lang w:val="en-GB" w:eastAsia="en-US"/>
              </w:rPr>
              <w:t>1</w:t>
            </w:r>
          </w:p>
        </w:tc>
      </w:tr>
      <w:tr w:rsidR="00C32FF1" w:rsidRPr="0031164B" w14:paraId="3678C07D" w14:textId="1714DD4C" w:rsidTr="00186A79">
        <w:tc>
          <w:tcPr>
            <w:tcW w:w="2500" w:type="pct"/>
          </w:tcPr>
          <w:p w14:paraId="08F191F3" w14:textId="77777777" w:rsidR="00C32FF1" w:rsidRPr="0031164B" w:rsidRDefault="00C32FF1" w:rsidP="00C32FF1">
            <w:pPr>
              <w:widowControl/>
              <w:autoSpaceDE/>
              <w:adjustRightInd/>
              <w:spacing w:line="264" w:lineRule="auto"/>
              <w:jc w:val="center"/>
              <w:rPr>
                <w:rFonts w:eastAsia="SimSun"/>
                <w:b/>
                <w:u w:val="single"/>
                <w:lang w:val="en-GB" w:eastAsia="en-US"/>
              </w:rPr>
            </w:pPr>
          </w:p>
        </w:tc>
        <w:tc>
          <w:tcPr>
            <w:tcW w:w="2500" w:type="pct"/>
          </w:tcPr>
          <w:p w14:paraId="167A7C69" w14:textId="77777777" w:rsidR="00C32FF1" w:rsidRPr="0031164B" w:rsidRDefault="00C32FF1" w:rsidP="00C32FF1">
            <w:pPr>
              <w:widowControl/>
              <w:autoSpaceDE/>
              <w:autoSpaceDN/>
              <w:adjustRightInd/>
              <w:spacing w:after="160" w:line="259" w:lineRule="auto"/>
              <w:rPr>
                <w:rFonts w:eastAsia="SimSun"/>
                <w:b/>
                <w:u w:val="single"/>
                <w:lang w:val="en-GB" w:eastAsia="en-US"/>
              </w:rPr>
            </w:pPr>
          </w:p>
        </w:tc>
      </w:tr>
      <w:tr w:rsidR="00C32FF1" w:rsidRPr="0031164B" w14:paraId="4FAC9063" w14:textId="74038CC7" w:rsidTr="00186A79">
        <w:tc>
          <w:tcPr>
            <w:tcW w:w="2500" w:type="pct"/>
          </w:tcPr>
          <w:p w14:paraId="517D5181" w14:textId="542F9D2E" w:rsidR="00C32FF1" w:rsidRPr="001314E7" w:rsidRDefault="00C32FF1" w:rsidP="00783A40">
            <w:pPr>
              <w:widowControl/>
              <w:autoSpaceDE/>
              <w:adjustRightInd/>
              <w:spacing w:line="264" w:lineRule="auto"/>
              <w:jc w:val="both"/>
              <w:rPr>
                <w:rFonts w:eastAsia="SimSun"/>
              </w:rPr>
            </w:pPr>
            <w:r w:rsidRPr="001314E7">
              <w:t xml:space="preserve">Toto </w:t>
            </w:r>
            <w:r w:rsidRPr="001314E7">
              <w:rPr>
                <w:b/>
              </w:rPr>
              <w:t>prohlášení o pracovní činnosti</w:t>
            </w:r>
            <w:r w:rsidRPr="001314E7">
              <w:t xml:space="preserve"> č. </w:t>
            </w:r>
            <w:r w:rsidR="00AE7766">
              <w:t>1</w:t>
            </w:r>
            <w:r w:rsidR="00AE7766" w:rsidRPr="001314E7">
              <w:t xml:space="preserve"> </w:t>
            </w:r>
            <w:r w:rsidRPr="001314E7">
              <w:t>(dále jen „</w:t>
            </w:r>
            <w:r w:rsidRPr="001314E7">
              <w:rPr>
                <w:b/>
              </w:rPr>
              <w:t>prohlášení</w:t>
            </w:r>
            <w:r w:rsidRPr="001314E7">
              <w:t xml:space="preserve">“) </w:t>
            </w:r>
            <w:r w:rsidR="00783A40">
              <w:t>nabývá platnosti podpisem obou smluvních stran a účinnosti nejdříve dnem zveřejnění v registru smluv dle zákona č. 340/2015 Sb., o registru smluv</w:t>
            </w:r>
            <w:bookmarkStart w:id="272" w:name="_Hlk13432368"/>
            <w:r w:rsidRPr="001314E7">
              <w:t xml:space="preserve"> (dále jen „</w:t>
            </w:r>
            <w:r w:rsidRPr="001314E7">
              <w:rPr>
                <w:b/>
              </w:rPr>
              <w:t>den účinnosti prohlášení</w:t>
            </w:r>
            <w:r w:rsidRPr="001314E7">
              <w:t xml:space="preserve">“) mezi společností </w:t>
            </w:r>
            <w:r w:rsidRPr="001314E7">
              <w:rPr>
                <w:b/>
                <w:bCs/>
              </w:rPr>
              <w:t>Celgene International Sàrl</w:t>
            </w:r>
            <w:r w:rsidRPr="001314E7">
              <w:t>, se sídlem 1 Route de Perreux, 2017 Boudry, Švýcarsko, dceřinou společností ve stoprocentním vlastnictví společnosti Bristol-Myers Squibb Company (dále jen „</w:t>
            </w:r>
            <w:r w:rsidRPr="001314E7">
              <w:rPr>
                <w:b/>
                <w:bCs/>
                <w:sz w:val="22"/>
                <w:szCs w:val="22"/>
              </w:rPr>
              <w:t>BMS</w:t>
            </w:r>
            <w:r w:rsidRPr="001314E7">
              <w:t xml:space="preserve">““), a </w:t>
            </w:r>
            <w:r w:rsidR="00595EB2">
              <w:rPr>
                <w:b/>
                <w:bCs/>
              </w:rPr>
              <w:t xml:space="preserve">Fakultní </w:t>
            </w:r>
            <w:r w:rsidR="00DC4829">
              <w:rPr>
                <w:b/>
                <w:bCs/>
              </w:rPr>
              <w:t xml:space="preserve">nemocnice </w:t>
            </w:r>
            <w:r w:rsidR="003712B7">
              <w:rPr>
                <w:b/>
                <w:bCs/>
              </w:rPr>
              <w:t>Plzeň</w:t>
            </w:r>
            <w:r w:rsidR="00651781" w:rsidRPr="00651781">
              <w:t xml:space="preserve">, se sídlem na adrese </w:t>
            </w:r>
            <w:r w:rsidR="003712B7">
              <w:t xml:space="preserve">Edvarda Beneše </w:t>
            </w:r>
            <w:r w:rsidR="001E3444">
              <w:t>1128/13</w:t>
            </w:r>
            <w:r w:rsidR="000A4A22">
              <w:t>, 301 00 Plzeň</w:t>
            </w:r>
            <w:r w:rsidR="00651781" w:rsidRPr="00651781">
              <w:t xml:space="preserve">, Česká republika (dále jen </w:t>
            </w:r>
            <w:r w:rsidR="00651781" w:rsidRPr="00872033">
              <w:rPr>
                <w:b/>
                <w:bCs/>
              </w:rPr>
              <w:t>„Centrum“</w:t>
            </w:r>
            <w:r w:rsidR="00651781" w:rsidRPr="00651781">
              <w:t xml:space="preserve">).  Společnost BMS a Centrum mohou být v tomto dokumentu označovány jednotlivě jako </w:t>
            </w:r>
            <w:r w:rsidR="00651781" w:rsidRPr="00872033">
              <w:rPr>
                <w:b/>
                <w:bCs/>
              </w:rPr>
              <w:t>„smluvní strana nebo strana“</w:t>
            </w:r>
            <w:r w:rsidR="00651781" w:rsidRPr="00651781">
              <w:t xml:space="preserve"> a společně jako </w:t>
            </w:r>
            <w:r w:rsidR="00651781" w:rsidRPr="00872033">
              <w:rPr>
                <w:b/>
                <w:bCs/>
              </w:rPr>
              <w:t>„smluvní strany nebo strany“</w:t>
            </w:r>
            <w:r w:rsidR="00651781" w:rsidRPr="00651781">
              <w:t>.</w:t>
            </w:r>
          </w:p>
        </w:tc>
        <w:tc>
          <w:tcPr>
            <w:tcW w:w="2500" w:type="pct"/>
          </w:tcPr>
          <w:p w14:paraId="473C96D1" w14:textId="68F579AA" w:rsidR="00C32FF1" w:rsidRPr="0031164B" w:rsidRDefault="00C32FF1" w:rsidP="00D81229">
            <w:pPr>
              <w:widowControl/>
              <w:autoSpaceDE/>
              <w:autoSpaceDN/>
              <w:adjustRightInd/>
              <w:spacing w:after="160" w:line="259" w:lineRule="auto"/>
              <w:jc w:val="both"/>
              <w:rPr>
                <w:rFonts w:eastAsia="SimSun"/>
                <w:lang w:val="en-GB"/>
              </w:rPr>
            </w:pPr>
            <w:r w:rsidRPr="0031164B">
              <w:rPr>
                <w:lang w:val="en-GB" w:eastAsia="en-US"/>
              </w:rPr>
              <w:t xml:space="preserve">This </w:t>
            </w:r>
            <w:r w:rsidRPr="0031164B">
              <w:rPr>
                <w:b/>
                <w:lang w:val="en-GB" w:eastAsia="en-US"/>
              </w:rPr>
              <w:t xml:space="preserve">Statement of Work # </w:t>
            </w:r>
            <w:r w:rsidR="00AE7766">
              <w:rPr>
                <w:b/>
                <w:lang w:val="en-GB" w:eastAsia="en-US"/>
              </w:rPr>
              <w:t>1</w:t>
            </w:r>
            <w:r w:rsidR="00AE7766" w:rsidRPr="0031164B">
              <w:rPr>
                <w:b/>
                <w:lang w:val="en-GB" w:eastAsia="en-US"/>
              </w:rPr>
              <w:t xml:space="preserve"> </w:t>
            </w:r>
            <w:r w:rsidRPr="0031164B">
              <w:rPr>
                <w:lang w:val="en-GB" w:eastAsia="en-US"/>
              </w:rPr>
              <w:t>(hereinafter, “</w:t>
            </w:r>
            <w:r w:rsidRPr="0031164B">
              <w:rPr>
                <w:b/>
                <w:lang w:val="en-GB" w:eastAsia="en-US"/>
              </w:rPr>
              <w:t>SOW</w:t>
            </w:r>
            <w:r w:rsidRPr="0031164B">
              <w:rPr>
                <w:lang w:val="en-GB" w:eastAsia="en-US"/>
              </w:rPr>
              <w:t xml:space="preserve">”), </w:t>
            </w:r>
            <w:r w:rsidR="00525A12" w:rsidRPr="00525A12">
              <w:rPr>
                <w:lang w:val="en-GB" w:eastAsia="en-US"/>
              </w:rPr>
              <w:t>becomes valid upon the signature of both contracting parties and takes effect no earlier than the day it is published in the contract register in accordance with Act No.</w:t>
            </w:r>
            <w:r w:rsidR="00D81229">
              <w:rPr>
                <w:lang w:val="en-GB" w:eastAsia="en-US"/>
              </w:rPr>
              <w:t xml:space="preserve"> </w:t>
            </w:r>
            <w:r w:rsidR="00525A12" w:rsidRPr="00525A12">
              <w:rPr>
                <w:lang w:val="en-GB" w:eastAsia="en-US"/>
              </w:rPr>
              <w:t xml:space="preserve">340/2015 Coll., on the contract register. </w:t>
            </w:r>
            <w:r w:rsidRPr="0031164B">
              <w:rPr>
                <w:lang w:val="en-GB" w:eastAsia="en-US"/>
              </w:rPr>
              <w:t>(the “</w:t>
            </w:r>
            <w:r w:rsidRPr="0031164B">
              <w:rPr>
                <w:b/>
                <w:lang w:val="en-GB" w:eastAsia="en-US"/>
              </w:rPr>
              <w:t>SOW Effective Date</w:t>
            </w:r>
            <w:r w:rsidRPr="0031164B">
              <w:rPr>
                <w:lang w:val="en-GB" w:eastAsia="en-US"/>
              </w:rPr>
              <w:t xml:space="preserve">”), between </w:t>
            </w:r>
            <w:r w:rsidRPr="0031164B">
              <w:rPr>
                <w:b/>
                <w:bCs/>
                <w:lang w:val="en-GB" w:eastAsia="en-US"/>
              </w:rPr>
              <w:t>Celgene International Sàrl</w:t>
            </w:r>
            <w:r w:rsidRPr="0031164B">
              <w:rPr>
                <w:lang w:val="en-GB" w:eastAsia="en-US"/>
              </w:rPr>
              <w:t xml:space="preserve">, located at 1 Route de Perreux, 2017 Boudry, Switzerland, </w:t>
            </w:r>
            <w:r w:rsidRPr="0031164B">
              <w:rPr>
                <w:lang w:val="en-GB"/>
              </w:rPr>
              <w:t xml:space="preserve">a wholly owned subsidiary of Bristol-Myers Squibb Company </w:t>
            </w:r>
            <w:r w:rsidRPr="0031164B">
              <w:rPr>
                <w:lang w:val="en-GB" w:eastAsia="en-US"/>
              </w:rPr>
              <w:t>(“</w:t>
            </w:r>
            <w:r w:rsidRPr="0031164B">
              <w:rPr>
                <w:b/>
                <w:bCs/>
                <w:sz w:val="22"/>
                <w:szCs w:val="22"/>
                <w:lang w:val="en-GB"/>
              </w:rPr>
              <w:t>BMS</w:t>
            </w:r>
            <w:r w:rsidRPr="0031164B">
              <w:rPr>
                <w:lang w:val="en-GB" w:eastAsia="en-US"/>
              </w:rPr>
              <w:t xml:space="preserve">”) and </w:t>
            </w:r>
            <w:r w:rsidR="00194FE8">
              <w:rPr>
                <w:b/>
                <w:bCs/>
                <w:lang w:val="en-GB" w:eastAsia="en-US"/>
              </w:rPr>
              <w:t xml:space="preserve">Fakultni nemocnice </w:t>
            </w:r>
            <w:r w:rsidR="00462FD5">
              <w:rPr>
                <w:b/>
                <w:bCs/>
                <w:lang w:val="en-GB" w:eastAsia="en-US"/>
              </w:rPr>
              <w:t>Plzen</w:t>
            </w:r>
            <w:r w:rsidR="00E114E7" w:rsidRPr="00E114E7">
              <w:rPr>
                <w:lang w:val="en-GB" w:eastAsia="en-US"/>
              </w:rPr>
              <w:t xml:space="preserve">, located at </w:t>
            </w:r>
            <w:r w:rsidR="00462FD5">
              <w:rPr>
                <w:lang w:val="en-GB" w:eastAsia="en-US"/>
              </w:rPr>
              <w:t>Edvarda Benese 1128/13, 301 00 Pl</w:t>
            </w:r>
            <w:r w:rsidR="009A6CD9">
              <w:rPr>
                <w:lang w:val="en-GB" w:eastAsia="en-US"/>
              </w:rPr>
              <w:t>zen</w:t>
            </w:r>
            <w:r w:rsidR="00E114E7" w:rsidRPr="00E114E7">
              <w:rPr>
                <w:lang w:val="en-GB" w:eastAsia="en-US"/>
              </w:rPr>
              <w:t xml:space="preserve">, Czech Republic </w:t>
            </w:r>
            <w:r w:rsidR="00E114E7" w:rsidRPr="00872033">
              <w:rPr>
                <w:b/>
                <w:bCs/>
                <w:lang w:val="en-GB" w:eastAsia="en-US"/>
              </w:rPr>
              <w:t>(“Center”</w:t>
            </w:r>
            <w:r w:rsidR="00E114E7" w:rsidRPr="00E114E7">
              <w:rPr>
                <w:lang w:val="en-GB" w:eastAsia="en-US"/>
              </w:rPr>
              <w:t xml:space="preserve">).  BMS and Center may be referred to herein individually as a </w:t>
            </w:r>
            <w:r w:rsidR="00E114E7" w:rsidRPr="00872033">
              <w:rPr>
                <w:b/>
                <w:bCs/>
                <w:lang w:val="en-GB" w:eastAsia="en-US"/>
              </w:rPr>
              <w:t>“Party”</w:t>
            </w:r>
            <w:r w:rsidR="00E114E7" w:rsidRPr="00E114E7">
              <w:rPr>
                <w:lang w:val="en-GB" w:eastAsia="en-US"/>
              </w:rPr>
              <w:t xml:space="preserve"> and collectively as the </w:t>
            </w:r>
            <w:r w:rsidR="00E114E7" w:rsidRPr="00872033">
              <w:rPr>
                <w:b/>
                <w:bCs/>
                <w:lang w:val="en-GB" w:eastAsia="en-US"/>
              </w:rPr>
              <w:t>“Parties.”</w:t>
            </w:r>
          </w:p>
        </w:tc>
      </w:tr>
      <w:tr w:rsidR="00C32FF1" w:rsidRPr="0031164B" w14:paraId="77123BB5" w14:textId="1E267C03" w:rsidTr="00186A79">
        <w:tc>
          <w:tcPr>
            <w:tcW w:w="2500" w:type="pct"/>
          </w:tcPr>
          <w:p w14:paraId="2A2C0D98" w14:textId="77777777" w:rsidR="00C32FF1" w:rsidRPr="0031164B" w:rsidRDefault="00C32FF1" w:rsidP="00C32FF1">
            <w:pPr>
              <w:widowControl/>
              <w:autoSpaceDE/>
              <w:adjustRightInd/>
              <w:spacing w:line="264" w:lineRule="auto"/>
              <w:jc w:val="both"/>
              <w:rPr>
                <w:rFonts w:eastAsia="SimSun"/>
                <w:lang w:val="en-GB" w:eastAsia="en-US"/>
              </w:rPr>
            </w:pPr>
          </w:p>
        </w:tc>
        <w:tc>
          <w:tcPr>
            <w:tcW w:w="2500" w:type="pct"/>
          </w:tcPr>
          <w:p w14:paraId="4570460C" w14:textId="77777777" w:rsidR="00C32FF1" w:rsidRPr="0031164B" w:rsidRDefault="00C32FF1" w:rsidP="00F35BB8">
            <w:pPr>
              <w:widowControl/>
              <w:autoSpaceDE/>
              <w:autoSpaceDN/>
              <w:adjustRightInd/>
              <w:spacing w:after="160" w:line="259" w:lineRule="auto"/>
              <w:jc w:val="both"/>
              <w:rPr>
                <w:rFonts w:eastAsia="SimSun"/>
                <w:lang w:val="en-GB" w:eastAsia="en-US"/>
              </w:rPr>
            </w:pPr>
          </w:p>
        </w:tc>
      </w:tr>
      <w:tr w:rsidR="00C32FF1" w:rsidRPr="0031164B" w14:paraId="6685D001" w14:textId="7F3C14B8" w:rsidTr="00186A79">
        <w:tc>
          <w:tcPr>
            <w:tcW w:w="2500" w:type="pct"/>
          </w:tcPr>
          <w:p w14:paraId="11899780" w14:textId="56342228" w:rsidR="00C32FF1" w:rsidRPr="001314E7" w:rsidRDefault="00C32FF1" w:rsidP="00C32FF1">
            <w:pPr>
              <w:widowControl/>
              <w:jc w:val="both"/>
              <w:rPr>
                <w:rFonts w:eastAsia="SimSun"/>
              </w:rPr>
            </w:pPr>
            <w:r w:rsidRPr="001314E7">
              <w:rPr>
                <w:b/>
              </w:rPr>
              <w:t>VZHLEDEM K TOMU</w:t>
            </w:r>
            <w:r w:rsidRPr="001314E7">
              <w:t xml:space="preserve">, že </w:t>
            </w:r>
            <w:r w:rsidR="00694BF3">
              <w:rPr>
                <w:sz w:val="22"/>
                <w:szCs w:val="22"/>
              </w:rPr>
              <w:t>Centrum</w:t>
            </w:r>
            <w:r w:rsidRPr="001314E7">
              <w:t>, Bristol-Myers Squibb spol. s r.o a Celgene International Sàrl jménem svým a svých přidružených společností uzavřely rámcovou smlouvu o dodávkách produktu CAR-T a službách aferézy (ve znění případných změn, dále jen „</w:t>
            </w:r>
            <w:r w:rsidRPr="001314E7">
              <w:rPr>
                <w:b/>
              </w:rPr>
              <w:t>smlouva</w:t>
            </w:r>
            <w:r w:rsidRPr="001314E7">
              <w:t>“); a</w:t>
            </w:r>
          </w:p>
        </w:tc>
        <w:tc>
          <w:tcPr>
            <w:tcW w:w="2500" w:type="pct"/>
          </w:tcPr>
          <w:p w14:paraId="3EF3D94B" w14:textId="000B82E2" w:rsidR="00C32FF1" w:rsidRPr="0031164B" w:rsidRDefault="00C32FF1" w:rsidP="00F35BB8">
            <w:pPr>
              <w:widowControl/>
              <w:autoSpaceDE/>
              <w:autoSpaceDN/>
              <w:adjustRightInd/>
              <w:spacing w:after="160" w:line="259" w:lineRule="auto"/>
              <w:jc w:val="both"/>
              <w:rPr>
                <w:rFonts w:eastAsia="SimSun"/>
                <w:lang w:val="en-GB"/>
              </w:rPr>
            </w:pPr>
            <w:r w:rsidRPr="0031164B">
              <w:rPr>
                <w:b/>
                <w:lang w:val="en-GB" w:eastAsia="en-US"/>
              </w:rPr>
              <w:t>WHEREAS</w:t>
            </w:r>
            <w:r w:rsidRPr="0031164B">
              <w:rPr>
                <w:lang w:val="en-GB" w:eastAsia="en-US"/>
              </w:rPr>
              <w:t>, Cent</w:t>
            </w:r>
            <w:r w:rsidRPr="0031164B">
              <w:rPr>
                <w:sz w:val="22"/>
                <w:szCs w:val="22"/>
                <w:lang w:val="en-GB"/>
              </w:rPr>
              <w:t xml:space="preserve">er, </w:t>
            </w:r>
            <w:r w:rsidRPr="0031164B">
              <w:rPr>
                <w:lang w:val="en-GB"/>
              </w:rPr>
              <w:t>Bristol-Myers Squibb spol. s r.o</w:t>
            </w:r>
            <w:r w:rsidRPr="0031164B">
              <w:rPr>
                <w:lang w:val="en-GB" w:eastAsia="en-US"/>
              </w:rPr>
              <w:t>, and Celgene International Sàrl, on behalf of itself and its Affiliates, entered into a CAR-T Master Product Supply and Apheresis Services Agreement (as such agreement may be amended from time to time, the “</w:t>
            </w:r>
            <w:r w:rsidRPr="0031164B">
              <w:rPr>
                <w:b/>
                <w:lang w:val="en-GB" w:eastAsia="en-US"/>
              </w:rPr>
              <w:t>Agreement</w:t>
            </w:r>
            <w:r w:rsidRPr="0031164B">
              <w:rPr>
                <w:lang w:val="en-GB" w:eastAsia="en-US"/>
              </w:rPr>
              <w:t>”); and</w:t>
            </w:r>
          </w:p>
        </w:tc>
      </w:tr>
      <w:tr w:rsidR="00C32FF1" w:rsidRPr="0031164B" w14:paraId="5BBD8F64" w14:textId="634389E2" w:rsidTr="00186A79">
        <w:tc>
          <w:tcPr>
            <w:tcW w:w="2500" w:type="pct"/>
          </w:tcPr>
          <w:p w14:paraId="3689B3A5" w14:textId="77777777" w:rsidR="00C32FF1" w:rsidRPr="0031164B" w:rsidRDefault="00C32FF1" w:rsidP="00C32FF1">
            <w:pPr>
              <w:widowControl/>
              <w:autoSpaceDE/>
              <w:adjustRightInd/>
              <w:spacing w:line="264" w:lineRule="auto"/>
              <w:jc w:val="both"/>
              <w:rPr>
                <w:rFonts w:eastAsia="SimSun"/>
                <w:lang w:val="en-GB"/>
              </w:rPr>
            </w:pPr>
            <w:r w:rsidRPr="0031164B">
              <w:rPr>
                <w:lang w:val="en-GB"/>
              </w:rPr>
              <w:tab/>
            </w:r>
          </w:p>
        </w:tc>
        <w:tc>
          <w:tcPr>
            <w:tcW w:w="2500" w:type="pct"/>
          </w:tcPr>
          <w:p w14:paraId="310D9ECF" w14:textId="729240C4" w:rsidR="00C32FF1" w:rsidRPr="0031164B" w:rsidRDefault="00C32FF1" w:rsidP="00F35BB8">
            <w:pPr>
              <w:widowControl/>
              <w:autoSpaceDE/>
              <w:autoSpaceDN/>
              <w:adjustRightInd/>
              <w:spacing w:after="160" w:line="259" w:lineRule="auto"/>
              <w:jc w:val="both"/>
              <w:rPr>
                <w:rFonts w:eastAsia="SimSun"/>
                <w:lang w:val="en-GB"/>
              </w:rPr>
            </w:pPr>
            <w:r w:rsidRPr="0031164B">
              <w:rPr>
                <w:lang w:val="en-GB" w:eastAsia="en-US"/>
              </w:rPr>
              <w:tab/>
            </w:r>
          </w:p>
        </w:tc>
      </w:tr>
      <w:tr w:rsidR="00C32FF1" w:rsidRPr="0031164B" w14:paraId="4261DC86" w14:textId="6FCB89AC" w:rsidTr="00186A79">
        <w:tc>
          <w:tcPr>
            <w:tcW w:w="2500" w:type="pct"/>
          </w:tcPr>
          <w:p w14:paraId="1232CFFD" w14:textId="1D2754B2" w:rsidR="00C32FF1" w:rsidRPr="001314E7" w:rsidRDefault="00C32FF1" w:rsidP="00C32FF1">
            <w:pPr>
              <w:widowControl/>
              <w:autoSpaceDE/>
              <w:adjustRightInd/>
              <w:spacing w:line="264" w:lineRule="auto"/>
              <w:jc w:val="both"/>
              <w:rPr>
                <w:rFonts w:eastAsia="SimSun"/>
              </w:rPr>
            </w:pPr>
            <w:r w:rsidRPr="001314E7">
              <w:rPr>
                <w:b/>
              </w:rPr>
              <w:t>VZHLEDEM K TOMU</w:t>
            </w:r>
            <w:r w:rsidRPr="001314E7">
              <w:t xml:space="preserve">, že </w:t>
            </w:r>
            <w:bookmarkStart w:id="273" w:name="_Hlk13432884"/>
            <w:r w:rsidR="003D316A">
              <w:t>Centrum</w:t>
            </w:r>
            <w:r w:rsidRPr="001314E7">
              <w:t xml:space="preserve"> a společnost Celgene International Sàrl si přejí uzavřít toto prohlášení, na jehož základě může </w:t>
            </w:r>
            <w:r w:rsidR="003D316A">
              <w:t>Centrum</w:t>
            </w:r>
            <w:r w:rsidRPr="001314E7">
              <w:t xml:space="preserve"> poskytovat společnosti </w:t>
            </w:r>
            <w:r w:rsidRPr="001314E7">
              <w:rPr>
                <w:sz w:val="22"/>
                <w:szCs w:val="22"/>
              </w:rPr>
              <w:t>BMS</w:t>
            </w:r>
            <w:r w:rsidRPr="001314E7">
              <w:t xml:space="preserve"> služby aferézy, aby společnost BMS nebo její přidružená společnost mohla distribuovat </w:t>
            </w:r>
            <w:r w:rsidRPr="001314E7">
              <w:lastRenderedPageBreak/>
              <w:t xml:space="preserve">Produkt </w:t>
            </w:r>
            <w:r w:rsidR="00EE6EEA">
              <w:t>Centru</w:t>
            </w:r>
            <w:r w:rsidRPr="001314E7">
              <w:t xml:space="preserve"> v souladu s podmínkami smlouvy. </w:t>
            </w:r>
            <w:bookmarkEnd w:id="272"/>
            <w:bookmarkEnd w:id="273"/>
          </w:p>
        </w:tc>
        <w:tc>
          <w:tcPr>
            <w:tcW w:w="2500" w:type="pct"/>
          </w:tcPr>
          <w:p w14:paraId="6E6D9008" w14:textId="7C3B692E" w:rsidR="00C32FF1" w:rsidRPr="0031164B" w:rsidRDefault="00C32FF1" w:rsidP="00F35BB8">
            <w:pPr>
              <w:widowControl/>
              <w:autoSpaceDE/>
              <w:autoSpaceDN/>
              <w:adjustRightInd/>
              <w:spacing w:after="160" w:line="259" w:lineRule="auto"/>
              <w:jc w:val="both"/>
              <w:rPr>
                <w:rFonts w:eastAsia="SimSun"/>
                <w:lang w:val="en-GB"/>
              </w:rPr>
            </w:pPr>
            <w:r w:rsidRPr="0031164B">
              <w:rPr>
                <w:b/>
                <w:lang w:val="en-GB" w:eastAsia="en-US"/>
              </w:rPr>
              <w:lastRenderedPageBreak/>
              <w:t>WHEREAS</w:t>
            </w:r>
            <w:r w:rsidRPr="0031164B">
              <w:rPr>
                <w:lang w:val="en-GB" w:eastAsia="en-US"/>
              </w:rPr>
              <w:t xml:space="preserve">, Center and Celgene International Sàrl desire to enter into this SOW under which Center may provide Apheresis Services to BMS so that </w:t>
            </w:r>
            <w:r w:rsidRPr="0031164B">
              <w:rPr>
                <w:sz w:val="22"/>
                <w:szCs w:val="22"/>
                <w:lang w:val="en-GB"/>
              </w:rPr>
              <w:t>BMS</w:t>
            </w:r>
            <w:r w:rsidRPr="0031164B">
              <w:rPr>
                <w:lang w:val="en-GB" w:eastAsia="en-US"/>
              </w:rPr>
              <w:t xml:space="preserve"> or its Affiliate may distribute Product to Center in </w:t>
            </w:r>
            <w:r w:rsidRPr="0031164B">
              <w:rPr>
                <w:lang w:val="en-GB" w:eastAsia="en-US"/>
              </w:rPr>
              <w:lastRenderedPageBreak/>
              <w:t xml:space="preserve">accordance with the terms and conditions of the Agreement. </w:t>
            </w:r>
          </w:p>
        </w:tc>
      </w:tr>
      <w:tr w:rsidR="00C32FF1" w:rsidRPr="0031164B" w14:paraId="5CE643E4" w14:textId="0E3F07AB" w:rsidTr="00186A79">
        <w:tc>
          <w:tcPr>
            <w:tcW w:w="2500" w:type="pct"/>
          </w:tcPr>
          <w:p w14:paraId="3F55E2B0" w14:textId="77777777" w:rsidR="00C32FF1" w:rsidRPr="0031164B" w:rsidRDefault="00C32FF1" w:rsidP="00C32FF1">
            <w:pPr>
              <w:widowControl/>
              <w:autoSpaceDE/>
              <w:adjustRightInd/>
              <w:spacing w:line="264" w:lineRule="auto"/>
              <w:jc w:val="both"/>
              <w:rPr>
                <w:rFonts w:eastAsia="SimSun"/>
                <w:lang w:val="en-GB" w:eastAsia="en-US"/>
              </w:rPr>
            </w:pPr>
          </w:p>
        </w:tc>
        <w:tc>
          <w:tcPr>
            <w:tcW w:w="2500" w:type="pct"/>
          </w:tcPr>
          <w:p w14:paraId="2315EBA3" w14:textId="77777777" w:rsidR="00C32FF1" w:rsidRPr="0031164B" w:rsidRDefault="00C32FF1" w:rsidP="00F35BB8">
            <w:pPr>
              <w:widowControl/>
              <w:autoSpaceDE/>
              <w:autoSpaceDN/>
              <w:adjustRightInd/>
              <w:spacing w:after="160" w:line="259" w:lineRule="auto"/>
              <w:jc w:val="both"/>
              <w:rPr>
                <w:rFonts w:eastAsia="SimSun"/>
                <w:lang w:val="en-GB" w:eastAsia="en-US"/>
              </w:rPr>
            </w:pPr>
          </w:p>
        </w:tc>
      </w:tr>
      <w:tr w:rsidR="00C32FF1" w:rsidRPr="0031164B" w14:paraId="64AF8E4C" w14:textId="1AFD8EC1" w:rsidTr="00186A79">
        <w:tc>
          <w:tcPr>
            <w:tcW w:w="2500" w:type="pct"/>
          </w:tcPr>
          <w:p w14:paraId="08C76663" w14:textId="77777777" w:rsidR="00C32FF1" w:rsidRPr="0031164B" w:rsidRDefault="00C32FF1" w:rsidP="00C32FF1">
            <w:pPr>
              <w:widowControl/>
              <w:autoSpaceDE/>
              <w:adjustRightInd/>
              <w:spacing w:line="264" w:lineRule="auto"/>
              <w:jc w:val="both"/>
              <w:rPr>
                <w:rFonts w:eastAsia="SimSun"/>
                <w:lang w:val="en-GB"/>
              </w:rPr>
            </w:pPr>
            <w:r w:rsidRPr="0031164B">
              <w:rPr>
                <w:b/>
                <w:lang w:val="en-GB"/>
              </w:rPr>
              <w:t>SMLUVNÍ STRANY SE PROTO</w:t>
            </w:r>
            <w:r w:rsidRPr="0031164B">
              <w:rPr>
                <w:lang w:val="en-GB"/>
              </w:rPr>
              <w:t xml:space="preserve"> dohodly takto:</w:t>
            </w:r>
          </w:p>
        </w:tc>
        <w:tc>
          <w:tcPr>
            <w:tcW w:w="2500" w:type="pct"/>
          </w:tcPr>
          <w:p w14:paraId="0C5A40FB" w14:textId="7D7B9FDE" w:rsidR="00C32FF1" w:rsidRPr="0031164B" w:rsidRDefault="00C32FF1" w:rsidP="00F35BB8">
            <w:pPr>
              <w:widowControl/>
              <w:autoSpaceDE/>
              <w:autoSpaceDN/>
              <w:adjustRightInd/>
              <w:spacing w:after="160" w:line="259" w:lineRule="auto"/>
              <w:jc w:val="both"/>
              <w:rPr>
                <w:rFonts w:eastAsia="SimSun"/>
                <w:lang w:val="en-GB"/>
              </w:rPr>
            </w:pPr>
            <w:r w:rsidRPr="0031164B">
              <w:rPr>
                <w:b/>
                <w:lang w:val="en-GB" w:eastAsia="en-US"/>
              </w:rPr>
              <w:t>NOW, THEREFORE</w:t>
            </w:r>
            <w:r w:rsidRPr="0031164B">
              <w:rPr>
                <w:lang w:val="en-GB" w:eastAsia="en-US"/>
              </w:rPr>
              <w:t>, the Parties agree as follows:</w:t>
            </w:r>
          </w:p>
        </w:tc>
      </w:tr>
      <w:tr w:rsidR="00C32FF1" w:rsidRPr="0031164B" w14:paraId="2B416AF0" w14:textId="0AB0FAD1" w:rsidTr="00186A79">
        <w:tc>
          <w:tcPr>
            <w:tcW w:w="2500" w:type="pct"/>
          </w:tcPr>
          <w:p w14:paraId="3DF2EB80" w14:textId="77777777" w:rsidR="00C32FF1" w:rsidRPr="0031164B" w:rsidRDefault="00C32FF1" w:rsidP="00C32FF1">
            <w:pPr>
              <w:widowControl/>
              <w:autoSpaceDE/>
              <w:adjustRightInd/>
              <w:spacing w:line="264" w:lineRule="auto"/>
              <w:jc w:val="both"/>
              <w:rPr>
                <w:rFonts w:ascii="Arial" w:eastAsia="SimSun" w:hAnsi="Arial" w:cs="Arial"/>
                <w:sz w:val="21"/>
                <w:szCs w:val="21"/>
                <w:lang w:val="en-GB" w:eastAsia="en-US"/>
              </w:rPr>
            </w:pPr>
          </w:p>
        </w:tc>
        <w:tc>
          <w:tcPr>
            <w:tcW w:w="2500" w:type="pct"/>
          </w:tcPr>
          <w:p w14:paraId="4292DE72" w14:textId="77777777" w:rsidR="00C32FF1" w:rsidRPr="0031164B" w:rsidRDefault="00C32FF1" w:rsidP="00F35BB8">
            <w:pPr>
              <w:widowControl/>
              <w:autoSpaceDE/>
              <w:autoSpaceDN/>
              <w:adjustRightInd/>
              <w:spacing w:after="160" w:line="259" w:lineRule="auto"/>
              <w:jc w:val="both"/>
              <w:rPr>
                <w:rFonts w:ascii="Arial" w:eastAsia="SimSun" w:hAnsi="Arial" w:cs="Arial"/>
                <w:sz w:val="21"/>
                <w:szCs w:val="21"/>
                <w:lang w:val="en-GB" w:eastAsia="en-US"/>
              </w:rPr>
            </w:pPr>
          </w:p>
        </w:tc>
      </w:tr>
      <w:tr w:rsidR="00DC6A4A" w:rsidRPr="0031164B" w14:paraId="0F96C5F0" w14:textId="176C8FF0" w:rsidTr="00D23897">
        <w:trPr>
          <w:trHeight w:val="6184"/>
        </w:trPr>
        <w:tc>
          <w:tcPr>
            <w:tcW w:w="2500" w:type="pct"/>
          </w:tcPr>
          <w:p w14:paraId="23C461FA" w14:textId="77777777" w:rsidR="00DC6A4A" w:rsidRPr="001314E7" w:rsidRDefault="00DC6A4A" w:rsidP="00C32FF1">
            <w:pPr>
              <w:widowControl/>
              <w:numPr>
                <w:ilvl w:val="0"/>
                <w:numId w:val="3"/>
              </w:numPr>
              <w:autoSpaceDE/>
              <w:adjustRightInd/>
              <w:snapToGrid w:val="0"/>
              <w:spacing w:after="240" w:line="264" w:lineRule="auto"/>
              <w:jc w:val="both"/>
              <w:rPr>
                <w:rFonts w:eastAsia="Arial"/>
                <w:spacing w:val="1"/>
              </w:rPr>
            </w:pPr>
            <w:r w:rsidRPr="001314E7">
              <w:rPr>
                <w:b/>
                <w:u w:val="single"/>
              </w:rPr>
              <w:t>Definice pojmů.</w:t>
            </w:r>
            <w:r w:rsidRPr="001314E7">
              <w:t xml:space="preserve">  Pojmy (s velkým počátečním písmenem), které jsou v tomto prohlášení použity, ale nejsou definovány, mají význam, který je jim přiřazen ve smlouvě.  </w:t>
            </w:r>
          </w:p>
          <w:p w14:paraId="3FEF85F1" w14:textId="12FC2E25" w:rsidR="00DC6A4A" w:rsidRPr="001314E7" w:rsidRDefault="00DC6A4A" w:rsidP="00C32FF1">
            <w:pPr>
              <w:widowControl/>
              <w:numPr>
                <w:ilvl w:val="0"/>
                <w:numId w:val="3"/>
              </w:numPr>
              <w:tabs>
                <w:tab w:val="left" w:pos="720"/>
              </w:tabs>
              <w:autoSpaceDE/>
              <w:adjustRightInd/>
              <w:snapToGrid w:val="0"/>
              <w:spacing w:after="240" w:line="264" w:lineRule="auto"/>
              <w:ind w:left="720" w:hanging="720"/>
              <w:jc w:val="both"/>
            </w:pPr>
            <w:r w:rsidRPr="001314E7">
              <w:rPr>
                <w:b/>
                <w:bCs/>
                <w:u w:val="single"/>
              </w:rPr>
              <w:t>Zahájení služeb aferézy.</w:t>
            </w:r>
            <w:r w:rsidRPr="001314E7">
              <w:rPr>
                <w:b/>
                <w:bCs/>
              </w:rPr>
              <w:t xml:space="preserve"> </w:t>
            </w:r>
            <w:r w:rsidRPr="001314E7">
              <w:t xml:space="preserve">Po dokončení: (i) oznámí společnost </w:t>
            </w:r>
            <w:r w:rsidRPr="001314E7">
              <w:rPr>
                <w:sz w:val="22"/>
                <w:szCs w:val="22"/>
              </w:rPr>
              <w:t>BMS</w:t>
            </w:r>
            <w:r w:rsidRPr="001314E7">
              <w:t xml:space="preserve"> </w:t>
            </w:r>
            <w:r w:rsidR="00E06A52">
              <w:t>Centru</w:t>
            </w:r>
            <w:r w:rsidRPr="001314E7">
              <w:t xml:space="preserve">, že společnost </w:t>
            </w:r>
            <w:r w:rsidRPr="001314E7">
              <w:rPr>
                <w:sz w:val="22"/>
                <w:szCs w:val="22"/>
              </w:rPr>
              <w:t>BMS</w:t>
            </w:r>
            <w:r w:rsidRPr="001314E7">
              <w:t xml:space="preserve"> kvalifikovala jedno nebo více odběrných míst k provádění aferézních služeb, a (ii) uzavření</w:t>
            </w:r>
            <w:r w:rsidR="00BB4880">
              <w:t>m</w:t>
            </w:r>
            <w:r w:rsidRPr="001314E7">
              <w:t xml:space="preserve"> tohoto prohlášení, může </w:t>
            </w:r>
            <w:r w:rsidR="00767768">
              <w:t>Centrum</w:t>
            </w:r>
            <w:r w:rsidRPr="001314E7">
              <w:t xml:space="preserve"> provádět aferézní služby podle této smlouvy za účelem výroby komerční autologní imunocelulární terapie </w:t>
            </w:r>
            <w:r w:rsidR="00AD3929">
              <w:t>BREYANZI, ABECMA</w:t>
            </w:r>
            <w:r w:rsidRPr="001314E7">
              <w:t xml:space="preserve"> (dále jen „</w:t>
            </w:r>
            <w:r w:rsidRPr="001314E7">
              <w:rPr>
                <w:b/>
                <w:bCs/>
              </w:rPr>
              <w:t>produkt</w:t>
            </w:r>
            <w:r w:rsidRPr="001314E7">
              <w:t xml:space="preserve">“). </w:t>
            </w:r>
          </w:p>
          <w:p w14:paraId="07B04013" w14:textId="62F24B63" w:rsidR="00DC6A4A" w:rsidRPr="0031164B" w:rsidRDefault="00DC6A4A" w:rsidP="00C32FF1">
            <w:pPr>
              <w:numPr>
                <w:ilvl w:val="0"/>
                <w:numId w:val="3"/>
              </w:numPr>
              <w:tabs>
                <w:tab w:val="left" w:pos="0"/>
              </w:tabs>
              <w:snapToGrid w:val="0"/>
              <w:spacing w:after="240" w:line="264" w:lineRule="auto"/>
              <w:ind w:left="0" w:firstLine="0"/>
              <w:jc w:val="both"/>
              <w:rPr>
                <w:rFonts w:eastAsia="Arial"/>
                <w:spacing w:val="1"/>
                <w:lang w:val="en-GB"/>
              </w:rPr>
            </w:pPr>
            <w:r w:rsidRPr="0031164B">
              <w:rPr>
                <w:b/>
                <w:u w:val="single"/>
                <w:lang w:val="en-GB"/>
              </w:rPr>
              <w:t>Služby aferézy.</w:t>
            </w:r>
            <w:r w:rsidRPr="0031164B">
              <w:rPr>
                <w:lang w:val="en-GB"/>
              </w:rPr>
              <w:t xml:space="preserve">   </w:t>
            </w:r>
          </w:p>
        </w:tc>
        <w:tc>
          <w:tcPr>
            <w:tcW w:w="2500" w:type="pct"/>
          </w:tcPr>
          <w:p w14:paraId="5A80AF20" w14:textId="77777777" w:rsidR="00DC6A4A" w:rsidRPr="00DC6A4A" w:rsidRDefault="00DC6A4A" w:rsidP="00F35BB8">
            <w:pPr>
              <w:pStyle w:val="Odstavecseseznamem"/>
              <w:widowControl/>
              <w:numPr>
                <w:ilvl w:val="0"/>
                <w:numId w:val="94"/>
              </w:numPr>
              <w:spacing w:after="160" w:line="259" w:lineRule="auto"/>
              <w:ind w:left="463"/>
              <w:jc w:val="both"/>
              <w:rPr>
                <w:rFonts w:ascii="Times New Roman" w:eastAsia="Arial" w:hAnsi="Times New Roman" w:cs="Times New Roman"/>
                <w:spacing w:val="1"/>
                <w:sz w:val="24"/>
                <w:szCs w:val="24"/>
                <w:lang w:val="en-GB"/>
              </w:rPr>
            </w:pPr>
            <w:r w:rsidRPr="00DC6A4A">
              <w:rPr>
                <w:rFonts w:ascii="Times New Roman" w:hAnsi="Times New Roman" w:cs="Times New Roman"/>
                <w:b/>
                <w:sz w:val="24"/>
                <w:szCs w:val="24"/>
                <w:u w:val="single"/>
                <w:lang w:val="en-GB"/>
              </w:rPr>
              <w:t>Defined Terms</w:t>
            </w:r>
            <w:r w:rsidRPr="00DC6A4A">
              <w:rPr>
                <w:rFonts w:ascii="Times New Roman" w:hAnsi="Times New Roman" w:cs="Times New Roman"/>
                <w:sz w:val="24"/>
                <w:szCs w:val="24"/>
                <w:lang w:val="en-GB"/>
              </w:rPr>
              <w:t xml:space="preserve">.  Capitalized terms used but not defined herein this SOW shall have the meanings ascribed in the Agreement.  </w:t>
            </w:r>
          </w:p>
          <w:p w14:paraId="15CB35D9" w14:textId="583734D8" w:rsidR="00DC6A4A" w:rsidRPr="00DC6A4A" w:rsidRDefault="00DC6A4A" w:rsidP="00F35BB8">
            <w:pPr>
              <w:pStyle w:val="Odstavecseseznamem"/>
              <w:widowControl/>
              <w:numPr>
                <w:ilvl w:val="0"/>
                <w:numId w:val="94"/>
              </w:numPr>
              <w:spacing w:after="160" w:line="259" w:lineRule="auto"/>
              <w:ind w:left="463"/>
              <w:jc w:val="both"/>
              <w:rPr>
                <w:rFonts w:ascii="Times New Roman" w:hAnsi="Times New Roman" w:cs="Times New Roman"/>
                <w:sz w:val="24"/>
                <w:szCs w:val="24"/>
                <w:lang w:val="en-GB"/>
              </w:rPr>
            </w:pPr>
            <w:r w:rsidRPr="00DC6A4A">
              <w:rPr>
                <w:rFonts w:ascii="Times New Roman" w:hAnsi="Times New Roman" w:cs="Times New Roman"/>
                <w:b/>
                <w:bCs/>
                <w:sz w:val="24"/>
                <w:szCs w:val="24"/>
                <w:u w:val="single"/>
                <w:lang w:val="en-GB"/>
              </w:rPr>
              <w:t>Commencement of Apheresis Services</w:t>
            </w:r>
            <w:r w:rsidRPr="00DC6A4A">
              <w:rPr>
                <w:rFonts w:ascii="Times New Roman" w:hAnsi="Times New Roman" w:cs="Times New Roman"/>
                <w:b/>
                <w:bCs/>
                <w:sz w:val="24"/>
                <w:szCs w:val="24"/>
                <w:lang w:val="en-GB"/>
              </w:rPr>
              <w:t xml:space="preserve">. </w:t>
            </w:r>
            <w:r w:rsidRPr="00DC6A4A">
              <w:rPr>
                <w:rFonts w:ascii="Times New Roman" w:hAnsi="Times New Roman" w:cs="Times New Roman"/>
                <w:sz w:val="24"/>
                <w:szCs w:val="24"/>
                <w:lang w:val="en-GB"/>
              </w:rPr>
              <w:t xml:space="preserve">Upon completion of: (i) BMS’ notice to Center it and one or more Collection Location(s) has been qualified by BMS to perform Apheresis Services, and (ii) execution of this SOW, Center may perform Apheresis Services hereunder for manufacture of the commercial autologous immunocellular therapy </w:t>
            </w:r>
            <w:r w:rsidR="00AD3929">
              <w:rPr>
                <w:rFonts w:ascii="Times New Roman" w:hAnsi="Times New Roman" w:cs="Times New Roman"/>
                <w:sz w:val="24"/>
                <w:szCs w:val="24"/>
                <w:lang w:val="en-GB"/>
              </w:rPr>
              <w:t>BREYANZI, ABECMA</w:t>
            </w:r>
            <w:r w:rsidRPr="00DC6A4A">
              <w:rPr>
                <w:rFonts w:ascii="Times New Roman" w:hAnsi="Times New Roman" w:cs="Times New Roman"/>
                <w:sz w:val="24"/>
                <w:szCs w:val="24"/>
                <w:lang w:val="en-GB"/>
              </w:rPr>
              <w:t xml:space="preserve"> (the “</w:t>
            </w:r>
            <w:r w:rsidRPr="00DC6A4A">
              <w:rPr>
                <w:rFonts w:ascii="Times New Roman" w:hAnsi="Times New Roman" w:cs="Times New Roman"/>
                <w:b/>
                <w:bCs/>
                <w:sz w:val="24"/>
                <w:szCs w:val="24"/>
                <w:lang w:val="en-GB"/>
              </w:rPr>
              <w:t>Product</w:t>
            </w:r>
            <w:r w:rsidRPr="00DC6A4A">
              <w:rPr>
                <w:rFonts w:ascii="Times New Roman" w:hAnsi="Times New Roman" w:cs="Times New Roman"/>
                <w:sz w:val="24"/>
                <w:szCs w:val="24"/>
                <w:lang w:val="en-GB"/>
              </w:rPr>
              <w:t xml:space="preserve">”). </w:t>
            </w:r>
          </w:p>
          <w:p w14:paraId="3ADA9978" w14:textId="2FDD7A6F" w:rsidR="00DC6A4A" w:rsidRPr="00DC6A4A" w:rsidRDefault="00DC6A4A" w:rsidP="00F35BB8">
            <w:pPr>
              <w:pStyle w:val="Odstavecseseznamem"/>
              <w:numPr>
                <w:ilvl w:val="0"/>
                <w:numId w:val="94"/>
              </w:numPr>
              <w:spacing w:after="160" w:line="259" w:lineRule="auto"/>
              <w:ind w:left="463"/>
              <w:jc w:val="both"/>
              <w:rPr>
                <w:rFonts w:eastAsia="Arial"/>
                <w:spacing w:val="1"/>
                <w:lang w:val="en-GB"/>
              </w:rPr>
            </w:pPr>
            <w:r w:rsidRPr="00DC6A4A">
              <w:rPr>
                <w:rFonts w:ascii="Times New Roman" w:hAnsi="Times New Roman" w:cs="Times New Roman"/>
                <w:b/>
                <w:sz w:val="24"/>
                <w:szCs w:val="24"/>
                <w:u w:val="single"/>
                <w:lang w:val="en-GB"/>
              </w:rPr>
              <w:t>Apheresis Services</w:t>
            </w:r>
            <w:r w:rsidRPr="00DC6A4A">
              <w:rPr>
                <w:rFonts w:ascii="Times New Roman" w:hAnsi="Times New Roman" w:cs="Times New Roman"/>
                <w:sz w:val="24"/>
                <w:szCs w:val="24"/>
                <w:lang w:val="en-GB"/>
              </w:rPr>
              <w:t>.</w:t>
            </w:r>
            <w:r w:rsidRPr="00DC6A4A">
              <w:rPr>
                <w:sz w:val="24"/>
                <w:szCs w:val="24"/>
                <w:lang w:val="en-GB"/>
              </w:rPr>
              <w:t xml:space="preserve">   </w:t>
            </w:r>
          </w:p>
        </w:tc>
      </w:tr>
      <w:tr w:rsidR="00DC6A4A" w:rsidRPr="0031164B" w14:paraId="5908406F" w14:textId="40BD5A91" w:rsidTr="00D23897">
        <w:trPr>
          <w:trHeight w:val="6431"/>
        </w:trPr>
        <w:tc>
          <w:tcPr>
            <w:tcW w:w="2500" w:type="pct"/>
          </w:tcPr>
          <w:p w14:paraId="0725AB9C" w14:textId="6E54997E" w:rsidR="00DC6A4A" w:rsidRPr="001314E7" w:rsidRDefault="00DC6A4A" w:rsidP="00C32FF1">
            <w:pPr>
              <w:widowControl/>
              <w:numPr>
                <w:ilvl w:val="1"/>
                <w:numId w:val="3"/>
              </w:numPr>
              <w:tabs>
                <w:tab w:val="left" w:pos="0"/>
              </w:tabs>
              <w:autoSpaceDE/>
              <w:adjustRightInd/>
              <w:snapToGrid w:val="0"/>
              <w:spacing w:after="240" w:line="264" w:lineRule="auto"/>
              <w:jc w:val="both"/>
              <w:rPr>
                <w:rFonts w:eastAsia="Arial"/>
                <w:spacing w:val="1"/>
              </w:rPr>
            </w:pPr>
            <w:r w:rsidRPr="001314E7">
              <w:lastRenderedPageBreak/>
              <w:t xml:space="preserve">Pro každou objednávku produktu, kterou </w:t>
            </w:r>
            <w:r w:rsidR="00CD3158">
              <w:t>Centrum</w:t>
            </w:r>
            <w:r w:rsidRPr="001314E7">
              <w:t xml:space="preserve"> zadá, odebere </w:t>
            </w:r>
            <w:r w:rsidR="00334A46">
              <w:t>Centrum</w:t>
            </w:r>
            <w:r w:rsidRPr="001314E7">
              <w:t xml:space="preserve"> aferézní materiál od pacienta, kterému byl produkt předepsán, prostřednictvím provedení leukaferézy a poté s tímto aferézním materiálem manipuluje, označí jej, zabalí a předá určenému kurýrovi společnosti </w:t>
            </w:r>
            <w:r w:rsidRPr="001314E7">
              <w:rPr>
                <w:sz w:val="22"/>
                <w:szCs w:val="22"/>
              </w:rPr>
              <w:t>BMS</w:t>
            </w:r>
            <w:r w:rsidRPr="001314E7">
              <w:t xml:space="preserve"> (souhrnně „</w:t>
            </w:r>
            <w:r w:rsidRPr="001314E7">
              <w:rPr>
                <w:b/>
              </w:rPr>
              <w:t>aferézní služby, aferetické služby nebo služby aferézy</w:t>
            </w:r>
            <w:r w:rsidRPr="001314E7">
              <w:t xml:space="preserve">“) v souladu s podmínkami uvedenými ve smlouvě a tomto prohlášení.  </w:t>
            </w:r>
          </w:p>
          <w:p w14:paraId="42A1ECDA" w14:textId="3E917541" w:rsidR="00DC6A4A" w:rsidRPr="001314E7" w:rsidRDefault="005D3B9A" w:rsidP="00C32FF1">
            <w:pPr>
              <w:numPr>
                <w:ilvl w:val="1"/>
                <w:numId w:val="3"/>
              </w:numPr>
              <w:tabs>
                <w:tab w:val="left" w:pos="0"/>
              </w:tabs>
              <w:snapToGrid w:val="0"/>
              <w:spacing w:after="120" w:line="264" w:lineRule="auto"/>
              <w:jc w:val="both"/>
              <w:rPr>
                <w:rFonts w:eastAsia="Arial"/>
                <w:spacing w:val="1"/>
              </w:rPr>
            </w:pPr>
            <w:r>
              <w:t>Centrum</w:t>
            </w:r>
            <w:r w:rsidR="00DC6A4A" w:rsidRPr="001314E7">
              <w:t xml:space="preserve"> může provádět služby aferézy pouze na následujícím místě nebo místech kvalifikovaných společností BMS: </w:t>
            </w:r>
          </w:p>
        </w:tc>
        <w:tc>
          <w:tcPr>
            <w:tcW w:w="2500" w:type="pct"/>
          </w:tcPr>
          <w:p w14:paraId="64183FAF" w14:textId="77777777" w:rsidR="00DC6A4A" w:rsidRPr="00DC6A4A" w:rsidRDefault="00DC6A4A" w:rsidP="00F35BB8">
            <w:pPr>
              <w:pStyle w:val="Odstavecseseznamem"/>
              <w:widowControl/>
              <w:numPr>
                <w:ilvl w:val="0"/>
                <w:numId w:val="95"/>
              </w:numPr>
              <w:spacing w:after="160" w:line="259" w:lineRule="auto"/>
              <w:jc w:val="both"/>
              <w:rPr>
                <w:rFonts w:ascii="Times New Roman" w:eastAsia="Arial" w:hAnsi="Times New Roman" w:cs="Times New Roman"/>
                <w:spacing w:val="1"/>
                <w:sz w:val="24"/>
                <w:szCs w:val="24"/>
                <w:lang w:val="en-GB"/>
              </w:rPr>
            </w:pPr>
            <w:r w:rsidRPr="00DC6A4A">
              <w:rPr>
                <w:rFonts w:ascii="Times New Roman" w:hAnsi="Times New Roman" w:cs="Times New Roman"/>
                <w:sz w:val="24"/>
                <w:szCs w:val="24"/>
                <w:lang w:val="en-GB"/>
              </w:rPr>
              <w:t>For each product order Center places, Center shall collect Apheresis Materials from the patient prescribed product via the performance of a leukapheresis procedure, and shall then handle, label, package and transfer such Apheresis Materials to BMS’ appointed courier (collectively, the “</w:t>
            </w:r>
            <w:r w:rsidRPr="00DC6A4A">
              <w:rPr>
                <w:rFonts w:ascii="Times New Roman" w:hAnsi="Times New Roman" w:cs="Times New Roman"/>
                <w:b/>
                <w:sz w:val="24"/>
                <w:szCs w:val="24"/>
                <w:lang w:val="en-GB"/>
              </w:rPr>
              <w:t>Apheresis Services</w:t>
            </w:r>
            <w:r w:rsidRPr="00DC6A4A">
              <w:rPr>
                <w:rFonts w:ascii="Times New Roman" w:hAnsi="Times New Roman" w:cs="Times New Roman"/>
                <w:sz w:val="24"/>
                <w:szCs w:val="24"/>
                <w:lang w:val="en-GB"/>
              </w:rPr>
              <w:t xml:space="preserve">”) in accordance with the terms specified in the Agreement and this SOW.  </w:t>
            </w:r>
          </w:p>
          <w:p w14:paraId="3B484637" w14:textId="114FF957" w:rsidR="00DC6A4A" w:rsidRPr="00DC6A4A" w:rsidRDefault="00DC6A4A" w:rsidP="00F35BB8">
            <w:pPr>
              <w:pStyle w:val="Odstavecseseznamem"/>
              <w:numPr>
                <w:ilvl w:val="0"/>
                <w:numId w:val="95"/>
              </w:numPr>
              <w:spacing w:after="160" w:line="259" w:lineRule="auto"/>
              <w:jc w:val="both"/>
              <w:rPr>
                <w:rFonts w:eastAsia="Arial"/>
                <w:spacing w:val="1"/>
                <w:lang w:val="en-GB"/>
              </w:rPr>
            </w:pPr>
            <w:r w:rsidRPr="00DC6A4A">
              <w:rPr>
                <w:rFonts w:ascii="Times New Roman" w:hAnsi="Times New Roman" w:cs="Times New Roman"/>
                <w:sz w:val="24"/>
                <w:szCs w:val="24"/>
                <w:lang w:val="en-GB"/>
              </w:rPr>
              <w:t xml:space="preserve">Center may perform Apheresis Services only at the following location(s) qualified by BMS: </w:t>
            </w:r>
          </w:p>
        </w:tc>
      </w:tr>
    </w:tbl>
    <w:p w14:paraId="63E34C92" w14:textId="77777777" w:rsidR="000A5162" w:rsidRPr="0031164B" w:rsidRDefault="000A5162" w:rsidP="000A5162">
      <w:pPr>
        <w:tabs>
          <w:tab w:val="left" w:pos="0"/>
        </w:tabs>
        <w:adjustRightInd/>
        <w:snapToGrid w:val="0"/>
        <w:spacing w:line="264" w:lineRule="auto"/>
        <w:jc w:val="both"/>
        <w:rPr>
          <w:rFonts w:eastAsia="SimSun"/>
          <w:spacing w:val="1"/>
          <w:lang w:val="en-GB" w:eastAsia="en-US"/>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2"/>
      </w:tblGrid>
      <w:tr w:rsidR="00C32FF1" w:rsidRPr="0031164B" w14:paraId="056F81A3" w14:textId="77777777" w:rsidTr="00E855B9">
        <w:tc>
          <w:tcPr>
            <w:tcW w:w="9350" w:type="dxa"/>
            <w:vAlign w:val="bottom"/>
          </w:tcPr>
          <w:p w14:paraId="1425B3CD" w14:textId="226470E4" w:rsidR="00C32FF1" w:rsidRPr="00E855B9" w:rsidRDefault="00D56BC8" w:rsidP="00D23897">
            <w:pPr>
              <w:tabs>
                <w:tab w:val="left" w:pos="0"/>
              </w:tabs>
              <w:adjustRightInd/>
              <w:snapToGrid w:val="0"/>
              <w:spacing w:after="240"/>
              <w:ind w:left="784" w:hanging="784"/>
              <w:jc w:val="center"/>
              <w:rPr>
                <w:rFonts w:eastAsia="Arial"/>
                <w:spacing w:val="1"/>
                <w:highlight w:val="yellow"/>
                <w:lang w:val="en-GB"/>
              </w:rPr>
            </w:pPr>
            <w:r>
              <w:rPr>
                <w:rFonts w:ascii="Calibri" w:hAnsi="Calibri" w:cs="Calibri"/>
                <w:sz w:val="22"/>
                <w:szCs w:val="22"/>
              </w:rPr>
              <w:t>Hematologicko-onkologické oddělení FN Plzeň, Separační centrum, Alej Svobody 923/80, 323 00 Plzeň</w:t>
            </w:r>
            <w:r w:rsidRPr="00D56BC8" w:rsidDel="00D56BC8">
              <w:rPr>
                <w:highlight w:val="yellow"/>
                <w:lang w:val="en-GB"/>
              </w:rPr>
              <w:t xml:space="preserve"> </w:t>
            </w:r>
          </w:p>
        </w:tc>
      </w:tr>
      <w:tr w:rsidR="00C32FF1" w:rsidRPr="0031164B" w14:paraId="5269473C" w14:textId="77777777" w:rsidTr="00E855B9">
        <w:tc>
          <w:tcPr>
            <w:tcW w:w="9350" w:type="dxa"/>
            <w:vAlign w:val="bottom"/>
          </w:tcPr>
          <w:p w14:paraId="21CD0C9A" w14:textId="2B319AE8" w:rsidR="00C32FF1" w:rsidRPr="00E855B9" w:rsidRDefault="00C32FF1" w:rsidP="00D23897">
            <w:pPr>
              <w:tabs>
                <w:tab w:val="left" w:pos="0"/>
              </w:tabs>
              <w:adjustRightInd/>
              <w:snapToGrid w:val="0"/>
              <w:spacing w:after="240"/>
              <w:ind w:left="784" w:hanging="784"/>
              <w:jc w:val="center"/>
              <w:rPr>
                <w:rFonts w:eastAsia="Arial"/>
                <w:spacing w:val="1"/>
                <w:highlight w:val="yellow"/>
                <w:lang w:val="en-GB"/>
              </w:rPr>
            </w:pPr>
          </w:p>
        </w:tc>
      </w:tr>
    </w:tbl>
    <w:p w14:paraId="02A2F515" w14:textId="77777777" w:rsidR="00C32FF1" w:rsidRPr="0031164B" w:rsidRDefault="00C32FF1" w:rsidP="000A5162">
      <w:pPr>
        <w:tabs>
          <w:tab w:val="left" w:pos="0"/>
        </w:tabs>
        <w:adjustRightInd/>
        <w:snapToGrid w:val="0"/>
        <w:spacing w:line="264" w:lineRule="auto"/>
        <w:jc w:val="both"/>
        <w:rPr>
          <w:rFonts w:eastAsia="SimSun"/>
          <w:spacing w:val="1"/>
          <w:lang w:val="en-GB" w:eastAsia="en-US"/>
        </w:rPr>
      </w:pPr>
    </w:p>
    <w:p w14:paraId="76EA4353" w14:textId="77777777" w:rsidR="00C32FF1" w:rsidRPr="0031164B" w:rsidRDefault="00C32FF1" w:rsidP="000A5162">
      <w:pPr>
        <w:tabs>
          <w:tab w:val="left" w:pos="0"/>
        </w:tabs>
        <w:adjustRightInd/>
        <w:snapToGrid w:val="0"/>
        <w:spacing w:line="264" w:lineRule="auto"/>
        <w:jc w:val="both"/>
        <w:rPr>
          <w:rFonts w:eastAsia="SimSun"/>
          <w:spacing w:val="1"/>
          <w:lang w:val="en-GB"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6A79" w:rsidRPr="0031164B" w14:paraId="228BD1C6" w14:textId="30522481" w:rsidTr="00186A79">
        <w:tc>
          <w:tcPr>
            <w:tcW w:w="2500" w:type="pct"/>
          </w:tcPr>
          <w:p w14:paraId="1CB68EAA" w14:textId="71EF0469" w:rsidR="00186A79" w:rsidRPr="0031164B" w:rsidRDefault="00186A79" w:rsidP="00186A79">
            <w:pPr>
              <w:widowControl/>
              <w:numPr>
                <w:ilvl w:val="0"/>
                <w:numId w:val="3"/>
              </w:numPr>
              <w:tabs>
                <w:tab w:val="left" w:pos="0"/>
              </w:tabs>
              <w:autoSpaceDE/>
              <w:adjustRightInd/>
              <w:snapToGrid w:val="0"/>
              <w:spacing w:after="240" w:line="264" w:lineRule="auto"/>
              <w:ind w:left="0" w:firstLine="0"/>
              <w:jc w:val="both"/>
              <w:rPr>
                <w:rFonts w:eastAsia="Arial"/>
                <w:b/>
                <w:spacing w:val="1"/>
                <w:u w:val="single"/>
                <w:lang w:val="en-GB"/>
              </w:rPr>
            </w:pPr>
            <w:r w:rsidRPr="0031164B">
              <w:rPr>
                <w:b/>
                <w:u w:val="single"/>
                <w:lang w:val="en-GB"/>
              </w:rPr>
              <w:t>Doba trvání prohlášení.</w:t>
            </w:r>
            <w:r w:rsidRPr="0031164B">
              <w:rPr>
                <w:lang w:val="en-GB"/>
              </w:rPr>
              <w:t xml:space="preserve">  Toto prohlášení nabývá účinnosti dnem účinnosti prohlášení, a pokud nebude ukončeno dříve v souladu s podmínkami smlouvy, bude platit po dobu </w:t>
            </w:r>
            <w:r w:rsidR="00607733">
              <w:rPr>
                <w:lang w:val="en-GB"/>
              </w:rPr>
              <w:t>platnosti Kupní smlouvy</w:t>
            </w:r>
            <w:r w:rsidR="003C3DF7">
              <w:rPr>
                <w:lang w:val="en-GB"/>
              </w:rPr>
              <w:t xml:space="preserve"> vztahující se </w:t>
            </w:r>
            <w:r w:rsidR="00AB765D">
              <w:rPr>
                <w:lang w:val="en-GB"/>
              </w:rPr>
              <w:t>ke CAR-T produktům společnosti BMS</w:t>
            </w:r>
            <w:r w:rsidR="00722743">
              <w:rPr>
                <w:lang w:val="en-GB"/>
              </w:rPr>
              <w:t>.</w:t>
            </w:r>
            <w:r w:rsidRPr="0031164B">
              <w:rPr>
                <w:lang w:val="en-GB"/>
              </w:rPr>
              <w:t xml:space="preserve"> („</w:t>
            </w:r>
            <w:r w:rsidRPr="0031164B">
              <w:rPr>
                <w:b/>
                <w:lang w:val="en-GB"/>
              </w:rPr>
              <w:t>doba trvání prohlášení</w:t>
            </w:r>
            <w:r w:rsidRPr="0031164B">
              <w:rPr>
                <w:lang w:val="en-GB"/>
              </w:rPr>
              <w:t xml:space="preserve">“), </w:t>
            </w:r>
          </w:p>
        </w:tc>
        <w:tc>
          <w:tcPr>
            <w:tcW w:w="2500" w:type="pct"/>
          </w:tcPr>
          <w:p w14:paraId="5A4F4805" w14:textId="00149CC5" w:rsidR="00186A79" w:rsidRPr="0031164B" w:rsidRDefault="00DC6A4A" w:rsidP="00F35BB8">
            <w:pPr>
              <w:widowControl/>
              <w:autoSpaceDE/>
              <w:autoSpaceDN/>
              <w:adjustRightInd/>
              <w:spacing w:after="160" w:line="259" w:lineRule="auto"/>
              <w:jc w:val="both"/>
              <w:rPr>
                <w:rFonts w:eastAsia="Arial"/>
                <w:b/>
                <w:spacing w:val="1"/>
                <w:u w:val="single"/>
                <w:lang w:val="en-GB"/>
              </w:rPr>
            </w:pPr>
            <w:r w:rsidRPr="00DC6A4A">
              <w:rPr>
                <w:bCs/>
                <w:lang w:val="en-GB" w:eastAsia="en-US"/>
              </w:rPr>
              <w:t>4.</w:t>
            </w:r>
            <w:r w:rsidRPr="00DC6A4A">
              <w:rPr>
                <w:bCs/>
                <w:lang w:val="en-GB" w:eastAsia="en-US"/>
              </w:rPr>
              <w:tab/>
            </w:r>
            <w:r w:rsidR="00186A79" w:rsidRPr="0031164B">
              <w:rPr>
                <w:b/>
                <w:u w:val="single"/>
                <w:lang w:val="en-GB" w:eastAsia="en-US"/>
              </w:rPr>
              <w:t>SOW Term</w:t>
            </w:r>
            <w:r w:rsidR="00186A79" w:rsidRPr="0031164B">
              <w:rPr>
                <w:lang w:val="en-GB" w:eastAsia="en-US"/>
              </w:rPr>
              <w:t xml:space="preserve">.  This SOW shall become effective on the SOW Effective date, and unless terminated earlier in accordance with the terms of the Agreement, shall continue in effect </w:t>
            </w:r>
            <w:r w:rsidR="0068666D" w:rsidRPr="0068666D">
              <w:rPr>
                <w:lang w:val="en-GB" w:eastAsia="en-US"/>
              </w:rPr>
              <w:t>for the duration of the Purchase Agreement</w:t>
            </w:r>
            <w:r w:rsidR="0068666D" w:rsidRPr="0068666D" w:rsidDel="0068666D">
              <w:rPr>
                <w:lang w:val="en-GB" w:eastAsia="en-US"/>
              </w:rPr>
              <w:t xml:space="preserve"> </w:t>
            </w:r>
            <w:r w:rsidR="00AB765D">
              <w:rPr>
                <w:lang w:val="en-GB" w:eastAsia="en-US"/>
              </w:rPr>
              <w:t>re</w:t>
            </w:r>
            <w:r w:rsidR="00722743">
              <w:rPr>
                <w:lang w:val="en-GB" w:eastAsia="en-US"/>
              </w:rPr>
              <w:t xml:space="preserve">lating to BMS CAR-T products. </w:t>
            </w:r>
            <w:r w:rsidR="00186A79" w:rsidRPr="0031164B">
              <w:rPr>
                <w:lang w:val="en-GB" w:eastAsia="en-US"/>
              </w:rPr>
              <w:t>(the “</w:t>
            </w:r>
            <w:r w:rsidR="00186A79" w:rsidRPr="0031164B">
              <w:rPr>
                <w:b/>
                <w:lang w:val="en-GB" w:eastAsia="en-US"/>
              </w:rPr>
              <w:t>SOW Term</w:t>
            </w:r>
            <w:r w:rsidR="00186A79" w:rsidRPr="0031164B">
              <w:rPr>
                <w:lang w:val="en-GB" w:eastAsia="en-US"/>
              </w:rPr>
              <w:t xml:space="preserve">”), </w:t>
            </w:r>
          </w:p>
        </w:tc>
      </w:tr>
      <w:tr w:rsidR="00186A79" w:rsidRPr="0031164B" w14:paraId="0BD461C6" w14:textId="20222E71" w:rsidTr="00186A79">
        <w:tc>
          <w:tcPr>
            <w:tcW w:w="2500" w:type="pct"/>
          </w:tcPr>
          <w:p w14:paraId="68FB4D61" w14:textId="77777777" w:rsidR="00186A79" w:rsidRPr="001314E7" w:rsidRDefault="00186A79" w:rsidP="00186A79">
            <w:pPr>
              <w:widowControl/>
              <w:autoSpaceDE/>
              <w:adjustRightInd/>
              <w:spacing w:after="210" w:line="264" w:lineRule="auto"/>
              <w:jc w:val="both"/>
              <w:rPr>
                <w:rFonts w:eastAsia="SimSun"/>
                <w:u w:val="single"/>
              </w:rPr>
            </w:pPr>
            <w:r w:rsidRPr="001314E7">
              <w:rPr>
                <w:b/>
                <w:bCs/>
              </w:rPr>
              <w:t>NA DŮKAZ ČEHOŽ</w:t>
            </w:r>
            <w:r w:rsidRPr="001314E7">
              <w:t xml:space="preserve"> strany podepsaly toto prohlášení prostřednictvím svých řádně oprávněných zástupců k níže uvedeným datům a toto prohlášení nabývá účinnosti k výše uvedenému dni účinnosti prohlášení.</w:t>
            </w:r>
          </w:p>
        </w:tc>
        <w:tc>
          <w:tcPr>
            <w:tcW w:w="2500" w:type="pct"/>
          </w:tcPr>
          <w:p w14:paraId="5A5C6783" w14:textId="25FBEADA" w:rsidR="00186A79" w:rsidRPr="0031164B" w:rsidRDefault="00186A79" w:rsidP="00F35BB8">
            <w:pPr>
              <w:widowControl/>
              <w:autoSpaceDE/>
              <w:autoSpaceDN/>
              <w:adjustRightInd/>
              <w:spacing w:after="160" w:line="259" w:lineRule="auto"/>
              <w:jc w:val="both"/>
              <w:rPr>
                <w:rFonts w:eastAsia="SimSun"/>
                <w:u w:val="single"/>
                <w:lang w:val="en-GB"/>
              </w:rPr>
            </w:pPr>
            <w:r w:rsidRPr="0031164B">
              <w:rPr>
                <w:b/>
                <w:bCs/>
                <w:lang w:val="en-GB" w:eastAsia="en-US"/>
              </w:rPr>
              <w:t>IN WITNESS WHEREOF</w:t>
            </w:r>
            <w:r w:rsidRPr="0031164B">
              <w:rPr>
                <w:lang w:val="en-GB" w:eastAsia="en-US"/>
              </w:rPr>
              <w:t>, the Parties have executed this SOW by their duly authorized representatives as of the dates set forth below and this SOW shall be effective as of the SOW Effective Date set forth above.</w:t>
            </w:r>
          </w:p>
        </w:tc>
      </w:tr>
    </w:tbl>
    <w:p w14:paraId="63E34C95" w14:textId="77777777" w:rsidR="000A5162" w:rsidRPr="0031164B" w:rsidRDefault="000A5162" w:rsidP="000A5162">
      <w:pPr>
        <w:widowControl/>
        <w:adjustRightInd/>
        <w:ind w:left="360"/>
        <w:rPr>
          <w:lang w:val="en-GB"/>
        </w:rPr>
      </w:pPr>
    </w:p>
    <w:p w14:paraId="63E34C96" w14:textId="77777777" w:rsidR="000A5162" w:rsidRPr="0031164B" w:rsidRDefault="000A5162" w:rsidP="000A5162">
      <w:pPr>
        <w:widowControl/>
        <w:adjustRightInd/>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355"/>
        <w:gridCol w:w="856"/>
        <w:gridCol w:w="3485"/>
      </w:tblGrid>
      <w:tr w:rsidR="00205626" w:rsidRPr="0031164B" w14:paraId="63E34C99" w14:textId="77777777">
        <w:tc>
          <w:tcPr>
            <w:tcW w:w="4506" w:type="dxa"/>
            <w:gridSpan w:val="2"/>
            <w:tcBorders>
              <w:top w:val="nil"/>
              <w:left w:val="nil"/>
              <w:bottom w:val="nil"/>
              <w:right w:val="nil"/>
            </w:tcBorders>
            <w:hideMark/>
          </w:tcPr>
          <w:p w14:paraId="63E34C97" w14:textId="77777777" w:rsidR="000A5162" w:rsidRPr="0031164B" w:rsidRDefault="00CA50DA">
            <w:pPr>
              <w:widowControl/>
              <w:autoSpaceDE/>
              <w:adjustRightInd/>
              <w:spacing w:after="240"/>
              <w:jc w:val="both"/>
              <w:rPr>
                <w:b/>
                <w:bCs/>
                <w:lang w:val="en-GB"/>
              </w:rPr>
            </w:pPr>
            <w:bookmarkStart w:id="274" w:name="_Hlk10899044"/>
            <w:r w:rsidRPr="0031164B">
              <w:rPr>
                <w:b/>
                <w:bCs/>
                <w:lang w:val="en-GB"/>
              </w:rPr>
              <w:lastRenderedPageBreak/>
              <w:t xml:space="preserve">Celgene International Sàrl   </w:t>
            </w:r>
          </w:p>
        </w:tc>
        <w:tc>
          <w:tcPr>
            <w:tcW w:w="4513" w:type="dxa"/>
            <w:gridSpan w:val="2"/>
            <w:tcBorders>
              <w:top w:val="nil"/>
              <w:left w:val="nil"/>
              <w:bottom w:val="nil"/>
              <w:right w:val="nil"/>
            </w:tcBorders>
            <w:hideMark/>
          </w:tcPr>
          <w:p w14:paraId="63E34C98" w14:textId="65CBFA9A" w:rsidR="000A5162" w:rsidRPr="0031164B" w:rsidRDefault="00717BD4">
            <w:pPr>
              <w:widowControl/>
              <w:autoSpaceDE/>
              <w:adjustRightInd/>
              <w:spacing w:after="480"/>
              <w:jc w:val="both"/>
              <w:rPr>
                <w:lang w:val="en-GB"/>
              </w:rPr>
            </w:pPr>
            <w:r w:rsidRPr="00AA6FC6">
              <w:rPr>
                <w:b/>
                <w:caps/>
                <w:sz w:val="22"/>
                <w:szCs w:val="22"/>
                <w:lang w:val="en-GB"/>
              </w:rPr>
              <w:t>Fakultni nemoc</w:t>
            </w:r>
            <w:r w:rsidR="00AA6FC6" w:rsidRPr="00AA6FC6">
              <w:rPr>
                <w:b/>
                <w:caps/>
                <w:sz w:val="22"/>
                <w:szCs w:val="22"/>
                <w:lang w:val="en-GB"/>
              </w:rPr>
              <w:t xml:space="preserve">nice </w:t>
            </w:r>
            <w:r w:rsidR="009A6CD9">
              <w:rPr>
                <w:b/>
                <w:caps/>
                <w:sz w:val="22"/>
                <w:szCs w:val="22"/>
                <w:lang w:val="en-GB"/>
              </w:rPr>
              <w:t>plzeň</w:t>
            </w:r>
          </w:p>
        </w:tc>
      </w:tr>
      <w:tr w:rsidR="00205626" w:rsidRPr="0031164B" w14:paraId="63E34C9E" w14:textId="77777777">
        <w:tc>
          <w:tcPr>
            <w:tcW w:w="900" w:type="dxa"/>
            <w:tcBorders>
              <w:top w:val="nil"/>
              <w:left w:val="nil"/>
              <w:bottom w:val="nil"/>
              <w:right w:val="nil"/>
            </w:tcBorders>
            <w:vAlign w:val="bottom"/>
            <w:hideMark/>
          </w:tcPr>
          <w:p w14:paraId="292E90BF" w14:textId="77777777" w:rsidR="00CA50DA" w:rsidRPr="0031164B" w:rsidRDefault="00CA50DA">
            <w:pPr>
              <w:widowControl/>
              <w:autoSpaceDE/>
              <w:adjustRightInd/>
              <w:jc w:val="both"/>
              <w:rPr>
                <w:lang w:val="en-GB" w:eastAsia="en-US"/>
              </w:rPr>
            </w:pPr>
          </w:p>
          <w:p w14:paraId="43834FB4" w14:textId="77777777" w:rsidR="00CA50DA" w:rsidRPr="0031164B" w:rsidRDefault="00CA50DA">
            <w:pPr>
              <w:widowControl/>
              <w:autoSpaceDE/>
              <w:adjustRightInd/>
              <w:jc w:val="both"/>
              <w:rPr>
                <w:lang w:val="en-GB" w:eastAsia="en-US"/>
              </w:rPr>
            </w:pPr>
          </w:p>
          <w:p w14:paraId="47598AF3" w14:textId="77777777" w:rsidR="00CA50DA" w:rsidRPr="0031164B" w:rsidRDefault="00CA50DA">
            <w:pPr>
              <w:widowControl/>
              <w:autoSpaceDE/>
              <w:adjustRightInd/>
              <w:jc w:val="both"/>
              <w:rPr>
                <w:lang w:val="en-GB" w:eastAsia="en-US"/>
              </w:rPr>
            </w:pPr>
          </w:p>
          <w:p w14:paraId="63E34C9A" w14:textId="1F958D46" w:rsidR="000A5162" w:rsidRPr="0031164B" w:rsidRDefault="00CA50DA">
            <w:pPr>
              <w:widowControl/>
              <w:autoSpaceDE/>
              <w:adjustRightInd/>
              <w:jc w:val="both"/>
              <w:rPr>
                <w:u w:val="single"/>
                <w:lang w:val="en-GB"/>
              </w:rPr>
            </w:pPr>
            <w:r w:rsidRPr="0031164B">
              <w:rPr>
                <w:lang w:val="en-GB"/>
              </w:rPr>
              <w:t xml:space="preserve">Podepsán/a: </w:t>
            </w:r>
          </w:p>
        </w:tc>
        <w:tc>
          <w:tcPr>
            <w:tcW w:w="3606" w:type="dxa"/>
            <w:tcBorders>
              <w:top w:val="nil"/>
              <w:left w:val="nil"/>
              <w:bottom w:val="single" w:sz="4" w:space="0" w:color="auto"/>
              <w:right w:val="nil"/>
            </w:tcBorders>
            <w:vAlign w:val="bottom"/>
          </w:tcPr>
          <w:p w14:paraId="63E34C9B" w14:textId="77777777" w:rsidR="000A5162" w:rsidRPr="0031164B" w:rsidRDefault="000A5162">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9C" w14:textId="77777777" w:rsidR="000A5162" w:rsidRPr="0031164B" w:rsidRDefault="00CA50DA">
            <w:pPr>
              <w:widowControl/>
              <w:autoSpaceDE/>
              <w:adjustRightInd/>
              <w:jc w:val="both"/>
              <w:rPr>
                <w:u w:val="single"/>
                <w:lang w:val="en-GB"/>
              </w:rPr>
            </w:pPr>
            <w:r w:rsidRPr="0031164B">
              <w:rPr>
                <w:lang w:val="en-GB" w:eastAsia="en-US"/>
              </w:rPr>
              <w:t xml:space="preserve">By:  </w:t>
            </w:r>
          </w:p>
        </w:tc>
        <w:tc>
          <w:tcPr>
            <w:tcW w:w="3685" w:type="dxa"/>
            <w:tcBorders>
              <w:top w:val="nil"/>
              <w:left w:val="nil"/>
              <w:bottom w:val="single" w:sz="4" w:space="0" w:color="auto"/>
              <w:right w:val="nil"/>
            </w:tcBorders>
            <w:vAlign w:val="bottom"/>
          </w:tcPr>
          <w:p w14:paraId="63E34C9D" w14:textId="77777777" w:rsidR="000A5162" w:rsidRPr="0031164B" w:rsidRDefault="000A5162">
            <w:pPr>
              <w:widowControl/>
              <w:autoSpaceDE/>
              <w:adjustRightInd/>
              <w:jc w:val="both"/>
              <w:rPr>
                <w:u w:val="single"/>
                <w:lang w:val="en-GB" w:eastAsia="en-US"/>
              </w:rPr>
            </w:pPr>
          </w:p>
        </w:tc>
      </w:tr>
      <w:tr w:rsidR="00205626" w:rsidRPr="0031164B" w14:paraId="63E34CA4" w14:textId="77777777">
        <w:tc>
          <w:tcPr>
            <w:tcW w:w="900" w:type="dxa"/>
            <w:tcBorders>
              <w:top w:val="nil"/>
              <w:left w:val="nil"/>
              <w:bottom w:val="nil"/>
              <w:right w:val="nil"/>
            </w:tcBorders>
            <w:vAlign w:val="bottom"/>
          </w:tcPr>
          <w:p w14:paraId="63E34C9F" w14:textId="77777777" w:rsidR="000A5162" w:rsidRPr="0031164B" w:rsidRDefault="000A5162">
            <w:pPr>
              <w:widowControl/>
              <w:autoSpaceDE/>
              <w:adjustRightInd/>
              <w:jc w:val="both"/>
              <w:rPr>
                <w:lang w:val="en-GB" w:eastAsia="en-US"/>
              </w:rPr>
            </w:pPr>
          </w:p>
          <w:p w14:paraId="63E34CA0" w14:textId="77777777" w:rsidR="000A5162" w:rsidRPr="0031164B" w:rsidRDefault="00CA50DA">
            <w:pPr>
              <w:widowControl/>
              <w:autoSpaceDE/>
              <w:adjustRightInd/>
              <w:jc w:val="both"/>
              <w:rPr>
                <w:lang w:val="en-GB"/>
              </w:rPr>
            </w:pPr>
            <w:r w:rsidRPr="0031164B">
              <w:rPr>
                <w:lang w:val="en-GB"/>
              </w:rPr>
              <w:t xml:space="preserve">Jméno:  </w:t>
            </w:r>
          </w:p>
        </w:tc>
        <w:tc>
          <w:tcPr>
            <w:tcW w:w="3606" w:type="dxa"/>
            <w:tcBorders>
              <w:top w:val="single" w:sz="4" w:space="0" w:color="auto"/>
              <w:left w:val="nil"/>
              <w:bottom w:val="single" w:sz="4" w:space="0" w:color="auto"/>
              <w:right w:val="nil"/>
            </w:tcBorders>
            <w:vAlign w:val="bottom"/>
          </w:tcPr>
          <w:p w14:paraId="63E34CA1" w14:textId="77777777" w:rsidR="000A5162" w:rsidRPr="0031164B" w:rsidRDefault="000A5162">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A2" w14:textId="77777777" w:rsidR="000A5162" w:rsidRPr="0031164B" w:rsidRDefault="00CA50DA">
            <w:pPr>
              <w:widowControl/>
              <w:autoSpaceDE/>
              <w:adjustRightInd/>
              <w:jc w:val="both"/>
              <w:rPr>
                <w:u w:val="single"/>
                <w:lang w:val="en-GB"/>
              </w:rPr>
            </w:pPr>
            <w:r w:rsidRPr="0031164B">
              <w:rPr>
                <w:lang w:val="en-GB" w:eastAsia="en-US"/>
              </w:rPr>
              <w:t xml:space="preserve">Name: </w:t>
            </w:r>
          </w:p>
        </w:tc>
        <w:tc>
          <w:tcPr>
            <w:tcW w:w="3685" w:type="dxa"/>
            <w:tcBorders>
              <w:top w:val="single" w:sz="4" w:space="0" w:color="auto"/>
              <w:left w:val="nil"/>
              <w:bottom w:val="single" w:sz="4" w:space="0" w:color="auto"/>
              <w:right w:val="nil"/>
            </w:tcBorders>
            <w:vAlign w:val="bottom"/>
          </w:tcPr>
          <w:p w14:paraId="63E34CA3" w14:textId="42882B69" w:rsidR="000A5162" w:rsidRPr="0031164B" w:rsidRDefault="00953299">
            <w:pPr>
              <w:widowControl/>
              <w:autoSpaceDE/>
              <w:adjustRightInd/>
              <w:jc w:val="both"/>
              <w:rPr>
                <w:u w:val="single"/>
                <w:lang w:val="en-GB" w:eastAsia="en-US"/>
              </w:rPr>
            </w:pPr>
            <w:r w:rsidRPr="00B35FCC">
              <w:rPr>
                <w:sz w:val="22"/>
                <w:szCs w:val="22"/>
                <w:u w:val="single"/>
                <w:lang w:val="en-GB" w:eastAsia="en-US"/>
              </w:rPr>
              <w:t>Doc. MUDr. Václav Šimánek Ph.D.</w:t>
            </w:r>
          </w:p>
        </w:tc>
      </w:tr>
      <w:tr w:rsidR="00205626" w:rsidRPr="0031164B" w14:paraId="63E34CAA" w14:textId="77777777">
        <w:tc>
          <w:tcPr>
            <w:tcW w:w="900" w:type="dxa"/>
            <w:tcBorders>
              <w:top w:val="nil"/>
              <w:left w:val="nil"/>
              <w:bottom w:val="nil"/>
              <w:right w:val="nil"/>
            </w:tcBorders>
            <w:vAlign w:val="bottom"/>
          </w:tcPr>
          <w:p w14:paraId="63E34CA5" w14:textId="77777777" w:rsidR="000A5162" w:rsidRPr="0031164B" w:rsidRDefault="000A5162">
            <w:pPr>
              <w:widowControl/>
              <w:autoSpaceDE/>
              <w:adjustRightInd/>
              <w:jc w:val="both"/>
              <w:rPr>
                <w:lang w:val="en-GB" w:eastAsia="en-US"/>
              </w:rPr>
            </w:pPr>
          </w:p>
          <w:p w14:paraId="63E34CA6" w14:textId="77777777" w:rsidR="000A5162" w:rsidRPr="0031164B" w:rsidRDefault="00CA50DA">
            <w:pPr>
              <w:widowControl/>
              <w:autoSpaceDE/>
              <w:adjustRightInd/>
              <w:jc w:val="both"/>
              <w:rPr>
                <w:lang w:val="en-GB"/>
              </w:rPr>
            </w:pPr>
            <w:r w:rsidRPr="0031164B">
              <w:rPr>
                <w:lang w:val="en-GB"/>
              </w:rPr>
              <w:t>Pozice:</w:t>
            </w:r>
          </w:p>
        </w:tc>
        <w:tc>
          <w:tcPr>
            <w:tcW w:w="3606" w:type="dxa"/>
            <w:tcBorders>
              <w:top w:val="single" w:sz="4" w:space="0" w:color="auto"/>
              <w:left w:val="nil"/>
              <w:bottom w:val="single" w:sz="4" w:space="0" w:color="auto"/>
              <w:right w:val="nil"/>
            </w:tcBorders>
            <w:vAlign w:val="bottom"/>
          </w:tcPr>
          <w:p w14:paraId="63E34CA7" w14:textId="77777777" w:rsidR="000A5162" w:rsidRPr="0031164B" w:rsidRDefault="000A5162">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A8" w14:textId="77777777" w:rsidR="000A5162" w:rsidRPr="0031164B" w:rsidRDefault="00CA50DA">
            <w:pPr>
              <w:widowControl/>
              <w:autoSpaceDE/>
              <w:adjustRightInd/>
              <w:jc w:val="both"/>
              <w:rPr>
                <w:u w:val="single"/>
                <w:lang w:val="en-GB"/>
              </w:rPr>
            </w:pPr>
            <w:r w:rsidRPr="0031164B">
              <w:rPr>
                <w:lang w:val="en-GB" w:eastAsia="en-US"/>
              </w:rPr>
              <w:t xml:space="preserve">Title:  </w:t>
            </w:r>
          </w:p>
        </w:tc>
        <w:tc>
          <w:tcPr>
            <w:tcW w:w="3685" w:type="dxa"/>
            <w:tcBorders>
              <w:top w:val="single" w:sz="4" w:space="0" w:color="auto"/>
              <w:left w:val="nil"/>
              <w:bottom w:val="single" w:sz="4" w:space="0" w:color="auto"/>
              <w:right w:val="nil"/>
            </w:tcBorders>
            <w:vAlign w:val="bottom"/>
          </w:tcPr>
          <w:p w14:paraId="63E34CA9" w14:textId="17943A94" w:rsidR="000A5162" w:rsidRPr="0031164B" w:rsidRDefault="00953299">
            <w:pPr>
              <w:widowControl/>
              <w:autoSpaceDE/>
              <w:adjustRightInd/>
              <w:jc w:val="both"/>
              <w:rPr>
                <w:u w:val="single"/>
                <w:lang w:val="en-GB" w:eastAsia="en-US"/>
              </w:rPr>
            </w:pPr>
            <w:r>
              <w:rPr>
                <w:u w:val="single"/>
                <w:lang w:val="en-GB" w:eastAsia="en-US"/>
              </w:rPr>
              <w:t>ředitel</w:t>
            </w:r>
          </w:p>
        </w:tc>
      </w:tr>
      <w:tr w:rsidR="00205626" w:rsidRPr="0031164B" w14:paraId="63E34CB0" w14:textId="77777777">
        <w:tc>
          <w:tcPr>
            <w:tcW w:w="900" w:type="dxa"/>
            <w:tcBorders>
              <w:top w:val="nil"/>
              <w:left w:val="nil"/>
              <w:bottom w:val="nil"/>
              <w:right w:val="nil"/>
            </w:tcBorders>
            <w:vAlign w:val="bottom"/>
          </w:tcPr>
          <w:p w14:paraId="63E34CAB" w14:textId="77777777" w:rsidR="000A5162" w:rsidRPr="0031164B" w:rsidRDefault="000A5162">
            <w:pPr>
              <w:widowControl/>
              <w:autoSpaceDE/>
              <w:adjustRightInd/>
              <w:jc w:val="both"/>
              <w:rPr>
                <w:lang w:val="en-GB" w:eastAsia="en-US"/>
              </w:rPr>
            </w:pPr>
          </w:p>
          <w:p w14:paraId="63E34CAC" w14:textId="77777777" w:rsidR="000A5162" w:rsidRPr="0031164B" w:rsidRDefault="00CA50DA">
            <w:pPr>
              <w:widowControl/>
              <w:autoSpaceDE/>
              <w:adjustRightInd/>
              <w:jc w:val="both"/>
              <w:rPr>
                <w:lang w:val="en-GB"/>
              </w:rPr>
            </w:pPr>
            <w:r w:rsidRPr="0031164B">
              <w:rPr>
                <w:lang w:val="en-GB"/>
              </w:rPr>
              <w:t>Datum:</w:t>
            </w:r>
          </w:p>
        </w:tc>
        <w:tc>
          <w:tcPr>
            <w:tcW w:w="3606" w:type="dxa"/>
            <w:tcBorders>
              <w:top w:val="single" w:sz="4" w:space="0" w:color="auto"/>
              <w:left w:val="nil"/>
              <w:bottom w:val="single" w:sz="4" w:space="0" w:color="auto"/>
              <w:right w:val="nil"/>
            </w:tcBorders>
            <w:vAlign w:val="bottom"/>
          </w:tcPr>
          <w:p w14:paraId="63E34CAD" w14:textId="77777777" w:rsidR="000A5162" w:rsidRPr="0031164B" w:rsidRDefault="000A5162">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AE" w14:textId="77777777" w:rsidR="000A5162" w:rsidRPr="0031164B" w:rsidRDefault="00CA50DA">
            <w:pPr>
              <w:widowControl/>
              <w:autoSpaceDE/>
              <w:adjustRightInd/>
              <w:jc w:val="both"/>
              <w:rPr>
                <w:u w:val="single"/>
                <w:lang w:val="en-GB"/>
              </w:rPr>
            </w:pPr>
            <w:r w:rsidRPr="0031164B">
              <w:rPr>
                <w:lang w:val="en-GB" w:eastAsia="en-US"/>
              </w:rPr>
              <w:t xml:space="preserve">Date:  </w:t>
            </w:r>
          </w:p>
        </w:tc>
        <w:tc>
          <w:tcPr>
            <w:tcW w:w="3685" w:type="dxa"/>
            <w:tcBorders>
              <w:top w:val="single" w:sz="4" w:space="0" w:color="auto"/>
              <w:left w:val="nil"/>
              <w:bottom w:val="single" w:sz="4" w:space="0" w:color="auto"/>
              <w:right w:val="nil"/>
            </w:tcBorders>
            <w:vAlign w:val="bottom"/>
          </w:tcPr>
          <w:p w14:paraId="63E34CAF" w14:textId="77777777" w:rsidR="000A5162" w:rsidRPr="0031164B" w:rsidRDefault="000A5162">
            <w:pPr>
              <w:widowControl/>
              <w:autoSpaceDE/>
              <w:adjustRightInd/>
              <w:jc w:val="both"/>
              <w:rPr>
                <w:u w:val="single"/>
                <w:lang w:val="en-GB" w:eastAsia="en-US"/>
              </w:rPr>
            </w:pPr>
          </w:p>
        </w:tc>
      </w:tr>
      <w:bookmarkEnd w:id="274"/>
    </w:tbl>
    <w:p w14:paraId="63E34CB1" w14:textId="77777777" w:rsidR="000A5162" w:rsidRPr="0031164B" w:rsidRDefault="000A5162" w:rsidP="000A5162">
      <w:pPr>
        <w:widowControl/>
        <w:adjustRightInd/>
        <w:rPr>
          <w:lang w:val="en-GB"/>
        </w:rPr>
      </w:pPr>
    </w:p>
    <w:p w14:paraId="63E34CB2" w14:textId="77777777" w:rsidR="006E2364" w:rsidRPr="0031164B" w:rsidRDefault="00CA50DA">
      <w:pPr>
        <w:widowControl/>
        <w:autoSpaceDE/>
        <w:autoSpaceDN/>
        <w:adjustRightInd/>
        <w:spacing w:after="160" w:line="259" w:lineRule="auto"/>
        <w:rPr>
          <w:rFonts w:eastAsia="SimSun"/>
          <w:lang w:val="en-GB"/>
        </w:rPr>
      </w:pPr>
      <w:r w:rsidRPr="0031164B">
        <w:rPr>
          <w:lang w:val="en-GB"/>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6A79" w:rsidRPr="0031164B" w14:paraId="0A58EBF6" w14:textId="7440E96A" w:rsidTr="00186A79">
        <w:tc>
          <w:tcPr>
            <w:tcW w:w="2500" w:type="pct"/>
          </w:tcPr>
          <w:p w14:paraId="5F4C39F9" w14:textId="77777777" w:rsidR="00186A79" w:rsidRPr="001314E7" w:rsidRDefault="00186A79" w:rsidP="00186A79">
            <w:pPr>
              <w:widowControl/>
              <w:adjustRightInd/>
              <w:jc w:val="center"/>
              <w:rPr>
                <w:b/>
                <w:lang w:val="pt-BR"/>
              </w:rPr>
            </w:pPr>
            <w:r w:rsidRPr="001314E7">
              <w:rPr>
                <w:b/>
                <w:lang w:val="pt-BR"/>
              </w:rPr>
              <w:lastRenderedPageBreak/>
              <w:t xml:space="preserve">Prohlášení o pracovní činnosti pro dodávku produktu </w:t>
            </w:r>
          </w:p>
        </w:tc>
        <w:tc>
          <w:tcPr>
            <w:tcW w:w="2500" w:type="pct"/>
            <w:vAlign w:val="center"/>
          </w:tcPr>
          <w:p w14:paraId="79478C6D" w14:textId="3B79F438" w:rsidR="00186A79" w:rsidRPr="0031164B" w:rsidRDefault="00186A79" w:rsidP="00186A79">
            <w:pPr>
              <w:widowControl/>
              <w:autoSpaceDE/>
              <w:autoSpaceDN/>
              <w:adjustRightInd/>
              <w:spacing w:after="160" w:line="259" w:lineRule="auto"/>
              <w:jc w:val="center"/>
              <w:rPr>
                <w:b/>
                <w:lang w:val="en-GB"/>
              </w:rPr>
            </w:pPr>
            <w:r w:rsidRPr="0031164B">
              <w:rPr>
                <w:b/>
                <w:lang w:val="en-GB"/>
              </w:rPr>
              <w:t>Statement of Work for Product supply</w:t>
            </w:r>
          </w:p>
        </w:tc>
      </w:tr>
      <w:tr w:rsidR="00186A79" w:rsidRPr="0031164B" w14:paraId="74A6E311" w14:textId="505347B3" w:rsidTr="00186A79">
        <w:tc>
          <w:tcPr>
            <w:tcW w:w="2500" w:type="pct"/>
          </w:tcPr>
          <w:p w14:paraId="1061026E" w14:textId="77777777" w:rsidR="00186A79" w:rsidRPr="0031164B" w:rsidRDefault="00186A79" w:rsidP="00186A79">
            <w:pPr>
              <w:widowControl/>
              <w:adjustRightInd/>
              <w:jc w:val="center"/>
              <w:rPr>
                <w:b/>
                <w:lang w:val="en-GB"/>
              </w:rPr>
            </w:pPr>
          </w:p>
        </w:tc>
        <w:tc>
          <w:tcPr>
            <w:tcW w:w="2500" w:type="pct"/>
            <w:vAlign w:val="center"/>
          </w:tcPr>
          <w:p w14:paraId="25F28295" w14:textId="77777777" w:rsidR="00186A79" w:rsidRPr="0031164B" w:rsidRDefault="00186A79" w:rsidP="00186A79">
            <w:pPr>
              <w:widowControl/>
              <w:autoSpaceDE/>
              <w:autoSpaceDN/>
              <w:adjustRightInd/>
              <w:spacing w:after="160" w:line="259" w:lineRule="auto"/>
              <w:jc w:val="center"/>
              <w:rPr>
                <w:b/>
                <w:lang w:val="en-GB"/>
              </w:rPr>
            </w:pPr>
          </w:p>
        </w:tc>
      </w:tr>
      <w:tr w:rsidR="00186A79" w:rsidRPr="0031164B" w14:paraId="64685D2E" w14:textId="63885ED3" w:rsidTr="00186A79">
        <w:tc>
          <w:tcPr>
            <w:tcW w:w="2500" w:type="pct"/>
          </w:tcPr>
          <w:p w14:paraId="4161EA5A" w14:textId="7DAA4962" w:rsidR="00186A79" w:rsidRPr="0031164B" w:rsidRDefault="00186A79" w:rsidP="00186A79">
            <w:pPr>
              <w:widowControl/>
              <w:autoSpaceDE/>
              <w:adjustRightInd/>
              <w:spacing w:line="264" w:lineRule="auto"/>
              <w:jc w:val="center"/>
              <w:rPr>
                <w:rFonts w:eastAsia="SimSun"/>
                <w:b/>
                <w:u w:val="single"/>
                <w:lang w:val="en-GB"/>
              </w:rPr>
            </w:pPr>
            <w:r w:rsidRPr="0031164B">
              <w:rPr>
                <w:b/>
                <w:lang w:val="en-GB"/>
              </w:rPr>
              <w:t xml:space="preserve">PROHLÁŠENÍ O PRACOVNÍ ČINNOSTI # </w:t>
            </w:r>
            <w:r w:rsidR="006A1068">
              <w:rPr>
                <w:b/>
                <w:u w:val="single"/>
                <w:lang w:val="en-GB"/>
              </w:rPr>
              <w:t>2</w:t>
            </w:r>
          </w:p>
        </w:tc>
        <w:tc>
          <w:tcPr>
            <w:tcW w:w="2500" w:type="pct"/>
            <w:vAlign w:val="center"/>
          </w:tcPr>
          <w:p w14:paraId="01AAB68C" w14:textId="71457F47" w:rsidR="00186A79" w:rsidRPr="0031164B" w:rsidRDefault="00186A79" w:rsidP="00186A79">
            <w:pPr>
              <w:widowControl/>
              <w:autoSpaceDE/>
              <w:autoSpaceDN/>
              <w:adjustRightInd/>
              <w:spacing w:after="160" w:line="259" w:lineRule="auto"/>
              <w:jc w:val="center"/>
              <w:rPr>
                <w:rFonts w:eastAsia="SimSun"/>
                <w:b/>
                <w:u w:val="single"/>
                <w:lang w:val="en-GB"/>
              </w:rPr>
            </w:pPr>
            <w:r w:rsidRPr="0031164B">
              <w:rPr>
                <w:b/>
                <w:lang w:val="en-GB" w:eastAsia="en-US"/>
              </w:rPr>
              <w:t xml:space="preserve">STATEMENT OF WORK # </w:t>
            </w:r>
            <w:r w:rsidR="006A1068">
              <w:rPr>
                <w:b/>
                <w:u w:val="single"/>
                <w:lang w:val="en-GB" w:eastAsia="en-US"/>
              </w:rPr>
              <w:t>2</w:t>
            </w:r>
          </w:p>
        </w:tc>
      </w:tr>
      <w:tr w:rsidR="00186A79" w:rsidRPr="0031164B" w14:paraId="2563DAAA" w14:textId="181ACAB6" w:rsidTr="00186A79">
        <w:tc>
          <w:tcPr>
            <w:tcW w:w="2500" w:type="pct"/>
          </w:tcPr>
          <w:p w14:paraId="12CB896D" w14:textId="77777777" w:rsidR="00186A79" w:rsidRPr="0031164B" w:rsidRDefault="00186A79" w:rsidP="00186A79">
            <w:pPr>
              <w:widowControl/>
              <w:autoSpaceDE/>
              <w:adjustRightInd/>
              <w:spacing w:line="264" w:lineRule="auto"/>
              <w:jc w:val="center"/>
              <w:rPr>
                <w:rFonts w:eastAsia="SimSun"/>
                <w:b/>
                <w:u w:val="single"/>
                <w:lang w:val="en-GB" w:eastAsia="en-US"/>
              </w:rPr>
            </w:pPr>
          </w:p>
        </w:tc>
        <w:tc>
          <w:tcPr>
            <w:tcW w:w="2500" w:type="pct"/>
          </w:tcPr>
          <w:p w14:paraId="56DF6C24" w14:textId="77777777" w:rsidR="00186A79" w:rsidRPr="0031164B" w:rsidRDefault="00186A79" w:rsidP="00186A79">
            <w:pPr>
              <w:widowControl/>
              <w:autoSpaceDE/>
              <w:autoSpaceDN/>
              <w:adjustRightInd/>
              <w:spacing w:after="160" w:line="259" w:lineRule="auto"/>
              <w:rPr>
                <w:rFonts w:eastAsia="SimSun"/>
                <w:b/>
                <w:u w:val="single"/>
                <w:lang w:val="en-GB" w:eastAsia="en-US"/>
              </w:rPr>
            </w:pPr>
          </w:p>
        </w:tc>
      </w:tr>
      <w:tr w:rsidR="00186A79" w:rsidRPr="0031164B" w14:paraId="5DB7DE6C" w14:textId="54448F56" w:rsidTr="00186A79">
        <w:tc>
          <w:tcPr>
            <w:tcW w:w="2500" w:type="pct"/>
          </w:tcPr>
          <w:p w14:paraId="02C86ADA" w14:textId="047D27F2" w:rsidR="00186A79" w:rsidRPr="001314E7" w:rsidRDefault="00186A79" w:rsidP="00186A79">
            <w:pPr>
              <w:widowControl/>
              <w:autoSpaceDE/>
              <w:adjustRightInd/>
              <w:spacing w:line="264" w:lineRule="auto"/>
              <w:jc w:val="both"/>
              <w:rPr>
                <w:rFonts w:eastAsia="SimSun"/>
              </w:rPr>
            </w:pPr>
            <w:r w:rsidRPr="001314E7">
              <w:t xml:space="preserve">Toto </w:t>
            </w:r>
            <w:r w:rsidRPr="001314E7">
              <w:rPr>
                <w:b/>
              </w:rPr>
              <w:t xml:space="preserve">prohlášení o pracovní činnosti č. </w:t>
            </w:r>
            <w:r w:rsidR="00874219">
              <w:rPr>
                <w:b/>
              </w:rPr>
              <w:t>2</w:t>
            </w:r>
            <w:r w:rsidRPr="001314E7">
              <w:rPr>
                <w:b/>
              </w:rPr>
              <w:t xml:space="preserve"> </w:t>
            </w:r>
            <w:r w:rsidRPr="001314E7">
              <w:t>(dále jen „</w:t>
            </w:r>
            <w:r w:rsidRPr="001314E7">
              <w:rPr>
                <w:b/>
              </w:rPr>
              <w:t>prohlášení</w:t>
            </w:r>
            <w:r w:rsidRPr="001314E7">
              <w:t xml:space="preserve">“) </w:t>
            </w:r>
            <w:r w:rsidR="009D7F11" w:rsidRPr="009D7F11">
              <w:t>nabývá platnosti podpisem obou smluvních stran a účinnosti nejdříve dnem zveřejnění v registru smluv dle zákona č. 340/2015 Sb., o registru smluv</w:t>
            </w:r>
            <w:r w:rsidRPr="001314E7">
              <w:t xml:space="preserve"> (dále jen „</w:t>
            </w:r>
            <w:r w:rsidRPr="001314E7">
              <w:rPr>
                <w:b/>
              </w:rPr>
              <w:t>den účinnosti prohlášení</w:t>
            </w:r>
            <w:r w:rsidRPr="001314E7">
              <w:t xml:space="preserve">“) mezi společností </w:t>
            </w:r>
            <w:r w:rsidRPr="001314E7">
              <w:rPr>
                <w:b/>
                <w:bCs/>
              </w:rPr>
              <w:t>Bristol-Myers Squibb spol. s r.o</w:t>
            </w:r>
            <w:r w:rsidRPr="001314E7">
              <w:t>, se sídlem Budějovická 778/3, Praha 4, Česká republika (dále jen „</w:t>
            </w:r>
            <w:r w:rsidRPr="001314E7">
              <w:rPr>
                <w:b/>
                <w:bCs/>
                <w:sz w:val="22"/>
                <w:szCs w:val="22"/>
              </w:rPr>
              <w:t>BMS</w:t>
            </w:r>
            <w:r w:rsidRPr="001314E7">
              <w:t xml:space="preserve">“) a </w:t>
            </w:r>
            <w:r w:rsidR="000E2955">
              <w:rPr>
                <w:b/>
                <w:bCs/>
              </w:rPr>
              <w:t xml:space="preserve">Fakultní nemocnice </w:t>
            </w:r>
            <w:r w:rsidR="009205AC">
              <w:rPr>
                <w:b/>
                <w:bCs/>
              </w:rPr>
              <w:t>Plzeň</w:t>
            </w:r>
            <w:r w:rsidR="00E36937" w:rsidRPr="00E36937">
              <w:t xml:space="preserve">, se sídlem na adrese </w:t>
            </w:r>
            <w:r w:rsidR="009205AC">
              <w:t>Edvarda Beneše 1128/13, 301 00 Plzeň</w:t>
            </w:r>
            <w:r w:rsidR="00E36937" w:rsidRPr="00E36937">
              <w:t xml:space="preserve">, Česká republika (dále jen </w:t>
            </w:r>
            <w:r w:rsidR="00E36937" w:rsidRPr="00872033">
              <w:rPr>
                <w:b/>
                <w:bCs/>
              </w:rPr>
              <w:t>„Centrum“</w:t>
            </w:r>
            <w:r w:rsidR="00E36937" w:rsidRPr="00E36937">
              <w:t xml:space="preserve">).  Společnost BMS a Centrum mohou být v tomto dokumentu označovány jednotlivě jako </w:t>
            </w:r>
            <w:r w:rsidR="00E36937" w:rsidRPr="00872033">
              <w:rPr>
                <w:b/>
                <w:bCs/>
              </w:rPr>
              <w:t>„smluvní strana nebo strana“</w:t>
            </w:r>
            <w:r w:rsidR="00E36937" w:rsidRPr="00E36937">
              <w:t xml:space="preserve"> a společně jako </w:t>
            </w:r>
            <w:r w:rsidR="00E36937" w:rsidRPr="00872033">
              <w:rPr>
                <w:b/>
                <w:bCs/>
              </w:rPr>
              <w:t>„smluvní strany nebo strany“</w:t>
            </w:r>
            <w:r w:rsidR="00E36937" w:rsidRPr="00E36937">
              <w:t>.</w:t>
            </w:r>
          </w:p>
        </w:tc>
        <w:tc>
          <w:tcPr>
            <w:tcW w:w="2500" w:type="pct"/>
          </w:tcPr>
          <w:p w14:paraId="653BA7C3" w14:textId="2C7443CF" w:rsidR="00186A79" w:rsidRPr="0031164B" w:rsidRDefault="00186A79" w:rsidP="00F35BB8">
            <w:pPr>
              <w:widowControl/>
              <w:autoSpaceDE/>
              <w:autoSpaceDN/>
              <w:adjustRightInd/>
              <w:spacing w:after="160" w:line="259" w:lineRule="auto"/>
              <w:jc w:val="both"/>
              <w:rPr>
                <w:rFonts w:eastAsia="SimSun"/>
                <w:lang w:val="en-GB"/>
              </w:rPr>
            </w:pPr>
            <w:r w:rsidRPr="0031164B">
              <w:rPr>
                <w:lang w:val="en-GB" w:eastAsia="en-US"/>
              </w:rPr>
              <w:t xml:space="preserve">This </w:t>
            </w:r>
            <w:r w:rsidRPr="0031164B">
              <w:rPr>
                <w:b/>
                <w:lang w:val="en-GB" w:eastAsia="en-US"/>
              </w:rPr>
              <w:t xml:space="preserve">Statement of Work # </w:t>
            </w:r>
            <w:r w:rsidR="00874219">
              <w:rPr>
                <w:b/>
                <w:lang w:val="en-GB" w:eastAsia="en-US"/>
              </w:rPr>
              <w:t>2</w:t>
            </w:r>
            <w:r w:rsidRPr="0031164B">
              <w:rPr>
                <w:b/>
                <w:lang w:val="en-GB" w:eastAsia="en-US"/>
              </w:rPr>
              <w:t xml:space="preserve"> </w:t>
            </w:r>
            <w:r w:rsidRPr="0031164B">
              <w:rPr>
                <w:lang w:val="en-GB" w:eastAsia="en-US"/>
              </w:rPr>
              <w:t>(hereinafter, “</w:t>
            </w:r>
            <w:r w:rsidRPr="0031164B">
              <w:rPr>
                <w:b/>
                <w:lang w:val="en-GB" w:eastAsia="en-US"/>
              </w:rPr>
              <w:t>SOW</w:t>
            </w:r>
            <w:r w:rsidRPr="0031164B">
              <w:rPr>
                <w:lang w:val="en-GB" w:eastAsia="en-US"/>
              </w:rPr>
              <w:t xml:space="preserve">”), </w:t>
            </w:r>
            <w:r w:rsidR="003441DD" w:rsidRPr="003441DD">
              <w:rPr>
                <w:lang w:val="en-GB" w:eastAsia="en-US"/>
              </w:rPr>
              <w:t xml:space="preserve">becomes valid upon the signature of both contracting parties and takes effect no earlier than the day it is published in the contract register in accordance with Act No. 340/2015 Coll., on the contract register. </w:t>
            </w:r>
            <w:r w:rsidRPr="0031164B">
              <w:rPr>
                <w:lang w:val="en-GB" w:eastAsia="en-US"/>
              </w:rPr>
              <w:t>(the “</w:t>
            </w:r>
            <w:r w:rsidRPr="0031164B">
              <w:rPr>
                <w:b/>
                <w:lang w:val="en-GB" w:eastAsia="en-US"/>
              </w:rPr>
              <w:t>SOW Effective Date</w:t>
            </w:r>
            <w:r w:rsidRPr="0031164B">
              <w:rPr>
                <w:lang w:val="en-GB" w:eastAsia="en-US"/>
              </w:rPr>
              <w:t xml:space="preserve">”), between </w:t>
            </w:r>
            <w:r w:rsidRPr="0031164B">
              <w:rPr>
                <w:b/>
                <w:bCs/>
                <w:lang w:val="en-GB"/>
              </w:rPr>
              <w:t>Bristol-Myers Squibb spol. s r.o</w:t>
            </w:r>
            <w:r w:rsidRPr="0031164B">
              <w:rPr>
                <w:lang w:val="en-GB" w:eastAsia="en-US"/>
              </w:rPr>
              <w:t xml:space="preserve">, located at </w:t>
            </w:r>
            <w:r w:rsidRPr="0031164B">
              <w:rPr>
                <w:lang w:val="en-GB"/>
              </w:rPr>
              <w:t>Budějovická 778/3, Praha 4, Czech Republic</w:t>
            </w:r>
            <w:r w:rsidRPr="0031164B">
              <w:rPr>
                <w:lang w:val="en-GB" w:eastAsia="en-US"/>
              </w:rPr>
              <w:t xml:space="preserve"> (“</w:t>
            </w:r>
            <w:r w:rsidRPr="0031164B">
              <w:rPr>
                <w:b/>
                <w:bCs/>
                <w:sz w:val="22"/>
                <w:szCs w:val="22"/>
                <w:lang w:val="en-GB"/>
              </w:rPr>
              <w:t>BMS</w:t>
            </w:r>
            <w:r w:rsidRPr="0031164B">
              <w:rPr>
                <w:lang w:val="en-GB" w:eastAsia="en-US"/>
              </w:rPr>
              <w:t xml:space="preserve">”) and </w:t>
            </w:r>
            <w:r w:rsidR="006B3FB9">
              <w:rPr>
                <w:b/>
                <w:bCs/>
                <w:lang w:val="en-GB" w:eastAsia="en-US"/>
              </w:rPr>
              <w:t xml:space="preserve">Fakultni nemocnice </w:t>
            </w:r>
            <w:r w:rsidR="00DD6CE4">
              <w:rPr>
                <w:b/>
                <w:bCs/>
                <w:lang w:val="en-GB" w:eastAsia="en-US"/>
              </w:rPr>
              <w:t>Plzen</w:t>
            </w:r>
            <w:r w:rsidR="00953B88" w:rsidRPr="00953B88">
              <w:rPr>
                <w:lang w:val="en-GB" w:eastAsia="en-US"/>
              </w:rPr>
              <w:t xml:space="preserve">, located at </w:t>
            </w:r>
            <w:r w:rsidR="00DD6CE4">
              <w:rPr>
                <w:lang w:val="en-GB" w:eastAsia="en-US"/>
              </w:rPr>
              <w:t>Edvarda Benese 1128/13</w:t>
            </w:r>
            <w:r w:rsidR="005648B3">
              <w:rPr>
                <w:lang w:val="en-GB" w:eastAsia="en-US"/>
              </w:rPr>
              <w:t>, 301 00 Plzen</w:t>
            </w:r>
            <w:r w:rsidR="00953B88" w:rsidRPr="00953B88">
              <w:rPr>
                <w:lang w:val="en-GB" w:eastAsia="en-US"/>
              </w:rPr>
              <w:t xml:space="preserve">, Czech Republic </w:t>
            </w:r>
            <w:r w:rsidR="00953B88" w:rsidRPr="00872033">
              <w:rPr>
                <w:b/>
                <w:bCs/>
                <w:lang w:val="en-GB" w:eastAsia="en-US"/>
              </w:rPr>
              <w:t>(“Center”</w:t>
            </w:r>
            <w:r w:rsidR="00953B88" w:rsidRPr="00953B88">
              <w:rPr>
                <w:lang w:val="en-GB" w:eastAsia="en-US"/>
              </w:rPr>
              <w:t xml:space="preserve">).  BMS and Center may be referred to herein individually as a </w:t>
            </w:r>
            <w:r w:rsidR="00953B88" w:rsidRPr="00872033">
              <w:rPr>
                <w:b/>
                <w:bCs/>
                <w:lang w:val="en-GB" w:eastAsia="en-US"/>
              </w:rPr>
              <w:t>“Party</w:t>
            </w:r>
            <w:r w:rsidR="00953B88" w:rsidRPr="00953B88">
              <w:rPr>
                <w:lang w:val="en-GB" w:eastAsia="en-US"/>
              </w:rPr>
              <w:t xml:space="preserve">” and collectively as the </w:t>
            </w:r>
            <w:r w:rsidR="00953B88" w:rsidRPr="00872033">
              <w:rPr>
                <w:b/>
                <w:bCs/>
                <w:lang w:val="en-GB" w:eastAsia="en-US"/>
              </w:rPr>
              <w:t>“Parties.”</w:t>
            </w:r>
          </w:p>
        </w:tc>
      </w:tr>
      <w:tr w:rsidR="00186A79" w:rsidRPr="0031164B" w14:paraId="3C269E34" w14:textId="5AD4647F" w:rsidTr="00186A79">
        <w:tc>
          <w:tcPr>
            <w:tcW w:w="2500" w:type="pct"/>
          </w:tcPr>
          <w:p w14:paraId="71DCBC09" w14:textId="77777777" w:rsidR="00186A79" w:rsidRPr="0031164B" w:rsidRDefault="00186A79" w:rsidP="00186A79">
            <w:pPr>
              <w:widowControl/>
              <w:autoSpaceDE/>
              <w:adjustRightInd/>
              <w:spacing w:line="264" w:lineRule="auto"/>
              <w:jc w:val="both"/>
              <w:rPr>
                <w:rFonts w:eastAsia="SimSun"/>
                <w:lang w:val="en-GB" w:eastAsia="en-US"/>
              </w:rPr>
            </w:pPr>
          </w:p>
        </w:tc>
        <w:tc>
          <w:tcPr>
            <w:tcW w:w="2500" w:type="pct"/>
          </w:tcPr>
          <w:p w14:paraId="21204D81" w14:textId="77777777" w:rsidR="00186A79" w:rsidRPr="0031164B" w:rsidRDefault="00186A79" w:rsidP="00F35BB8">
            <w:pPr>
              <w:widowControl/>
              <w:autoSpaceDE/>
              <w:autoSpaceDN/>
              <w:adjustRightInd/>
              <w:spacing w:after="160" w:line="259" w:lineRule="auto"/>
              <w:jc w:val="both"/>
              <w:rPr>
                <w:rFonts w:eastAsia="SimSun"/>
                <w:lang w:val="en-GB" w:eastAsia="en-US"/>
              </w:rPr>
            </w:pPr>
          </w:p>
        </w:tc>
      </w:tr>
      <w:tr w:rsidR="00186A79" w:rsidRPr="0031164B" w14:paraId="21F56E3A" w14:textId="6F4A20E2" w:rsidTr="00186A79">
        <w:tc>
          <w:tcPr>
            <w:tcW w:w="2500" w:type="pct"/>
          </w:tcPr>
          <w:p w14:paraId="30901153" w14:textId="035A1C0B" w:rsidR="00186A79" w:rsidRPr="001314E7" w:rsidRDefault="00186A79" w:rsidP="00186A79">
            <w:pPr>
              <w:widowControl/>
              <w:autoSpaceDE/>
              <w:adjustRightInd/>
              <w:spacing w:line="264" w:lineRule="auto"/>
              <w:jc w:val="both"/>
              <w:rPr>
                <w:rFonts w:eastAsia="SimSun"/>
              </w:rPr>
            </w:pPr>
            <w:r w:rsidRPr="001314E7">
              <w:rPr>
                <w:b/>
              </w:rPr>
              <w:t>VZHLEDEM K TOMU</w:t>
            </w:r>
            <w:r w:rsidRPr="001314E7">
              <w:t xml:space="preserve">, že </w:t>
            </w:r>
            <w:r w:rsidR="00E30E72">
              <w:t>Centrum</w:t>
            </w:r>
            <w:r w:rsidRPr="001314E7">
              <w:t>, Bristol-Myers Squibb spol. s r.o</w:t>
            </w:r>
            <w:r w:rsidR="00E31252">
              <w:t>.</w:t>
            </w:r>
            <w:r w:rsidRPr="001314E7">
              <w:t xml:space="preserve"> a Celgene International Sàrl jménem svým a svých přidružených společností uzavřely rámcovou smlouvu o dodávkách produktu CAR-T a službách (ve znění případných změn, dále jen „</w:t>
            </w:r>
            <w:r w:rsidRPr="001314E7">
              <w:rPr>
                <w:b/>
              </w:rPr>
              <w:t>smlouva</w:t>
            </w:r>
            <w:r w:rsidRPr="001314E7">
              <w:t>“); a</w:t>
            </w:r>
          </w:p>
        </w:tc>
        <w:tc>
          <w:tcPr>
            <w:tcW w:w="2500" w:type="pct"/>
          </w:tcPr>
          <w:p w14:paraId="09DC61D6" w14:textId="32F27C2F" w:rsidR="00186A79" w:rsidRPr="0031164B" w:rsidRDefault="00186A79" w:rsidP="00F35BB8">
            <w:pPr>
              <w:widowControl/>
              <w:autoSpaceDE/>
              <w:autoSpaceDN/>
              <w:adjustRightInd/>
              <w:spacing w:after="160" w:line="259" w:lineRule="auto"/>
              <w:jc w:val="both"/>
              <w:rPr>
                <w:rFonts w:eastAsia="SimSun"/>
                <w:lang w:val="en-GB"/>
              </w:rPr>
            </w:pPr>
            <w:r w:rsidRPr="0031164B">
              <w:rPr>
                <w:b/>
                <w:lang w:val="en-GB" w:eastAsia="en-US"/>
              </w:rPr>
              <w:t>WHEREAS</w:t>
            </w:r>
            <w:r w:rsidRPr="0031164B">
              <w:rPr>
                <w:lang w:val="en-GB" w:eastAsia="en-US"/>
              </w:rPr>
              <w:t xml:space="preserve">, Center, </w:t>
            </w:r>
            <w:r w:rsidRPr="0031164B">
              <w:rPr>
                <w:lang w:val="en-GB"/>
              </w:rPr>
              <w:t>Bristol-Myers Squibb spol. s r.o</w:t>
            </w:r>
            <w:r w:rsidRPr="0031164B">
              <w:rPr>
                <w:lang w:val="en-GB" w:eastAsia="en-US"/>
              </w:rPr>
              <w:t xml:space="preserve"> and Celgene International Sàrl, on behalf of itself and its Affiliates, entered into a CAR-T Master Product Supply and Apheresis Services Agreement, (as such agreement may be amended from time to time, the “</w:t>
            </w:r>
            <w:r w:rsidRPr="0031164B">
              <w:rPr>
                <w:b/>
                <w:lang w:val="en-GB" w:eastAsia="en-US"/>
              </w:rPr>
              <w:t>Agreement</w:t>
            </w:r>
            <w:r w:rsidRPr="0031164B">
              <w:rPr>
                <w:lang w:val="en-GB" w:eastAsia="en-US"/>
              </w:rPr>
              <w:t>”); and</w:t>
            </w:r>
          </w:p>
        </w:tc>
      </w:tr>
      <w:tr w:rsidR="00186A79" w:rsidRPr="0031164B" w14:paraId="0FBC1B19" w14:textId="6EE2FF88" w:rsidTr="00186A79">
        <w:tc>
          <w:tcPr>
            <w:tcW w:w="2500" w:type="pct"/>
          </w:tcPr>
          <w:p w14:paraId="5F926F13" w14:textId="77777777" w:rsidR="00186A79" w:rsidRPr="0031164B" w:rsidRDefault="00186A79" w:rsidP="00186A79">
            <w:pPr>
              <w:widowControl/>
              <w:autoSpaceDE/>
              <w:adjustRightInd/>
              <w:spacing w:line="264" w:lineRule="auto"/>
              <w:jc w:val="both"/>
              <w:rPr>
                <w:rFonts w:eastAsia="SimSun"/>
                <w:lang w:val="en-GB"/>
              </w:rPr>
            </w:pPr>
            <w:r w:rsidRPr="0031164B">
              <w:rPr>
                <w:lang w:val="en-GB"/>
              </w:rPr>
              <w:tab/>
            </w:r>
          </w:p>
        </w:tc>
        <w:tc>
          <w:tcPr>
            <w:tcW w:w="2500" w:type="pct"/>
          </w:tcPr>
          <w:p w14:paraId="1571FFF7" w14:textId="51756E70" w:rsidR="00186A79" w:rsidRPr="0031164B" w:rsidRDefault="00186A79" w:rsidP="00F35BB8">
            <w:pPr>
              <w:widowControl/>
              <w:autoSpaceDE/>
              <w:autoSpaceDN/>
              <w:adjustRightInd/>
              <w:spacing w:after="160" w:line="259" w:lineRule="auto"/>
              <w:jc w:val="both"/>
              <w:rPr>
                <w:rFonts w:eastAsia="SimSun"/>
                <w:lang w:val="en-GB"/>
              </w:rPr>
            </w:pPr>
            <w:r w:rsidRPr="0031164B">
              <w:rPr>
                <w:lang w:val="en-GB" w:eastAsia="en-US"/>
              </w:rPr>
              <w:tab/>
            </w:r>
          </w:p>
        </w:tc>
      </w:tr>
      <w:tr w:rsidR="00186A79" w:rsidRPr="0031164B" w14:paraId="43D837E5" w14:textId="211A9203" w:rsidTr="00186A79">
        <w:tc>
          <w:tcPr>
            <w:tcW w:w="2500" w:type="pct"/>
          </w:tcPr>
          <w:p w14:paraId="3E6856D6" w14:textId="35721B4B" w:rsidR="00186A79" w:rsidRPr="001314E7" w:rsidRDefault="00186A79" w:rsidP="00186A79">
            <w:pPr>
              <w:widowControl/>
              <w:autoSpaceDE/>
              <w:adjustRightInd/>
              <w:spacing w:line="264" w:lineRule="auto"/>
              <w:jc w:val="both"/>
              <w:rPr>
                <w:rFonts w:eastAsia="SimSun"/>
              </w:rPr>
            </w:pPr>
            <w:r w:rsidRPr="001314E7">
              <w:rPr>
                <w:b/>
              </w:rPr>
              <w:t>VZHLEDEM K TOMU</w:t>
            </w:r>
            <w:r w:rsidRPr="001314E7">
              <w:t xml:space="preserve">, že si strany přejí uzavřít toto prohlášení, na jehož základě může </w:t>
            </w:r>
            <w:r w:rsidR="00826AD3">
              <w:t>Centrum</w:t>
            </w:r>
            <w:r w:rsidRPr="001314E7">
              <w:t xml:space="preserve"> zadávat objednávky produktů, aby společnost </w:t>
            </w:r>
            <w:r w:rsidRPr="001314E7">
              <w:rPr>
                <w:sz w:val="22"/>
                <w:szCs w:val="22"/>
              </w:rPr>
              <w:t>BMS</w:t>
            </w:r>
            <w:r w:rsidRPr="001314E7">
              <w:t xml:space="preserve"> mohla distribuovat produkty </w:t>
            </w:r>
            <w:r w:rsidR="00826AD3">
              <w:t>Centru</w:t>
            </w:r>
            <w:r w:rsidRPr="001314E7">
              <w:t xml:space="preserve"> v souladu s podmínkami této smlouvy. </w:t>
            </w:r>
          </w:p>
        </w:tc>
        <w:tc>
          <w:tcPr>
            <w:tcW w:w="2500" w:type="pct"/>
          </w:tcPr>
          <w:p w14:paraId="13602FF8" w14:textId="6C1CFD61" w:rsidR="00186A79" w:rsidRPr="0031164B" w:rsidRDefault="00186A79" w:rsidP="00F35BB8">
            <w:pPr>
              <w:widowControl/>
              <w:autoSpaceDE/>
              <w:autoSpaceDN/>
              <w:adjustRightInd/>
              <w:spacing w:after="160" w:line="259" w:lineRule="auto"/>
              <w:jc w:val="both"/>
              <w:rPr>
                <w:rFonts w:eastAsia="SimSun"/>
                <w:lang w:val="en-GB"/>
              </w:rPr>
            </w:pPr>
            <w:r w:rsidRPr="0031164B">
              <w:rPr>
                <w:b/>
                <w:lang w:val="en-GB" w:eastAsia="en-US"/>
              </w:rPr>
              <w:t>WHEREAS</w:t>
            </w:r>
            <w:r w:rsidRPr="0031164B">
              <w:rPr>
                <w:lang w:val="en-GB" w:eastAsia="en-US"/>
              </w:rPr>
              <w:t xml:space="preserve">, the Parties desire to enter into this SOW under which Center may place Product Orders so that </w:t>
            </w:r>
            <w:r w:rsidRPr="0031164B">
              <w:rPr>
                <w:sz w:val="22"/>
                <w:szCs w:val="22"/>
                <w:lang w:val="en-GB"/>
              </w:rPr>
              <w:t>BMS</w:t>
            </w:r>
            <w:r w:rsidRPr="0031164B">
              <w:rPr>
                <w:lang w:val="en-GB" w:eastAsia="en-US"/>
              </w:rPr>
              <w:t xml:space="preserve"> may distribute Product to Center in accordance with the terms and conditions of the Agreement. </w:t>
            </w:r>
          </w:p>
        </w:tc>
      </w:tr>
      <w:tr w:rsidR="00186A79" w:rsidRPr="0031164B" w14:paraId="66F434FA" w14:textId="2F316C99" w:rsidTr="00186A79">
        <w:tc>
          <w:tcPr>
            <w:tcW w:w="2500" w:type="pct"/>
          </w:tcPr>
          <w:p w14:paraId="58E51219" w14:textId="77777777" w:rsidR="00186A79" w:rsidRPr="0031164B" w:rsidRDefault="00186A79" w:rsidP="00186A79">
            <w:pPr>
              <w:widowControl/>
              <w:autoSpaceDE/>
              <w:adjustRightInd/>
              <w:spacing w:line="264" w:lineRule="auto"/>
              <w:jc w:val="both"/>
              <w:rPr>
                <w:rFonts w:eastAsia="SimSun"/>
                <w:lang w:val="en-GB" w:eastAsia="en-US"/>
              </w:rPr>
            </w:pPr>
          </w:p>
        </w:tc>
        <w:tc>
          <w:tcPr>
            <w:tcW w:w="2500" w:type="pct"/>
          </w:tcPr>
          <w:p w14:paraId="161FF4E3" w14:textId="77777777" w:rsidR="00186A79" w:rsidRPr="0031164B" w:rsidRDefault="00186A79" w:rsidP="00F35BB8">
            <w:pPr>
              <w:widowControl/>
              <w:autoSpaceDE/>
              <w:autoSpaceDN/>
              <w:adjustRightInd/>
              <w:spacing w:after="160" w:line="259" w:lineRule="auto"/>
              <w:jc w:val="both"/>
              <w:rPr>
                <w:rFonts w:eastAsia="SimSun"/>
                <w:lang w:val="en-GB" w:eastAsia="en-US"/>
              </w:rPr>
            </w:pPr>
          </w:p>
        </w:tc>
      </w:tr>
      <w:tr w:rsidR="00186A79" w:rsidRPr="0031164B" w14:paraId="63A9E3D2" w14:textId="630270FE" w:rsidTr="00186A79">
        <w:tc>
          <w:tcPr>
            <w:tcW w:w="2500" w:type="pct"/>
          </w:tcPr>
          <w:p w14:paraId="41A14A3D" w14:textId="77777777" w:rsidR="00186A79" w:rsidRPr="0031164B" w:rsidRDefault="00186A79" w:rsidP="00186A79">
            <w:pPr>
              <w:widowControl/>
              <w:autoSpaceDE/>
              <w:adjustRightInd/>
              <w:spacing w:line="264" w:lineRule="auto"/>
              <w:jc w:val="both"/>
              <w:rPr>
                <w:rFonts w:eastAsia="SimSun"/>
                <w:lang w:val="en-GB"/>
              </w:rPr>
            </w:pPr>
            <w:r w:rsidRPr="0031164B">
              <w:rPr>
                <w:b/>
                <w:lang w:val="en-GB"/>
              </w:rPr>
              <w:t>SMLUVNÍ STRANY SE PROTO</w:t>
            </w:r>
            <w:r w:rsidRPr="0031164B">
              <w:rPr>
                <w:lang w:val="en-GB"/>
              </w:rPr>
              <w:t xml:space="preserve"> dohodly takto:</w:t>
            </w:r>
          </w:p>
        </w:tc>
        <w:tc>
          <w:tcPr>
            <w:tcW w:w="2500" w:type="pct"/>
          </w:tcPr>
          <w:p w14:paraId="6FB5B9E1" w14:textId="29A8E560" w:rsidR="00186A79" w:rsidRPr="0031164B" w:rsidRDefault="00186A79" w:rsidP="00F35BB8">
            <w:pPr>
              <w:widowControl/>
              <w:autoSpaceDE/>
              <w:autoSpaceDN/>
              <w:adjustRightInd/>
              <w:spacing w:after="160" w:line="259" w:lineRule="auto"/>
              <w:jc w:val="both"/>
              <w:rPr>
                <w:rFonts w:eastAsia="SimSun"/>
                <w:lang w:val="en-GB"/>
              </w:rPr>
            </w:pPr>
            <w:r w:rsidRPr="0031164B">
              <w:rPr>
                <w:b/>
                <w:lang w:val="en-GB" w:eastAsia="en-US"/>
              </w:rPr>
              <w:t>NOW, THEREFORE</w:t>
            </w:r>
            <w:r w:rsidRPr="0031164B">
              <w:rPr>
                <w:lang w:val="en-GB" w:eastAsia="en-US"/>
              </w:rPr>
              <w:t>, the Parties agree as follows:</w:t>
            </w:r>
          </w:p>
        </w:tc>
      </w:tr>
      <w:tr w:rsidR="00186A79" w:rsidRPr="0031164B" w14:paraId="189C854D" w14:textId="4F74586F" w:rsidTr="00186A79">
        <w:tc>
          <w:tcPr>
            <w:tcW w:w="2500" w:type="pct"/>
          </w:tcPr>
          <w:p w14:paraId="0795CB14" w14:textId="77777777" w:rsidR="00186A79" w:rsidRPr="0031164B" w:rsidRDefault="00186A79" w:rsidP="00186A79">
            <w:pPr>
              <w:widowControl/>
              <w:autoSpaceDE/>
              <w:adjustRightInd/>
              <w:spacing w:line="264" w:lineRule="auto"/>
              <w:jc w:val="both"/>
              <w:rPr>
                <w:rFonts w:ascii="Arial" w:eastAsia="SimSun" w:hAnsi="Arial" w:cs="Arial"/>
                <w:sz w:val="21"/>
                <w:szCs w:val="21"/>
                <w:lang w:val="en-GB" w:eastAsia="en-US"/>
              </w:rPr>
            </w:pPr>
          </w:p>
        </w:tc>
        <w:tc>
          <w:tcPr>
            <w:tcW w:w="2500" w:type="pct"/>
          </w:tcPr>
          <w:p w14:paraId="3D717BE2" w14:textId="77777777" w:rsidR="00186A79" w:rsidRPr="0031164B" w:rsidRDefault="00186A79" w:rsidP="00F35BB8">
            <w:pPr>
              <w:widowControl/>
              <w:autoSpaceDE/>
              <w:autoSpaceDN/>
              <w:adjustRightInd/>
              <w:spacing w:after="160" w:line="259" w:lineRule="auto"/>
              <w:jc w:val="both"/>
              <w:rPr>
                <w:rFonts w:ascii="Arial" w:eastAsia="SimSun" w:hAnsi="Arial" w:cs="Arial"/>
                <w:sz w:val="21"/>
                <w:szCs w:val="21"/>
                <w:lang w:val="en-GB" w:eastAsia="en-US"/>
              </w:rPr>
            </w:pPr>
          </w:p>
        </w:tc>
      </w:tr>
      <w:tr w:rsidR="00186A79" w:rsidRPr="0031164B" w14:paraId="292F1685" w14:textId="45AA539C" w:rsidTr="00186A79">
        <w:tc>
          <w:tcPr>
            <w:tcW w:w="2500" w:type="pct"/>
          </w:tcPr>
          <w:p w14:paraId="47B295F1" w14:textId="77777777" w:rsidR="00186A79" w:rsidRPr="001314E7" w:rsidRDefault="00186A79" w:rsidP="00186A79">
            <w:pPr>
              <w:widowControl/>
              <w:numPr>
                <w:ilvl w:val="0"/>
                <w:numId w:val="17"/>
              </w:numPr>
              <w:autoSpaceDE/>
              <w:adjustRightInd/>
              <w:snapToGrid w:val="0"/>
              <w:spacing w:after="240" w:line="264" w:lineRule="auto"/>
              <w:jc w:val="both"/>
              <w:rPr>
                <w:rFonts w:eastAsia="Arial"/>
                <w:spacing w:val="1"/>
              </w:rPr>
            </w:pPr>
            <w:r w:rsidRPr="001314E7">
              <w:rPr>
                <w:b/>
                <w:u w:val="single"/>
              </w:rPr>
              <w:lastRenderedPageBreak/>
              <w:t>Definice pojmů.</w:t>
            </w:r>
            <w:r w:rsidRPr="001314E7">
              <w:t xml:space="preserve">  Pojmy (s velkým počátečním písmenem), které jsou v tomto prohlášení použity, ale nejsou definovány, mají význam, který je jim přiřazen ve smlouvě.  </w:t>
            </w:r>
          </w:p>
        </w:tc>
        <w:tc>
          <w:tcPr>
            <w:tcW w:w="2500" w:type="pct"/>
          </w:tcPr>
          <w:p w14:paraId="32565E97" w14:textId="50579F27" w:rsidR="00186A79" w:rsidRPr="0031164B" w:rsidRDefault="00DC6A4A" w:rsidP="00F35BB8">
            <w:pPr>
              <w:widowControl/>
              <w:autoSpaceDE/>
              <w:autoSpaceDN/>
              <w:adjustRightInd/>
              <w:spacing w:after="160" w:line="259" w:lineRule="auto"/>
              <w:jc w:val="both"/>
              <w:rPr>
                <w:rFonts w:eastAsia="Arial"/>
                <w:spacing w:val="1"/>
                <w:lang w:val="en-GB"/>
              </w:rPr>
            </w:pPr>
            <w:r w:rsidRPr="00DC6A4A">
              <w:rPr>
                <w:bCs/>
                <w:lang w:val="en-GB" w:eastAsia="en-US"/>
              </w:rPr>
              <w:t>1.</w:t>
            </w:r>
            <w:r w:rsidRPr="00DC6A4A">
              <w:rPr>
                <w:bCs/>
                <w:lang w:val="en-GB" w:eastAsia="en-US"/>
              </w:rPr>
              <w:tab/>
            </w:r>
            <w:r w:rsidR="00186A79" w:rsidRPr="0031164B">
              <w:rPr>
                <w:b/>
                <w:u w:val="single"/>
                <w:lang w:val="en-GB" w:eastAsia="en-US"/>
              </w:rPr>
              <w:t>Defined Terms</w:t>
            </w:r>
            <w:r w:rsidR="00186A79" w:rsidRPr="0031164B">
              <w:rPr>
                <w:lang w:val="en-GB" w:eastAsia="en-US"/>
              </w:rPr>
              <w:t xml:space="preserve">.  Capitalized terms used but not defined herein this SOW shall have the meanings ascribed in the Agreement.  </w:t>
            </w:r>
          </w:p>
        </w:tc>
      </w:tr>
      <w:tr w:rsidR="00186A79" w:rsidRPr="0031164B" w14:paraId="528C301F" w14:textId="24A7B1FF" w:rsidTr="00186A79">
        <w:tc>
          <w:tcPr>
            <w:tcW w:w="2500" w:type="pct"/>
          </w:tcPr>
          <w:p w14:paraId="0E7FA93D" w14:textId="1B92D4AB" w:rsidR="00186A79" w:rsidRPr="001314E7" w:rsidRDefault="00186A79" w:rsidP="00186A79">
            <w:pPr>
              <w:widowControl/>
              <w:numPr>
                <w:ilvl w:val="0"/>
                <w:numId w:val="17"/>
              </w:numPr>
              <w:tabs>
                <w:tab w:val="left" w:pos="0"/>
              </w:tabs>
              <w:autoSpaceDE/>
              <w:adjustRightInd/>
              <w:snapToGrid w:val="0"/>
              <w:spacing w:after="240" w:line="264" w:lineRule="auto"/>
              <w:ind w:left="0" w:firstLine="0"/>
              <w:jc w:val="both"/>
              <w:rPr>
                <w:rFonts w:eastAsia="Arial"/>
                <w:spacing w:val="1"/>
              </w:rPr>
            </w:pPr>
            <w:r w:rsidRPr="001314E7">
              <w:rPr>
                <w:b/>
                <w:u w:val="single"/>
              </w:rPr>
              <w:t>Objednávání produktů.</w:t>
            </w:r>
            <w:r w:rsidRPr="001314E7">
              <w:t xml:space="preserve">  Po: (i) oznámení společnosti </w:t>
            </w:r>
            <w:r w:rsidRPr="001314E7">
              <w:rPr>
                <w:sz w:val="22"/>
                <w:szCs w:val="22"/>
              </w:rPr>
              <w:t>BMS</w:t>
            </w:r>
            <w:r w:rsidRPr="001314E7">
              <w:t xml:space="preserve"> </w:t>
            </w:r>
            <w:r w:rsidR="000350CA">
              <w:t>Centru</w:t>
            </w:r>
            <w:r w:rsidRPr="001314E7">
              <w:t xml:space="preserve">, že bylo jmenováno </w:t>
            </w:r>
            <w:r w:rsidR="00B85A6B">
              <w:t>K</w:t>
            </w:r>
            <w:r w:rsidRPr="001314E7">
              <w:t xml:space="preserve">valifikovaným </w:t>
            </w:r>
            <w:r w:rsidR="00B85A6B">
              <w:t>centram</w:t>
            </w:r>
            <w:r w:rsidRPr="001314E7">
              <w:t xml:space="preserve">, a (ii) uzavření tohoto prohlášení, může </w:t>
            </w:r>
            <w:r w:rsidR="00BB7DEF">
              <w:t>Centrum</w:t>
            </w:r>
            <w:r w:rsidRPr="001314E7">
              <w:t xml:space="preserve"> zadávat objednávky na produkt společnosti </w:t>
            </w:r>
            <w:r w:rsidRPr="001314E7">
              <w:rPr>
                <w:sz w:val="22"/>
                <w:szCs w:val="22"/>
              </w:rPr>
              <w:t>BMS</w:t>
            </w:r>
            <w:r w:rsidRPr="001314E7">
              <w:t xml:space="preserve">, </w:t>
            </w:r>
            <w:r w:rsidR="0017600B">
              <w:t>B</w:t>
            </w:r>
            <w:r w:rsidR="00780378">
              <w:t>REYANZI, ABECMA</w:t>
            </w:r>
            <w:r w:rsidRPr="001314E7">
              <w:t xml:space="preserve"> (dále jen „</w:t>
            </w:r>
            <w:r w:rsidRPr="001314E7">
              <w:rPr>
                <w:b/>
              </w:rPr>
              <w:t>produkt</w:t>
            </w:r>
            <w:r w:rsidRPr="001314E7">
              <w:t xml:space="preserve">“), pro každého pacienta, kterému lékař </w:t>
            </w:r>
            <w:r w:rsidR="00BB7DEF">
              <w:t>Centra</w:t>
            </w:r>
            <w:r w:rsidRPr="001314E7">
              <w:t xml:space="preserve"> s řádnou licencí předepsal produkt (dále jen „</w:t>
            </w:r>
            <w:r w:rsidRPr="001314E7">
              <w:rPr>
                <w:b/>
              </w:rPr>
              <w:t>objednávka produktu</w:t>
            </w:r>
            <w:r w:rsidRPr="001314E7">
              <w:t xml:space="preserve">“).   </w:t>
            </w:r>
          </w:p>
        </w:tc>
        <w:tc>
          <w:tcPr>
            <w:tcW w:w="2500" w:type="pct"/>
          </w:tcPr>
          <w:p w14:paraId="50644340" w14:textId="5A408A0E" w:rsidR="00186A79" w:rsidRPr="0031164B" w:rsidRDefault="00DC6A4A" w:rsidP="00F35BB8">
            <w:pPr>
              <w:widowControl/>
              <w:autoSpaceDE/>
              <w:autoSpaceDN/>
              <w:adjustRightInd/>
              <w:spacing w:after="160" w:line="259" w:lineRule="auto"/>
              <w:jc w:val="both"/>
              <w:rPr>
                <w:rFonts w:eastAsia="Arial"/>
                <w:spacing w:val="1"/>
                <w:lang w:val="en-GB"/>
              </w:rPr>
            </w:pPr>
            <w:r w:rsidRPr="00DC6A4A">
              <w:rPr>
                <w:bCs/>
                <w:lang w:val="en-GB" w:eastAsia="en-US"/>
              </w:rPr>
              <w:t>2.</w:t>
            </w:r>
            <w:r w:rsidRPr="00DC6A4A">
              <w:rPr>
                <w:bCs/>
                <w:lang w:val="en-GB" w:eastAsia="en-US"/>
              </w:rPr>
              <w:tab/>
            </w:r>
            <w:r w:rsidR="00186A79" w:rsidRPr="0031164B">
              <w:rPr>
                <w:b/>
                <w:u w:val="single"/>
                <w:lang w:val="en-GB" w:eastAsia="en-US"/>
              </w:rPr>
              <w:t>Product Ordering</w:t>
            </w:r>
            <w:r w:rsidR="00186A79" w:rsidRPr="0031164B">
              <w:rPr>
                <w:lang w:val="en-GB" w:eastAsia="en-US"/>
              </w:rPr>
              <w:t xml:space="preserve">.  Upon: (i) </w:t>
            </w:r>
            <w:r w:rsidR="00186A79" w:rsidRPr="0031164B">
              <w:rPr>
                <w:sz w:val="22"/>
                <w:szCs w:val="22"/>
                <w:lang w:val="en-GB"/>
              </w:rPr>
              <w:t>BMS’</w:t>
            </w:r>
            <w:r w:rsidR="00186A79" w:rsidRPr="0031164B">
              <w:rPr>
                <w:lang w:val="en-GB" w:eastAsia="en-US"/>
              </w:rPr>
              <w:t xml:space="preserve"> notice to Center it has been designated a Qualified Center and (ii) execution of this SOW, Center may place orders for </w:t>
            </w:r>
            <w:r w:rsidR="00186A79" w:rsidRPr="0031164B">
              <w:rPr>
                <w:sz w:val="22"/>
                <w:szCs w:val="22"/>
                <w:lang w:val="en-GB"/>
              </w:rPr>
              <w:t xml:space="preserve">BMS’ </w:t>
            </w:r>
            <w:r w:rsidR="00186A79" w:rsidRPr="0031164B">
              <w:rPr>
                <w:lang w:val="en-GB" w:eastAsia="en-US"/>
              </w:rPr>
              <w:t xml:space="preserve">Product, </w:t>
            </w:r>
            <w:r w:rsidR="00780378">
              <w:rPr>
                <w:lang w:val="en-GB" w:eastAsia="en-US"/>
              </w:rPr>
              <w:t>BREYANZI, ABECMA</w:t>
            </w:r>
            <w:r w:rsidR="00186A79" w:rsidRPr="0031164B">
              <w:rPr>
                <w:lang w:val="en-GB" w:eastAsia="en-US"/>
              </w:rPr>
              <w:t xml:space="preserve"> (the “</w:t>
            </w:r>
            <w:r w:rsidR="00186A79" w:rsidRPr="0031164B">
              <w:rPr>
                <w:b/>
                <w:lang w:val="en-GB" w:eastAsia="en-US"/>
              </w:rPr>
              <w:t>Product</w:t>
            </w:r>
            <w:r w:rsidR="00186A79" w:rsidRPr="0031164B">
              <w:rPr>
                <w:lang w:val="en-GB" w:eastAsia="en-US"/>
              </w:rPr>
              <w:t>”), for each patient for whom a duly licensed healthcare practitioner of Center has prescribed Product (each a “</w:t>
            </w:r>
            <w:r w:rsidR="00186A79" w:rsidRPr="0031164B">
              <w:rPr>
                <w:b/>
                <w:lang w:val="en-GB" w:eastAsia="en-US"/>
              </w:rPr>
              <w:t>Product Order</w:t>
            </w:r>
            <w:r w:rsidR="00186A79" w:rsidRPr="0031164B">
              <w:rPr>
                <w:lang w:val="en-GB" w:eastAsia="en-US"/>
              </w:rPr>
              <w:t xml:space="preserve">”).   </w:t>
            </w:r>
          </w:p>
        </w:tc>
      </w:tr>
      <w:tr w:rsidR="00186A79" w:rsidRPr="0031164B" w14:paraId="2B626C1D" w14:textId="69663DEE" w:rsidTr="00186A79">
        <w:tc>
          <w:tcPr>
            <w:tcW w:w="2500" w:type="pct"/>
          </w:tcPr>
          <w:p w14:paraId="671F007B" w14:textId="77777777" w:rsidR="00186A79" w:rsidRPr="0031164B" w:rsidRDefault="00186A79" w:rsidP="00186A79">
            <w:pPr>
              <w:widowControl/>
              <w:numPr>
                <w:ilvl w:val="0"/>
                <w:numId w:val="17"/>
              </w:numPr>
              <w:tabs>
                <w:tab w:val="left" w:pos="0"/>
              </w:tabs>
              <w:autoSpaceDE/>
              <w:adjustRightInd/>
              <w:snapToGrid w:val="0"/>
              <w:spacing w:after="240" w:line="264" w:lineRule="auto"/>
              <w:ind w:left="0" w:firstLine="0"/>
              <w:jc w:val="both"/>
              <w:rPr>
                <w:rFonts w:eastAsia="Arial"/>
                <w:spacing w:val="1"/>
                <w:u w:val="single"/>
                <w:lang w:val="en-GB"/>
              </w:rPr>
            </w:pPr>
            <w:r w:rsidRPr="0031164B">
              <w:rPr>
                <w:b/>
                <w:u w:val="single"/>
                <w:lang w:val="en-GB"/>
              </w:rPr>
              <w:t>Schválení subdodavatelé.</w:t>
            </w:r>
            <w:r w:rsidRPr="0031164B">
              <w:rPr>
                <w:lang w:val="en-GB"/>
              </w:rPr>
              <w:t xml:space="preserve"> </w:t>
            </w:r>
          </w:p>
        </w:tc>
        <w:tc>
          <w:tcPr>
            <w:tcW w:w="2500" w:type="pct"/>
          </w:tcPr>
          <w:p w14:paraId="1262B805" w14:textId="5D5C6863" w:rsidR="00186A79" w:rsidRPr="0031164B" w:rsidRDefault="00DC6A4A" w:rsidP="00F35BB8">
            <w:pPr>
              <w:widowControl/>
              <w:autoSpaceDE/>
              <w:autoSpaceDN/>
              <w:adjustRightInd/>
              <w:spacing w:after="160" w:line="259" w:lineRule="auto"/>
              <w:jc w:val="both"/>
              <w:rPr>
                <w:rFonts w:eastAsia="Arial"/>
                <w:spacing w:val="1"/>
                <w:u w:val="single"/>
                <w:lang w:val="en-GB"/>
              </w:rPr>
            </w:pPr>
            <w:r w:rsidRPr="00DC6A4A">
              <w:rPr>
                <w:bCs/>
                <w:lang w:val="en-GB" w:eastAsia="en-US"/>
              </w:rPr>
              <w:t>3.</w:t>
            </w:r>
            <w:r w:rsidRPr="00DC6A4A">
              <w:rPr>
                <w:bCs/>
                <w:lang w:val="en-GB" w:eastAsia="en-US"/>
              </w:rPr>
              <w:tab/>
            </w:r>
            <w:r w:rsidR="00186A79" w:rsidRPr="0031164B">
              <w:rPr>
                <w:b/>
                <w:u w:val="single"/>
                <w:lang w:val="en-GB" w:eastAsia="en-US"/>
              </w:rPr>
              <w:t>Approved Subcontractors</w:t>
            </w:r>
            <w:r w:rsidR="00186A79" w:rsidRPr="0031164B">
              <w:rPr>
                <w:lang w:val="en-GB" w:eastAsia="en-US"/>
              </w:rPr>
              <w:t xml:space="preserve">. </w:t>
            </w:r>
          </w:p>
        </w:tc>
      </w:tr>
      <w:tr w:rsidR="00DC6A4A" w:rsidRPr="0031164B" w14:paraId="4C2AE626" w14:textId="06089DB3" w:rsidTr="00D23897">
        <w:trPr>
          <w:trHeight w:val="3819"/>
        </w:trPr>
        <w:tc>
          <w:tcPr>
            <w:tcW w:w="2500" w:type="pct"/>
          </w:tcPr>
          <w:p w14:paraId="6680BF47" w14:textId="37431DE8" w:rsidR="00DC6A4A" w:rsidRPr="001314E7" w:rsidRDefault="009F7DAC" w:rsidP="00186A79">
            <w:pPr>
              <w:widowControl/>
              <w:numPr>
                <w:ilvl w:val="1"/>
                <w:numId w:val="17"/>
              </w:numPr>
              <w:tabs>
                <w:tab w:val="left" w:pos="0"/>
              </w:tabs>
              <w:autoSpaceDE/>
              <w:adjustRightInd/>
              <w:snapToGrid w:val="0"/>
              <w:spacing w:after="240" w:line="264" w:lineRule="auto"/>
              <w:jc w:val="both"/>
              <w:rPr>
                <w:rFonts w:eastAsia="Arial"/>
                <w:spacing w:val="1"/>
                <w:u w:val="single"/>
              </w:rPr>
            </w:pPr>
            <w:r>
              <w:t>Centrum</w:t>
            </w:r>
            <w:r w:rsidR="00DC6A4A" w:rsidRPr="001314E7">
              <w:t xml:space="preserve"> nevyužije žádného subdodavatele z řad třetích stran k plnění svých závazků podle t</w:t>
            </w:r>
            <w:r w:rsidR="00A20098">
              <w:t xml:space="preserve">ohoto </w:t>
            </w:r>
            <w:r w:rsidR="00E45AFA">
              <w:t>p</w:t>
            </w:r>
            <w:r w:rsidR="00A20098">
              <w:t>rohlášení</w:t>
            </w:r>
            <w:r w:rsidR="00DC6A4A" w:rsidRPr="001314E7">
              <w:t xml:space="preserve"> </w:t>
            </w:r>
          </w:p>
          <w:p w14:paraId="79DA70EB" w14:textId="10340961" w:rsidR="00DC6A4A" w:rsidRPr="001314E7" w:rsidRDefault="00DC6A4A" w:rsidP="00B37CC4">
            <w:pPr>
              <w:tabs>
                <w:tab w:val="left" w:pos="0"/>
              </w:tabs>
              <w:snapToGrid w:val="0"/>
              <w:spacing w:after="240" w:line="264" w:lineRule="auto"/>
              <w:ind w:left="1080"/>
              <w:jc w:val="both"/>
              <w:rPr>
                <w:rFonts w:eastAsia="Arial"/>
                <w:spacing w:val="1"/>
                <w:u w:val="single"/>
              </w:rPr>
            </w:pPr>
          </w:p>
        </w:tc>
        <w:tc>
          <w:tcPr>
            <w:tcW w:w="2500" w:type="pct"/>
          </w:tcPr>
          <w:p w14:paraId="103F2B34" w14:textId="5CD93418" w:rsidR="00DC6A4A" w:rsidRPr="0031164B" w:rsidRDefault="00DC6A4A" w:rsidP="00F35BB8">
            <w:pPr>
              <w:widowControl/>
              <w:autoSpaceDE/>
              <w:autoSpaceDN/>
              <w:adjustRightInd/>
              <w:spacing w:after="160" w:line="259" w:lineRule="auto"/>
              <w:ind w:left="322" w:hanging="322"/>
              <w:jc w:val="both"/>
              <w:rPr>
                <w:rFonts w:eastAsia="Arial"/>
                <w:spacing w:val="1"/>
                <w:u w:val="single"/>
                <w:lang w:val="en-GB"/>
              </w:rPr>
            </w:pPr>
            <w:r>
              <w:rPr>
                <w:lang w:val="en-GB" w:eastAsia="en-US"/>
              </w:rPr>
              <w:t>a.</w:t>
            </w:r>
            <w:r>
              <w:rPr>
                <w:lang w:val="en-GB" w:eastAsia="en-US"/>
              </w:rPr>
              <w:tab/>
            </w:r>
            <w:r w:rsidRPr="0031164B">
              <w:rPr>
                <w:lang w:val="en-GB" w:eastAsia="en-US"/>
              </w:rPr>
              <w:t>Center will not use any Third Party subcontractor to perform any of its obligations hereunder.</w:t>
            </w:r>
          </w:p>
          <w:p w14:paraId="1396931A" w14:textId="5AA33BB8" w:rsidR="00DC6A4A" w:rsidRPr="0031164B" w:rsidRDefault="00DC6A4A" w:rsidP="00B37CC4">
            <w:pPr>
              <w:spacing w:after="160" w:line="259" w:lineRule="auto"/>
              <w:jc w:val="both"/>
              <w:rPr>
                <w:rFonts w:eastAsia="Arial"/>
                <w:spacing w:val="1"/>
                <w:u w:val="single"/>
                <w:lang w:val="en-GB"/>
              </w:rPr>
            </w:pPr>
          </w:p>
        </w:tc>
      </w:tr>
      <w:tr w:rsidR="00186A79" w:rsidRPr="0031164B" w14:paraId="187786B4" w14:textId="6EFC16F0" w:rsidTr="00186A79">
        <w:tc>
          <w:tcPr>
            <w:tcW w:w="2500" w:type="pct"/>
          </w:tcPr>
          <w:p w14:paraId="5B6DA59E" w14:textId="34ADACB6" w:rsidR="00186A79" w:rsidRPr="001314E7" w:rsidRDefault="00186A79" w:rsidP="00186A79">
            <w:pPr>
              <w:widowControl/>
              <w:numPr>
                <w:ilvl w:val="0"/>
                <w:numId w:val="17"/>
              </w:numPr>
              <w:tabs>
                <w:tab w:val="left" w:pos="0"/>
              </w:tabs>
              <w:autoSpaceDE/>
              <w:adjustRightInd/>
              <w:snapToGrid w:val="0"/>
              <w:spacing w:after="240" w:line="264" w:lineRule="auto"/>
              <w:ind w:left="0" w:firstLine="0"/>
              <w:jc w:val="both"/>
              <w:rPr>
                <w:rFonts w:eastAsia="Arial"/>
                <w:b/>
                <w:spacing w:val="1"/>
                <w:u w:val="single"/>
              </w:rPr>
            </w:pPr>
            <w:r w:rsidRPr="001314E7">
              <w:rPr>
                <w:b/>
                <w:u w:val="single"/>
              </w:rPr>
              <w:t>Doba trvání prohlášení.</w:t>
            </w:r>
            <w:r w:rsidRPr="001314E7">
              <w:t xml:space="preserve">  Toto prohlášení nabývá účinnosti dnem účinnosti prohlášení, a pokud nebude ukončeno dříve v souladu s podmínkami smlouvy, bude platit po dobu </w:t>
            </w:r>
            <w:r w:rsidR="00624E2B">
              <w:t>platnosti</w:t>
            </w:r>
            <w:r w:rsidR="00C13DC8">
              <w:t xml:space="preserve"> Kupní smlouvy vztahující se ke CAR-T produktům společnosti BMS</w:t>
            </w:r>
            <w:r w:rsidRPr="001314E7">
              <w:t xml:space="preserve"> („</w:t>
            </w:r>
            <w:r w:rsidRPr="001314E7">
              <w:rPr>
                <w:b/>
              </w:rPr>
              <w:t>doba trvání prohlášení</w:t>
            </w:r>
            <w:r w:rsidRPr="001314E7">
              <w:t xml:space="preserve">“),  </w:t>
            </w:r>
          </w:p>
        </w:tc>
        <w:tc>
          <w:tcPr>
            <w:tcW w:w="2500" w:type="pct"/>
          </w:tcPr>
          <w:p w14:paraId="5808E342" w14:textId="5D874854" w:rsidR="00186A79" w:rsidRPr="0031164B" w:rsidRDefault="00DC6A4A" w:rsidP="00F35BB8">
            <w:pPr>
              <w:widowControl/>
              <w:autoSpaceDE/>
              <w:autoSpaceDN/>
              <w:adjustRightInd/>
              <w:spacing w:after="160" w:line="259" w:lineRule="auto"/>
              <w:jc w:val="both"/>
              <w:rPr>
                <w:rFonts w:eastAsia="Arial"/>
                <w:b/>
                <w:spacing w:val="1"/>
                <w:u w:val="single"/>
                <w:lang w:val="en-GB"/>
              </w:rPr>
            </w:pPr>
            <w:r w:rsidRPr="00DC6A4A">
              <w:rPr>
                <w:bCs/>
                <w:lang w:val="en-GB" w:eastAsia="en-US"/>
              </w:rPr>
              <w:t>4.</w:t>
            </w:r>
            <w:r w:rsidRPr="00DC6A4A">
              <w:rPr>
                <w:bCs/>
                <w:lang w:val="en-GB" w:eastAsia="en-US"/>
              </w:rPr>
              <w:tab/>
            </w:r>
            <w:r w:rsidR="00186A79" w:rsidRPr="0031164B">
              <w:rPr>
                <w:b/>
                <w:u w:val="single"/>
                <w:lang w:val="en-GB" w:eastAsia="en-US"/>
              </w:rPr>
              <w:t>SOW Term</w:t>
            </w:r>
            <w:r w:rsidR="00186A79" w:rsidRPr="0031164B">
              <w:rPr>
                <w:lang w:val="en-GB" w:eastAsia="en-US"/>
              </w:rPr>
              <w:t xml:space="preserve">.  This SOW shall become effective on the SOW Effective date, and unless terminated earlier in accordance with the terms of the Agreement, shall continue in effect </w:t>
            </w:r>
            <w:r w:rsidR="00BC1AC9" w:rsidRPr="00BC1AC9">
              <w:rPr>
                <w:lang w:val="en-GB" w:eastAsia="en-US"/>
              </w:rPr>
              <w:t>for the duration of the Purchase Agreement</w:t>
            </w:r>
            <w:r w:rsidR="000A4317">
              <w:rPr>
                <w:lang w:val="en-GB" w:eastAsia="en-US"/>
              </w:rPr>
              <w:t xml:space="preserve"> relating to the</w:t>
            </w:r>
            <w:r w:rsidR="00C96E60">
              <w:rPr>
                <w:lang w:val="en-GB" w:eastAsia="en-US"/>
              </w:rPr>
              <w:t xml:space="preserve"> BMS CAR-T products.</w:t>
            </w:r>
            <w:r w:rsidR="00BC1AC9" w:rsidRPr="00BC1AC9" w:rsidDel="00BC1AC9">
              <w:rPr>
                <w:lang w:val="en-GB" w:eastAsia="en-US"/>
              </w:rPr>
              <w:t xml:space="preserve"> </w:t>
            </w:r>
            <w:r w:rsidR="00186A79" w:rsidRPr="0031164B">
              <w:rPr>
                <w:lang w:val="en-GB" w:eastAsia="en-US"/>
              </w:rPr>
              <w:t>(the “</w:t>
            </w:r>
            <w:r w:rsidR="00186A79" w:rsidRPr="0031164B">
              <w:rPr>
                <w:b/>
                <w:lang w:val="en-GB" w:eastAsia="en-US"/>
              </w:rPr>
              <w:t>SOW Term</w:t>
            </w:r>
            <w:r w:rsidR="00186A79" w:rsidRPr="0031164B">
              <w:rPr>
                <w:lang w:val="en-GB" w:eastAsia="en-US"/>
              </w:rPr>
              <w:t xml:space="preserve">”), </w:t>
            </w:r>
          </w:p>
        </w:tc>
      </w:tr>
      <w:tr w:rsidR="00186A79" w:rsidRPr="0031164B" w14:paraId="48FFD2AB" w14:textId="5D16D2B8" w:rsidTr="00186A79">
        <w:tc>
          <w:tcPr>
            <w:tcW w:w="2500" w:type="pct"/>
          </w:tcPr>
          <w:p w14:paraId="3C7754DF" w14:textId="77777777" w:rsidR="00186A79" w:rsidRPr="001314E7" w:rsidRDefault="00186A79" w:rsidP="00186A79">
            <w:pPr>
              <w:widowControl/>
              <w:numPr>
                <w:ilvl w:val="0"/>
                <w:numId w:val="17"/>
              </w:numPr>
              <w:tabs>
                <w:tab w:val="left" w:pos="0"/>
              </w:tabs>
              <w:autoSpaceDE/>
              <w:adjustRightInd/>
              <w:snapToGrid w:val="0"/>
              <w:spacing w:after="240" w:line="264" w:lineRule="auto"/>
              <w:jc w:val="both"/>
              <w:rPr>
                <w:rFonts w:eastAsia="Arial"/>
                <w:b/>
                <w:spacing w:val="1"/>
                <w:u w:val="single"/>
              </w:rPr>
            </w:pPr>
            <w:r w:rsidRPr="001314E7">
              <w:rPr>
                <w:b/>
              </w:rPr>
              <w:t>Daň z přidané hodnoty:</w:t>
            </w:r>
            <w:r w:rsidRPr="001314E7">
              <w:t xml:space="preserve">  Pokud zákony a jiné právní předpisy vyžadují, aby byly v souvislosti s jakoukoli provedenou platbou vyměřeny daně, platící strana (a) vyměří uvedené daně z částky, která má být poukázána, (b) odvede uvedené daně příslušnému daňovému orgánu a (c) </w:t>
            </w:r>
            <w:r w:rsidRPr="001314E7">
              <w:lastRenderedPageBreak/>
              <w:t xml:space="preserve">poskytne druhé straně doklady nezbytné pro uplatnění nároku na zaplacené daně. </w:t>
            </w:r>
          </w:p>
        </w:tc>
        <w:tc>
          <w:tcPr>
            <w:tcW w:w="2500" w:type="pct"/>
          </w:tcPr>
          <w:p w14:paraId="4F9EBF60" w14:textId="4FAA0439" w:rsidR="00186A79" w:rsidRPr="0031164B" w:rsidRDefault="00DC6A4A" w:rsidP="00F35BB8">
            <w:pPr>
              <w:widowControl/>
              <w:autoSpaceDE/>
              <w:autoSpaceDN/>
              <w:adjustRightInd/>
              <w:spacing w:after="160" w:line="259" w:lineRule="auto"/>
              <w:jc w:val="both"/>
              <w:rPr>
                <w:rFonts w:eastAsia="Arial"/>
                <w:b/>
                <w:spacing w:val="1"/>
                <w:u w:val="single"/>
                <w:lang w:val="en-GB"/>
              </w:rPr>
            </w:pPr>
            <w:r w:rsidRPr="00DC6A4A">
              <w:rPr>
                <w:bCs/>
                <w:lang w:val="en-GB"/>
              </w:rPr>
              <w:lastRenderedPageBreak/>
              <w:t>5.</w:t>
            </w:r>
            <w:r w:rsidRPr="00DC6A4A">
              <w:rPr>
                <w:bCs/>
                <w:lang w:val="en-GB"/>
              </w:rPr>
              <w:tab/>
            </w:r>
            <w:r w:rsidR="00186A79" w:rsidRPr="0031164B">
              <w:rPr>
                <w:b/>
                <w:lang w:val="en-GB"/>
              </w:rPr>
              <w:t>Value Added Taxes</w:t>
            </w:r>
            <w:r w:rsidR="00186A79" w:rsidRPr="0031164B">
              <w:rPr>
                <w:lang w:val="en-GB"/>
              </w:rPr>
              <w:t xml:space="preserve">:  If laws and regulations require that taxes be charged in respect of any payment made, the paying Party shall (a) charge said taxes from the remittable amount, (b) remit said taxes to the proper taxing authority, and (c) provide the </w:t>
            </w:r>
            <w:r w:rsidR="00186A79" w:rsidRPr="0031164B">
              <w:rPr>
                <w:lang w:val="en-GB"/>
              </w:rPr>
              <w:lastRenderedPageBreak/>
              <w:t xml:space="preserve">other Party the necessary documentation for claiming the taxes paid. </w:t>
            </w:r>
          </w:p>
        </w:tc>
      </w:tr>
      <w:tr w:rsidR="00186A79" w:rsidRPr="0031164B" w14:paraId="08A061B8" w14:textId="35CA2A98" w:rsidTr="00186A79">
        <w:tc>
          <w:tcPr>
            <w:tcW w:w="2500" w:type="pct"/>
          </w:tcPr>
          <w:p w14:paraId="1941B3EE" w14:textId="77777777" w:rsidR="00186A79" w:rsidRPr="001314E7" w:rsidRDefault="00186A79" w:rsidP="00186A79">
            <w:pPr>
              <w:widowControl/>
              <w:autoSpaceDE/>
              <w:adjustRightInd/>
              <w:spacing w:after="210" w:line="264" w:lineRule="auto"/>
              <w:jc w:val="both"/>
              <w:rPr>
                <w:rFonts w:eastAsia="SimSun"/>
                <w:u w:val="single"/>
              </w:rPr>
            </w:pPr>
            <w:r w:rsidRPr="001314E7">
              <w:rPr>
                <w:b/>
                <w:bCs/>
              </w:rPr>
              <w:lastRenderedPageBreak/>
              <w:t>NA DŮKAZ ČEHOŽ</w:t>
            </w:r>
            <w:r w:rsidRPr="001314E7">
              <w:t xml:space="preserve"> strany podepsaly toto prohlášení prostřednictvím svých řádně oprávněných zástupců k níže uvedeným datům a toto prohlášení nabývá účinnosti k výše uvedenému dni účinnosti prohlášení.</w:t>
            </w:r>
          </w:p>
        </w:tc>
        <w:tc>
          <w:tcPr>
            <w:tcW w:w="2500" w:type="pct"/>
          </w:tcPr>
          <w:p w14:paraId="27D0DC8A" w14:textId="12A97360" w:rsidR="00186A79" w:rsidRPr="0031164B" w:rsidRDefault="00186A79" w:rsidP="00F35BB8">
            <w:pPr>
              <w:widowControl/>
              <w:autoSpaceDE/>
              <w:autoSpaceDN/>
              <w:adjustRightInd/>
              <w:spacing w:after="160" w:line="259" w:lineRule="auto"/>
              <w:jc w:val="both"/>
              <w:rPr>
                <w:rFonts w:eastAsia="SimSun"/>
                <w:u w:val="single"/>
                <w:lang w:val="en-GB"/>
              </w:rPr>
            </w:pPr>
            <w:r w:rsidRPr="0031164B">
              <w:rPr>
                <w:b/>
                <w:bCs/>
                <w:lang w:val="en-GB" w:eastAsia="en-US"/>
              </w:rPr>
              <w:t>IN WITNESS WHEREOF</w:t>
            </w:r>
            <w:r w:rsidRPr="0031164B">
              <w:rPr>
                <w:lang w:val="en-GB" w:eastAsia="en-US"/>
              </w:rPr>
              <w:t>, the Parties have executed this SOW by their duly authorized representatives as of the dates set forth below and this SOW shall be effective as of the SOW Effective Date set forth above.</w:t>
            </w:r>
          </w:p>
        </w:tc>
      </w:tr>
    </w:tbl>
    <w:p w14:paraId="63E34CC7" w14:textId="77777777" w:rsidR="006E2364" w:rsidRPr="0031164B" w:rsidRDefault="006E2364" w:rsidP="006E2364">
      <w:pPr>
        <w:widowControl/>
        <w:adjustRightInd/>
        <w:ind w:left="360"/>
        <w:rPr>
          <w:lang w:val="en-GB"/>
        </w:rPr>
      </w:pPr>
    </w:p>
    <w:p w14:paraId="63E34CC8" w14:textId="77777777" w:rsidR="006E2364" w:rsidRPr="0031164B" w:rsidRDefault="006E2364" w:rsidP="006E2364">
      <w:pPr>
        <w:widowControl/>
        <w:adjustRightInd/>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353"/>
        <w:gridCol w:w="856"/>
        <w:gridCol w:w="3487"/>
      </w:tblGrid>
      <w:tr w:rsidR="00205626" w:rsidRPr="0031164B" w14:paraId="63E34CCB" w14:textId="77777777" w:rsidTr="006C7D93">
        <w:tc>
          <w:tcPr>
            <w:tcW w:w="4506" w:type="dxa"/>
            <w:gridSpan w:val="2"/>
            <w:tcBorders>
              <w:top w:val="nil"/>
              <w:left w:val="nil"/>
              <w:bottom w:val="nil"/>
              <w:right w:val="nil"/>
            </w:tcBorders>
            <w:hideMark/>
          </w:tcPr>
          <w:p w14:paraId="63E34CC9" w14:textId="73AA5397" w:rsidR="006E2364" w:rsidRPr="0031164B" w:rsidRDefault="009F0750" w:rsidP="006C7D93">
            <w:pPr>
              <w:widowControl/>
              <w:autoSpaceDE/>
              <w:adjustRightInd/>
              <w:spacing w:after="240"/>
              <w:jc w:val="both"/>
              <w:rPr>
                <w:lang w:val="en-GB"/>
              </w:rPr>
            </w:pPr>
            <w:r w:rsidRPr="0031164B">
              <w:rPr>
                <w:b/>
                <w:bCs/>
                <w:lang w:val="en-GB"/>
              </w:rPr>
              <w:t>Bristol-Myers Squibb spol. s r.o</w:t>
            </w:r>
          </w:p>
        </w:tc>
        <w:tc>
          <w:tcPr>
            <w:tcW w:w="4513" w:type="dxa"/>
            <w:gridSpan w:val="2"/>
            <w:tcBorders>
              <w:top w:val="nil"/>
              <w:left w:val="nil"/>
              <w:bottom w:val="nil"/>
              <w:right w:val="nil"/>
            </w:tcBorders>
            <w:hideMark/>
          </w:tcPr>
          <w:p w14:paraId="63E34CCA" w14:textId="5DCDC0D5" w:rsidR="006E2364" w:rsidRPr="0031164B" w:rsidRDefault="00436BF9" w:rsidP="006C7D93">
            <w:pPr>
              <w:widowControl/>
              <w:autoSpaceDE/>
              <w:adjustRightInd/>
              <w:spacing w:after="480"/>
              <w:jc w:val="both"/>
              <w:rPr>
                <w:lang w:val="en-GB"/>
              </w:rPr>
            </w:pPr>
            <w:r w:rsidRPr="00436BF9">
              <w:rPr>
                <w:b/>
                <w:caps/>
                <w:sz w:val="22"/>
                <w:szCs w:val="22"/>
                <w:lang w:val="en-GB"/>
              </w:rPr>
              <w:t xml:space="preserve">Fakultni nemocnice </w:t>
            </w:r>
            <w:r w:rsidR="005648B3">
              <w:rPr>
                <w:b/>
                <w:caps/>
                <w:sz w:val="22"/>
                <w:szCs w:val="22"/>
                <w:lang w:val="en-GB"/>
              </w:rPr>
              <w:t>plzeň</w:t>
            </w:r>
          </w:p>
        </w:tc>
      </w:tr>
      <w:tr w:rsidR="00205626" w:rsidRPr="0031164B" w14:paraId="63E34CD0" w14:textId="77777777" w:rsidTr="006C7D93">
        <w:tc>
          <w:tcPr>
            <w:tcW w:w="900" w:type="dxa"/>
            <w:tcBorders>
              <w:top w:val="nil"/>
              <w:left w:val="nil"/>
              <w:bottom w:val="nil"/>
              <w:right w:val="nil"/>
            </w:tcBorders>
            <w:vAlign w:val="bottom"/>
            <w:hideMark/>
          </w:tcPr>
          <w:p w14:paraId="77261148" w14:textId="77777777" w:rsidR="00D816A5" w:rsidRPr="0031164B" w:rsidRDefault="00D816A5" w:rsidP="006C7D93">
            <w:pPr>
              <w:widowControl/>
              <w:autoSpaceDE/>
              <w:adjustRightInd/>
              <w:jc w:val="both"/>
              <w:rPr>
                <w:lang w:val="en-GB" w:eastAsia="en-US"/>
              </w:rPr>
            </w:pPr>
          </w:p>
          <w:p w14:paraId="5AACF5C4" w14:textId="77777777" w:rsidR="00D816A5" w:rsidRPr="0031164B" w:rsidRDefault="00D816A5" w:rsidP="006C7D93">
            <w:pPr>
              <w:widowControl/>
              <w:autoSpaceDE/>
              <w:adjustRightInd/>
              <w:jc w:val="both"/>
              <w:rPr>
                <w:lang w:val="en-GB" w:eastAsia="en-US"/>
              </w:rPr>
            </w:pPr>
          </w:p>
          <w:p w14:paraId="63E34CCC" w14:textId="0F44BA55" w:rsidR="006E2364" w:rsidRPr="0031164B" w:rsidRDefault="00CA50DA" w:rsidP="006C7D93">
            <w:pPr>
              <w:widowControl/>
              <w:autoSpaceDE/>
              <w:adjustRightInd/>
              <w:jc w:val="both"/>
              <w:rPr>
                <w:u w:val="single"/>
                <w:lang w:val="en-GB"/>
              </w:rPr>
            </w:pPr>
            <w:r w:rsidRPr="0031164B">
              <w:rPr>
                <w:lang w:val="en-GB"/>
              </w:rPr>
              <w:t xml:space="preserve">Podepsán/a: </w:t>
            </w:r>
          </w:p>
        </w:tc>
        <w:tc>
          <w:tcPr>
            <w:tcW w:w="3606" w:type="dxa"/>
            <w:tcBorders>
              <w:top w:val="nil"/>
              <w:left w:val="nil"/>
              <w:bottom w:val="single" w:sz="4" w:space="0" w:color="auto"/>
              <w:right w:val="nil"/>
            </w:tcBorders>
            <w:vAlign w:val="bottom"/>
          </w:tcPr>
          <w:p w14:paraId="63E34CCD" w14:textId="77777777" w:rsidR="006E2364" w:rsidRPr="0031164B" w:rsidRDefault="006E2364" w:rsidP="006C7D93">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CE" w14:textId="77777777" w:rsidR="006E2364" w:rsidRPr="0031164B" w:rsidRDefault="00CA50DA" w:rsidP="006C7D93">
            <w:pPr>
              <w:widowControl/>
              <w:autoSpaceDE/>
              <w:adjustRightInd/>
              <w:jc w:val="both"/>
              <w:rPr>
                <w:u w:val="single"/>
                <w:lang w:val="en-GB"/>
              </w:rPr>
            </w:pPr>
            <w:r w:rsidRPr="0031164B">
              <w:rPr>
                <w:lang w:val="en-GB" w:eastAsia="en-US"/>
              </w:rPr>
              <w:t xml:space="preserve">By:  </w:t>
            </w:r>
          </w:p>
        </w:tc>
        <w:tc>
          <w:tcPr>
            <w:tcW w:w="3685" w:type="dxa"/>
            <w:tcBorders>
              <w:top w:val="nil"/>
              <w:left w:val="nil"/>
              <w:bottom w:val="single" w:sz="4" w:space="0" w:color="auto"/>
              <w:right w:val="nil"/>
            </w:tcBorders>
            <w:vAlign w:val="bottom"/>
          </w:tcPr>
          <w:p w14:paraId="63E34CCF" w14:textId="77777777" w:rsidR="006E2364" w:rsidRPr="0031164B" w:rsidRDefault="006E2364" w:rsidP="006C7D93">
            <w:pPr>
              <w:widowControl/>
              <w:autoSpaceDE/>
              <w:adjustRightInd/>
              <w:jc w:val="both"/>
              <w:rPr>
                <w:u w:val="single"/>
                <w:lang w:val="en-GB" w:eastAsia="en-US"/>
              </w:rPr>
            </w:pPr>
          </w:p>
        </w:tc>
      </w:tr>
      <w:tr w:rsidR="00205626" w:rsidRPr="0031164B" w14:paraId="63E34CD6" w14:textId="77777777" w:rsidTr="006C7D93">
        <w:tc>
          <w:tcPr>
            <w:tcW w:w="900" w:type="dxa"/>
            <w:tcBorders>
              <w:top w:val="nil"/>
              <w:left w:val="nil"/>
              <w:bottom w:val="nil"/>
              <w:right w:val="nil"/>
            </w:tcBorders>
            <w:vAlign w:val="bottom"/>
          </w:tcPr>
          <w:p w14:paraId="63E34CD1" w14:textId="77777777" w:rsidR="006E2364" w:rsidRPr="0031164B" w:rsidRDefault="006E2364" w:rsidP="006C7D93">
            <w:pPr>
              <w:widowControl/>
              <w:autoSpaceDE/>
              <w:adjustRightInd/>
              <w:jc w:val="both"/>
              <w:rPr>
                <w:lang w:val="en-GB" w:eastAsia="en-US"/>
              </w:rPr>
            </w:pPr>
          </w:p>
          <w:p w14:paraId="63E34CD2" w14:textId="77777777" w:rsidR="006E2364" w:rsidRPr="0031164B" w:rsidRDefault="00CA50DA" w:rsidP="006C7D93">
            <w:pPr>
              <w:widowControl/>
              <w:autoSpaceDE/>
              <w:adjustRightInd/>
              <w:jc w:val="both"/>
              <w:rPr>
                <w:lang w:val="en-GB"/>
              </w:rPr>
            </w:pPr>
            <w:r w:rsidRPr="0031164B">
              <w:rPr>
                <w:lang w:val="en-GB"/>
              </w:rPr>
              <w:t xml:space="preserve">Jméno:  </w:t>
            </w:r>
          </w:p>
        </w:tc>
        <w:tc>
          <w:tcPr>
            <w:tcW w:w="3606" w:type="dxa"/>
            <w:tcBorders>
              <w:top w:val="single" w:sz="4" w:space="0" w:color="auto"/>
              <w:left w:val="nil"/>
              <w:bottom w:val="single" w:sz="4" w:space="0" w:color="auto"/>
              <w:right w:val="nil"/>
            </w:tcBorders>
            <w:vAlign w:val="bottom"/>
          </w:tcPr>
          <w:p w14:paraId="63E34CD3" w14:textId="77777777" w:rsidR="006E2364" w:rsidRPr="0031164B" w:rsidRDefault="006E2364" w:rsidP="006C7D93">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D4" w14:textId="1A05FEBD" w:rsidR="006E2364" w:rsidRPr="0031164B" w:rsidRDefault="00CA50DA" w:rsidP="006C7D93">
            <w:pPr>
              <w:widowControl/>
              <w:autoSpaceDE/>
              <w:adjustRightInd/>
              <w:jc w:val="both"/>
              <w:rPr>
                <w:u w:val="single"/>
                <w:lang w:val="en-GB"/>
              </w:rPr>
            </w:pPr>
            <w:r w:rsidRPr="0031164B">
              <w:rPr>
                <w:lang w:val="en-GB" w:eastAsia="en-US"/>
              </w:rPr>
              <w:t xml:space="preserve">Name: </w:t>
            </w:r>
            <w:r w:rsidR="000B2604">
              <w:rPr>
                <w:lang w:val="en-GB" w:eastAsia="en-US"/>
              </w:rPr>
              <w:t xml:space="preserve"> </w:t>
            </w:r>
          </w:p>
        </w:tc>
        <w:tc>
          <w:tcPr>
            <w:tcW w:w="3685" w:type="dxa"/>
            <w:tcBorders>
              <w:top w:val="single" w:sz="4" w:space="0" w:color="auto"/>
              <w:left w:val="nil"/>
              <w:bottom w:val="single" w:sz="4" w:space="0" w:color="auto"/>
              <w:right w:val="nil"/>
            </w:tcBorders>
            <w:vAlign w:val="bottom"/>
          </w:tcPr>
          <w:p w14:paraId="63E34CD5" w14:textId="7453B65B" w:rsidR="006E2364" w:rsidRPr="0031164B" w:rsidRDefault="000B2604" w:rsidP="006C7D93">
            <w:pPr>
              <w:widowControl/>
              <w:autoSpaceDE/>
              <w:adjustRightInd/>
              <w:jc w:val="both"/>
              <w:rPr>
                <w:u w:val="single"/>
                <w:lang w:val="en-GB" w:eastAsia="en-US"/>
              </w:rPr>
            </w:pPr>
            <w:r w:rsidRPr="00B35FCC">
              <w:rPr>
                <w:sz w:val="22"/>
                <w:szCs w:val="22"/>
                <w:u w:val="single"/>
                <w:lang w:val="en-GB" w:eastAsia="en-US"/>
              </w:rPr>
              <w:t>Doc. MUDr. Václav Šimánek, Ph</w:t>
            </w:r>
            <w:r w:rsidR="00B35FCC" w:rsidRPr="00B35FCC">
              <w:rPr>
                <w:sz w:val="22"/>
                <w:szCs w:val="22"/>
                <w:u w:val="single"/>
                <w:lang w:val="en-GB" w:eastAsia="en-US"/>
              </w:rPr>
              <w:t>.D.</w:t>
            </w:r>
          </w:p>
        </w:tc>
      </w:tr>
      <w:tr w:rsidR="00205626" w:rsidRPr="0031164B" w14:paraId="63E34CDC" w14:textId="77777777" w:rsidTr="006C7D93">
        <w:tc>
          <w:tcPr>
            <w:tcW w:w="900" w:type="dxa"/>
            <w:tcBorders>
              <w:top w:val="nil"/>
              <w:left w:val="nil"/>
              <w:bottom w:val="nil"/>
              <w:right w:val="nil"/>
            </w:tcBorders>
            <w:vAlign w:val="bottom"/>
          </w:tcPr>
          <w:p w14:paraId="63E34CD7" w14:textId="77777777" w:rsidR="006E2364" w:rsidRPr="0031164B" w:rsidRDefault="006E2364" w:rsidP="006C7D93">
            <w:pPr>
              <w:widowControl/>
              <w:autoSpaceDE/>
              <w:adjustRightInd/>
              <w:jc w:val="both"/>
              <w:rPr>
                <w:lang w:val="en-GB" w:eastAsia="en-US"/>
              </w:rPr>
            </w:pPr>
          </w:p>
          <w:p w14:paraId="63E34CD8" w14:textId="77777777" w:rsidR="006E2364" w:rsidRPr="0031164B" w:rsidRDefault="00CA50DA" w:rsidP="006C7D93">
            <w:pPr>
              <w:widowControl/>
              <w:autoSpaceDE/>
              <w:adjustRightInd/>
              <w:jc w:val="both"/>
              <w:rPr>
                <w:lang w:val="en-GB"/>
              </w:rPr>
            </w:pPr>
            <w:r w:rsidRPr="0031164B">
              <w:rPr>
                <w:lang w:val="en-GB"/>
              </w:rPr>
              <w:t>Pozice:</w:t>
            </w:r>
          </w:p>
        </w:tc>
        <w:tc>
          <w:tcPr>
            <w:tcW w:w="3606" w:type="dxa"/>
            <w:tcBorders>
              <w:top w:val="single" w:sz="4" w:space="0" w:color="auto"/>
              <w:left w:val="nil"/>
              <w:bottom w:val="single" w:sz="4" w:space="0" w:color="auto"/>
              <w:right w:val="nil"/>
            </w:tcBorders>
            <w:vAlign w:val="bottom"/>
          </w:tcPr>
          <w:p w14:paraId="63E34CD9" w14:textId="77777777" w:rsidR="006E2364" w:rsidRPr="0031164B" w:rsidRDefault="006E2364" w:rsidP="006C7D93">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DA" w14:textId="77777777" w:rsidR="006E2364" w:rsidRPr="0031164B" w:rsidRDefault="00CA50DA" w:rsidP="006C7D93">
            <w:pPr>
              <w:widowControl/>
              <w:autoSpaceDE/>
              <w:adjustRightInd/>
              <w:jc w:val="both"/>
              <w:rPr>
                <w:u w:val="single"/>
                <w:lang w:val="en-GB"/>
              </w:rPr>
            </w:pPr>
            <w:r w:rsidRPr="0031164B">
              <w:rPr>
                <w:lang w:val="en-GB" w:eastAsia="en-US"/>
              </w:rPr>
              <w:t xml:space="preserve">Title:  </w:t>
            </w:r>
          </w:p>
        </w:tc>
        <w:tc>
          <w:tcPr>
            <w:tcW w:w="3685" w:type="dxa"/>
            <w:tcBorders>
              <w:top w:val="single" w:sz="4" w:space="0" w:color="auto"/>
              <w:left w:val="nil"/>
              <w:bottom w:val="single" w:sz="4" w:space="0" w:color="auto"/>
              <w:right w:val="nil"/>
            </w:tcBorders>
            <w:vAlign w:val="bottom"/>
          </w:tcPr>
          <w:p w14:paraId="63E34CDB" w14:textId="482E5BF8" w:rsidR="006E2364" w:rsidRPr="0031164B" w:rsidRDefault="00B35FCC" w:rsidP="006C7D93">
            <w:pPr>
              <w:widowControl/>
              <w:autoSpaceDE/>
              <w:adjustRightInd/>
              <w:jc w:val="both"/>
              <w:rPr>
                <w:u w:val="single"/>
                <w:lang w:val="en-GB" w:eastAsia="en-US"/>
              </w:rPr>
            </w:pPr>
            <w:r>
              <w:rPr>
                <w:u w:val="single"/>
                <w:lang w:val="en-GB" w:eastAsia="en-US"/>
              </w:rPr>
              <w:t>ředitel</w:t>
            </w:r>
          </w:p>
        </w:tc>
      </w:tr>
      <w:tr w:rsidR="00205626" w:rsidRPr="0031164B" w14:paraId="63E34CE2" w14:textId="77777777" w:rsidTr="006C7D93">
        <w:tc>
          <w:tcPr>
            <w:tcW w:w="900" w:type="dxa"/>
            <w:tcBorders>
              <w:top w:val="nil"/>
              <w:left w:val="nil"/>
              <w:bottom w:val="nil"/>
              <w:right w:val="nil"/>
            </w:tcBorders>
            <w:vAlign w:val="bottom"/>
          </w:tcPr>
          <w:p w14:paraId="63E34CDD" w14:textId="77777777" w:rsidR="006E2364" w:rsidRPr="0031164B" w:rsidRDefault="006E2364" w:rsidP="006C7D93">
            <w:pPr>
              <w:widowControl/>
              <w:autoSpaceDE/>
              <w:adjustRightInd/>
              <w:jc w:val="both"/>
              <w:rPr>
                <w:lang w:val="en-GB" w:eastAsia="en-US"/>
              </w:rPr>
            </w:pPr>
          </w:p>
          <w:p w14:paraId="63E34CDE" w14:textId="77777777" w:rsidR="006E2364" w:rsidRPr="0031164B" w:rsidRDefault="00CA50DA" w:rsidP="006C7D93">
            <w:pPr>
              <w:widowControl/>
              <w:autoSpaceDE/>
              <w:adjustRightInd/>
              <w:jc w:val="both"/>
              <w:rPr>
                <w:lang w:val="en-GB"/>
              </w:rPr>
            </w:pPr>
            <w:r w:rsidRPr="0031164B">
              <w:rPr>
                <w:lang w:val="en-GB"/>
              </w:rPr>
              <w:t>Datum:</w:t>
            </w:r>
          </w:p>
        </w:tc>
        <w:tc>
          <w:tcPr>
            <w:tcW w:w="3606" w:type="dxa"/>
            <w:tcBorders>
              <w:top w:val="single" w:sz="4" w:space="0" w:color="auto"/>
              <w:left w:val="nil"/>
              <w:bottom w:val="single" w:sz="4" w:space="0" w:color="auto"/>
              <w:right w:val="nil"/>
            </w:tcBorders>
            <w:vAlign w:val="bottom"/>
          </w:tcPr>
          <w:p w14:paraId="63E34CDF" w14:textId="77777777" w:rsidR="006E2364" w:rsidRPr="0031164B" w:rsidRDefault="006E2364" w:rsidP="006C7D93">
            <w:pPr>
              <w:widowControl/>
              <w:autoSpaceDE/>
              <w:adjustRightInd/>
              <w:jc w:val="both"/>
              <w:rPr>
                <w:u w:val="single"/>
                <w:lang w:val="en-GB" w:eastAsia="en-US"/>
              </w:rPr>
            </w:pPr>
          </w:p>
        </w:tc>
        <w:tc>
          <w:tcPr>
            <w:tcW w:w="828" w:type="dxa"/>
            <w:tcBorders>
              <w:top w:val="nil"/>
              <w:left w:val="nil"/>
              <w:bottom w:val="nil"/>
              <w:right w:val="nil"/>
            </w:tcBorders>
            <w:vAlign w:val="bottom"/>
            <w:hideMark/>
          </w:tcPr>
          <w:p w14:paraId="63E34CE0" w14:textId="77777777" w:rsidR="006E2364" w:rsidRPr="0031164B" w:rsidRDefault="00CA50DA" w:rsidP="006C7D93">
            <w:pPr>
              <w:widowControl/>
              <w:autoSpaceDE/>
              <w:adjustRightInd/>
              <w:jc w:val="both"/>
              <w:rPr>
                <w:u w:val="single"/>
                <w:lang w:val="en-GB"/>
              </w:rPr>
            </w:pPr>
            <w:r w:rsidRPr="0031164B">
              <w:rPr>
                <w:lang w:val="en-GB" w:eastAsia="en-US"/>
              </w:rPr>
              <w:t xml:space="preserve">Date:  </w:t>
            </w:r>
          </w:p>
        </w:tc>
        <w:tc>
          <w:tcPr>
            <w:tcW w:w="3685" w:type="dxa"/>
            <w:tcBorders>
              <w:top w:val="single" w:sz="4" w:space="0" w:color="auto"/>
              <w:left w:val="nil"/>
              <w:bottom w:val="single" w:sz="4" w:space="0" w:color="auto"/>
              <w:right w:val="nil"/>
            </w:tcBorders>
            <w:vAlign w:val="bottom"/>
          </w:tcPr>
          <w:p w14:paraId="63E34CE1" w14:textId="77777777" w:rsidR="006E2364" w:rsidRPr="0031164B" w:rsidRDefault="006E2364" w:rsidP="006C7D93">
            <w:pPr>
              <w:widowControl/>
              <w:autoSpaceDE/>
              <w:adjustRightInd/>
              <w:jc w:val="both"/>
              <w:rPr>
                <w:u w:val="single"/>
                <w:lang w:val="en-GB" w:eastAsia="en-US"/>
              </w:rPr>
            </w:pPr>
          </w:p>
        </w:tc>
      </w:tr>
    </w:tbl>
    <w:p w14:paraId="63E34CE3" w14:textId="77777777" w:rsidR="006E2364" w:rsidRPr="0031164B" w:rsidRDefault="006E2364" w:rsidP="006E2364">
      <w:pPr>
        <w:widowControl/>
        <w:adjustRightInd/>
        <w:rPr>
          <w:lang w:val="en-GB"/>
        </w:rPr>
      </w:pPr>
    </w:p>
    <w:p w14:paraId="63E34CE4" w14:textId="77777777" w:rsidR="006E2364" w:rsidRPr="0031164B" w:rsidRDefault="00CA50DA" w:rsidP="006E2364">
      <w:pPr>
        <w:widowControl/>
        <w:autoSpaceDE/>
        <w:adjustRightInd/>
        <w:spacing w:line="264" w:lineRule="auto"/>
        <w:jc w:val="both"/>
        <w:rPr>
          <w:rFonts w:eastAsia="SimSun"/>
          <w:lang w:val="en-GB"/>
        </w:rPr>
      </w:pPr>
      <w:r w:rsidRPr="0031164B">
        <w:rPr>
          <w:lang w:val="en-GB"/>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6A79" w:rsidRPr="0031164B" w14:paraId="63F22A15" w14:textId="45BD510E" w:rsidTr="00186A79">
        <w:tc>
          <w:tcPr>
            <w:tcW w:w="2500" w:type="pct"/>
          </w:tcPr>
          <w:p w14:paraId="6540044F" w14:textId="77777777" w:rsidR="00186A79" w:rsidRPr="0031164B" w:rsidRDefault="00186A79" w:rsidP="00186A79">
            <w:pPr>
              <w:widowControl/>
              <w:adjustRightInd/>
              <w:jc w:val="center"/>
              <w:rPr>
                <w:b/>
                <w:u w:val="single"/>
                <w:lang w:val="en-GB"/>
              </w:rPr>
            </w:pPr>
            <w:r w:rsidRPr="0031164B">
              <w:rPr>
                <w:b/>
                <w:u w:val="single"/>
                <w:lang w:val="en-GB"/>
              </w:rPr>
              <w:lastRenderedPageBreak/>
              <w:t>PŘÍLOHA B</w:t>
            </w:r>
          </w:p>
        </w:tc>
        <w:tc>
          <w:tcPr>
            <w:tcW w:w="2500" w:type="pct"/>
            <w:vAlign w:val="center"/>
          </w:tcPr>
          <w:p w14:paraId="0ADB54C4" w14:textId="1B4F8C0B" w:rsidR="00186A79" w:rsidRPr="0031164B" w:rsidRDefault="00186A79" w:rsidP="00186A79">
            <w:pPr>
              <w:widowControl/>
              <w:autoSpaceDE/>
              <w:autoSpaceDN/>
              <w:adjustRightInd/>
              <w:spacing w:after="160" w:line="259" w:lineRule="auto"/>
              <w:jc w:val="center"/>
              <w:rPr>
                <w:b/>
                <w:u w:val="single"/>
                <w:lang w:val="en-GB"/>
              </w:rPr>
            </w:pPr>
            <w:r w:rsidRPr="0031164B">
              <w:rPr>
                <w:b/>
                <w:u w:val="single"/>
                <w:lang w:val="en-GB"/>
              </w:rPr>
              <w:t>ATTACHMENT B</w:t>
            </w:r>
          </w:p>
        </w:tc>
      </w:tr>
      <w:tr w:rsidR="00186A79" w:rsidRPr="0031164B" w14:paraId="693DBB22" w14:textId="55BC353F" w:rsidTr="00186A79">
        <w:tc>
          <w:tcPr>
            <w:tcW w:w="2500" w:type="pct"/>
          </w:tcPr>
          <w:p w14:paraId="5C454A3C" w14:textId="77777777" w:rsidR="00186A79" w:rsidRPr="0031164B" w:rsidRDefault="00186A79" w:rsidP="00186A79">
            <w:pPr>
              <w:widowControl/>
              <w:adjustRightInd/>
              <w:jc w:val="center"/>
              <w:rPr>
                <w:b/>
                <w:u w:val="single"/>
                <w:lang w:val="en-GB"/>
              </w:rPr>
            </w:pPr>
          </w:p>
        </w:tc>
        <w:tc>
          <w:tcPr>
            <w:tcW w:w="2500" w:type="pct"/>
          </w:tcPr>
          <w:p w14:paraId="30539505" w14:textId="77777777" w:rsidR="00186A79" w:rsidRPr="0031164B" w:rsidRDefault="00186A79" w:rsidP="00186A79">
            <w:pPr>
              <w:widowControl/>
              <w:autoSpaceDE/>
              <w:autoSpaceDN/>
              <w:adjustRightInd/>
              <w:spacing w:after="160" w:line="259" w:lineRule="auto"/>
              <w:rPr>
                <w:b/>
                <w:u w:val="single"/>
                <w:lang w:val="en-GB"/>
              </w:rPr>
            </w:pPr>
          </w:p>
        </w:tc>
      </w:tr>
      <w:tr w:rsidR="00186A79" w:rsidRPr="0031164B" w14:paraId="5675EAAB" w14:textId="1188A035" w:rsidTr="00186A79">
        <w:tc>
          <w:tcPr>
            <w:tcW w:w="2500" w:type="pct"/>
          </w:tcPr>
          <w:p w14:paraId="0040F14E" w14:textId="77777777" w:rsidR="00186A79" w:rsidRPr="0031164B" w:rsidRDefault="00186A79" w:rsidP="00186A79">
            <w:pPr>
              <w:widowControl/>
              <w:adjustRightInd/>
              <w:rPr>
                <w:b/>
                <w:lang w:val="en-GB"/>
              </w:rPr>
            </w:pPr>
            <w:r w:rsidRPr="0031164B">
              <w:rPr>
                <w:b/>
                <w:lang w:val="en-GB"/>
              </w:rPr>
              <w:t xml:space="preserve">             </w:t>
            </w:r>
          </w:p>
        </w:tc>
        <w:tc>
          <w:tcPr>
            <w:tcW w:w="2500" w:type="pct"/>
          </w:tcPr>
          <w:p w14:paraId="4176DE5B" w14:textId="083D1F61" w:rsidR="00186A79" w:rsidRPr="0031164B" w:rsidRDefault="00186A79" w:rsidP="00186A79">
            <w:pPr>
              <w:widowControl/>
              <w:autoSpaceDE/>
              <w:autoSpaceDN/>
              <w:adjustRightInd/>
              <w:spacing w:after="160" w:line="259" w:lineRule="auto"/>
              <w:rPr>
                <w:b/>
                <w:lang w:val="en-GB"/>
              </w:rPr>
            </w:pPr>
            <w:r w:rsidRPr="0031164B">
              <w:rPr>
                <w:b/>
                <w:lang w:val="en-GB"/>
              </w:rPr>
              <w:t xml:space="preserve">             </w:t>
            </w:r>
          </w:p>
        </w:tc>
      </w:tr>
      <w:tr w:rsidR="00186A79" w:rsidRPr="0031164B" w14:paraId="33DA538A" w14:textId="2BE9894E" w:rsidTr="00186A79">
        <w:tc>
          <w:tcPr>
            <w:tcW w:w="2500" w:type="pct"/>
          </w:tcPr>
          <w:p w14:paraId="04B877D8" w14:textId="55900A72" w:rsidR="00186A79" w:rsidRPr="001314E7" w:rsidRDefault="00186A79" w:rsidP="00186A79">
            <w:pPr>
              <w:widowControl/>
              <w:adjustRightInd/>
              <w:rPr>
                <w:b/>
              </w:rPr>
            </w:pPr>
            <w:r w:rsidRPr="001314E7">
              <w:rPr>
                <w:b/>
              </w:rPr>
              <w:t xml:space="preserve">Smlouva o kvalitě uzavřená mezi společnostmi Celgene International Sàrl, Celgene Corporation a </w:t>
            </w:r>
            <w:r w:rsidR="00F60ACB">
              <w:rPr>
                <w:b/>
              </w:rPr>
              <w:t>Centrem</w:t>
            </w:r>
            <w:r w:rsidR="00F60ACB" w:rsidRPr="001314E7">
              <w:rPr>
                <w:b/>
              </w:rPr>
              <w:t xml:space="preserve"> </w:t>
            </w:r>
            <w:r w:rsidRPr="001314E7">
              <w:rPr>
                <w:b/>
              </w:rPr>
              <w:t xml:space="preserve">dne </w:t>
            </w:r>
            <w:r w:rsidR="009B6D9C">
              <w:rPr>
                <w:b/>
              </w:rPr>
              <w:t>14.11.2025</w:t>
            </w:r>
            <w:r w:rsidRPr="001314E7">
              <w:rPr>
                <w:b/>
              </w:rPr>
              <w:t>, která je zde začleněna odkazem.</w:t>
            </w:r>
          </w:p>
        </w:tc>
        <w:tc>
          <w:tcPr>
            <w:tcW w:w="2500" w:type="pct"/>
          </w:tcPr>
          <w:p w14:paraId="39455099" w14:textId="11ED8CB0" w:rsidR="00186A79" w:rsidRPr="0031164B" w:rsidRDefault="00186A79" w:rsidP="00186A79">
            <w:pPr>
              <w:widowControl/>
              <w:autoSpaceDE/>
              <w:autoSpaceDN/>
              <w:adjustRightInd/>
              <w:spacing w:after="160" w:line="259" w:lineRule="auto"/>
              <w:rPr>
                <w:b/>
                <w:lang w:val="en-GB"/>
              </w:rPr>
            </w:pPr>
            <w:r w:rsidRPr="0031164B">
              <w:rPr>
                <w:b/>
                <w:lang w:val="en-GB"/>
              </w:rPr>
              <w:t>Quality Agreement executed between Celgene International Sàrl, Celgene Corporation and the Center on</w:t>
            </w:r>
            <w:r w:rsidR="009B6D9C">
              <w:rPr>
                <w:b/>
                <w:lang w:val="en-GB"/>
              </w:rPr>
              <w:t xml:space="preserve"> 14.11.2025</w:t>
            </w:r>
            <w:r w:rsidRPr="0031164B">
              <w:rPr>
                <w:b/>
                <w:lang w:val="en-GB"/>
              </w:rPr>
              <w:t>, incorporated herein by reference.</w:t>
            </w:r>
          </w:p>
        </w:tc>
      </w:tr>
    </w:tbl>
    <w:p w14:paraId="63E34CEC" w14:textId="77777777" w:rsidR="00005B49" w:rsidRPr="0031164B" w:rsidRDefault="00005B49" w:rsidP="00005B49">
      <w:pPr>
        <w:rPr>
          <w:lang w:val="en-GB"/>
        </w:rPr>
      </w:pPr>
    </w:p>
    <w:p w14:paraId="63E34CED" w14:textId="77777777" w:rsidR="00244413" w:rsidRPr="0031164B" w:rsidRDefault="00244413">
      <w:pPr>
        <w:widowControl/>
        <w:autoSpaceDE/>
        <w:autoSpaceDN/>
        <w:adjustRightInd/>
        <w:spacing w:after="160" w:line="259" w:lineRule="auto"/>
        <w:rPr>
          <w:b/>
          <w:lang w:val="en-GB"/>
        </w:rPr>
      </w:pPr>
    </w:p>
    <w:p w14:paraId="63E34CEE" w14:textId="77777777" w:rsidR="000A5162" w:rsidRPr="0031164B" w:rsidRDefault="000A5162" w:rsidP="000A5162">
      <w:pPr>
        <w:widowControl/>
        <w:adjustRightInd/>
        <w:jc w:val="center"/>
        <w:rPr>
          <w:b/>
          <w:lang w:val="en-GB"/>
        </w:rPr>
      </w:pPr>
    </w:p>
    <w:p w14:paraId="63E34CEF" w14:textId="77777777" w:rsidR="000A5162" w:rsidRPr="0031164B" w:rsidRDefault="000A5162">
      <w:pPr>
        <w:widowControl/>
        <w:autoSpaceDE/>
        <w:autoSpaceDN/>
        <w:adjustRightInd/>
        <w:spacing w:after="160" w:line="259" w:lineRule="auto"/>
        <w:rPr>
          <w:b/>
          <w:lang w:val="en-GB"/>
        </w:rPr>
      </w:pPr>
    </w:p>
    <w:p w14:paraId="63E34CF0" w14:textId="77777777" w:rsidR="00AC0DCF" w:rsidRPr="0031164B" w:rsidRDefault="00CA50DA">
      <w:pPr>
        <w:widowControl/>
        <w:autoSpaceDE/>
        <w:autoSpaceDN/>
        <w:adjustRightInd/>
        <w:spacing w:after="160" w:line="259" w:lineRule="auto"/>
        <w:rPr>
          <w:b/>
          <w:lang w:val="en-GB"/>
        </w:rPr>
      </w:pPr>
      <w:r w:rsidRPr="0031164B">
        <w:rPr>
          <w:lang w:val="en-GB"/>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4482"/>
      </w:tblGrid>
      <w:tr w:rsidR="00A52FAF" w:rsidRPr="0031164B" w14:paraId="785697D9" w14:textId="6DAD28E9" w:rsidTr="00CE0A53">
        <w:tc>
          <w:tcPr>
            <w:tcW w:w="2530" w:type="pct"/>
          </w:tcPr>
          <w:p w14:paraId="582AADB3" w14:textId="77777777" w:rsidR="00186A79" w:rsidRPr="006C26AE" w:rsidRDefault="00186A79" w:rsidP="00186A79">
            <w:pPr>
              <w:widowControl/>
              <w:adjustRightInd/>
              <w:jc w:val="center"/>
              <w:rPr>
                <w:b/>
                <w:u w:val="single"/>
              </w:rPr>
            </w:pPr>
            <w:bookmarkStart w:id="275" w:name="_Hlk38890687"/>
            <w:r w:rsidRPr="006C26AE">
              <w:rPr>
                <w:b/>
                <w:u w:val="single"/>
              </w:rPr>
              <w:lastRenderedPageBreak/>
              <w:t>PŘÍLOHA C</w:t>
            </w:r>
          </w:p>
        </w:tc>
        <w:tc>
          <w:tcPr>
            <w:tcW w:w="2470" w:type="pct"/>
            <w:vAlign w:val="center"/>
          </w:tcPr>
          <w:p w14:paraId="270771E0" w14:textId="63A86255" w:rsidR="00186A79" w:rsidRPr="0031164B" w:rsidRDefault="00186A79" w:rsidP="00186A79">
            <w:pPr>
              <w:widowControl/>
              <w:autoSpaceDE/>
              <w:autoSpaceDN/>
              <w:adjustRightInd/>
              <w:spacing w:after="160" w:line="259" w:lineRule="auto"/>
              <w:jc w:val="center"/>
              <w:rPr>
                <w:b/>
                <w:u w:val="single"/>
                <w:lang w:val="en-GB"/>
              </w:rPr>
            </w:pPr>
            <w:r w:rsidRPr="0031164B">
              <w:rPr>
                <w:b/>
                <w:u w:val="single"/>
                <w:lang w:val="en-GB"/>
              </w:rPr>
              <w:t>ATTACHMENT C</w:t>
            </w:r>
          </w:p>
        </w:tc>
      </w:tr>
      <w:tr w:rsidR="00A52FAF" w:rsidRPr="0031164B" w14:paraId="4B3DD416" w14:textId="4DD14D6A" w:rsidTr="00CE0A53">
        <w:tc>
          <w:tcPr>
            <w:tcW w:w="2530" w:type="pct"/>
          </w:tcPr>
          <w:p w14:paraId="2D0C4849" w14:textId="77777777" w:rsidR="00186A79" w:rsidRPr="006C26AE" w:rsidRDefault="00186A79" w:rsidP="00186A79">
            <w:pPr>
              <w:widowControl/>
              <w:adjustRightInd/>
              <w:jc w:val="center"/>
              <w:rPr>
                <w:b/>
              </w:rPr>
            </w:pPr>
          </w:p>
        </w:tc>
        <w:tc>
          <w:tcPr>
            <w:tcW w:w="2470" w:type="pct"/>
            <w:vAlign w:val="center"/>
          </w:tcPr>
          <w:p w14:paraId="7193C2FB" w14:textId="77777777" w:rsidR="00186A79" w:rsidRPr="0031164B" w:rsidRDefault="00186A79" w:rsidP="00186A79">
            <w:pPr>
              <w:widowControl/>
              <w:autoSpaceDE/>
              <w:autoSpaceDN/>
              <w:adjustRightInd/>
              <w:spacing w:after="160" w:line="259" w:lineRule="auto"/>
              <w:jc w:val="center"/>
              <w:rPr>
                <w:b/>
                <w:lang w:val="en-GB"/>
              </w:rPr>
            </w:pPr>
          </w:p>
        </w:tc>
      </w:tr>
      <w:tr w:rsidR="00A52FAF" w:rsidRPr="0031164B" w14:paraId="3CEAA748" w14:textId="4CAC1177" w:rsidTr="00CE0A53">
        <w:tc>
          <w:tcPr>
            <w:tcW w:w="2530" w:type="pct"/>
          </w:tcPr>
          <w:p w14:paraId="1DFE3958" w14:textId="77777777" w:rsidR="00186A79" w:rsidRPr="006C26AE" w:rsidRDefault="00186A79" w:rsidP="00186A79">
            <w:pPr>
              <w:widowControl/>
              <w:adjustRightInd/>
              <w:jc w:val="center"/>
              <w:rPr>
                <w:b/>
              </w:rPr>
            </w:pPr>
            <w:r w:rsidRPr="006C26AE">
              <w:rPr>
                <w:b/>
              </w:rPr>
              <w:t>Podmínky</w:t>
            </w:r>
          </w:p>
        </w:tc>
        <w:tc>
          <w:tcPr>
            <w:tcW w:w="2470" w:type="pct"/>
            <w:vAlign w:val="center"/>
          </w:tcPr>
          <w:p w14:paraId="0026ECDC" w14:textId="7059533D" w:rsidR="00186A79" w:rsidRPr="0031164B" w:rsidRDefault="00186A79" w:rsidP="00186A79">
            <w:pPr>
              <w:widowControl/>
              <w:autoSpaceDE/>
              <w:autoSpaceDN/>
              <w:adjustRightInd/>
              <w:spacing w:after="160" w:line="259" w:lineRule="auto"/>
              <w:jc w:val="center"/>
              <w:rPr>
                <w:b/>
                <w:lang w:val="en-GB"/>
              </w:rPr>
            </w:pPr>
            <w:r w:rsidRPr="0031164B">
              <w:rPr>
                <w:b/>
                <w:lang w:val="en-GB"/>
              </w:rPr>
              <w:t>Terms and Conditions</w:t>
            </w:r>
          </w:p>
        </w:tc>
      </w:tr>
      <w:tr w:rsidR="00A52FAF" w:rsidRPr="0031164B" w14:paraId="1E164EBC" w14:textId="2DDB4885" w:rsidTr="00CE0A53">
        <w:tc>
          <w:tcPr>
            <w:tcW w:w="2530" w:type="pct"/>
          </w:tcPr>
          <w:p w14:paraId="1120457C" w14:textId="77777777" w:rsidR="00186A79" w:rsidRPr="006C26AE" w:rsidRDefault="00186A79" w:rsidP="00186A79">
            <w:pPr>
              <w:widowControl/>
              <w:adjustRightInd/>
              <w:jc w:val="center"/>
              <w:rPr>
                <w:b/>
              </w:rPr>
            </w:pPr>
          </w:p>
        </w:tc>
        <w:tc>
          <w:tcPr>
            <w:tcW w:w="2470" w:type="pct"/>
            <w:vAlign w:val="center"/>
          </w:tcPr>
          <w:p w14:paraId="5079D3D5" w14:textId="77777777" w:rsidR="00186A79" w:rsidRPr="0031164B" w:rsidRDefault="00186A79" w:rsidP="00186A79">
            <w:pPr>
              <w:widowControl/>
              <w:autoSpaceDE/>
              <w:autoSpaceDN/>
              <w:adjustRightInd/>
              <w:spacing w:after="160" w:line="259" w:lineRule="auto"/>
              <w:jc w:val="center"/>
              <w:rPr>
                <w:b/>
                <w:lang w:val="en-GB"/>
              </w:rPr>
            </w:pPr>
          </w:p>
        </w:tc>
      </w:tr>
      <w:tr w:rsidR="00A52FAF" w:rsidRPr="0031164B" w14:paraId="56D734D4" w14:textId="6CC07116" w:rsidTr="00CE0A53">
        <w:tc>
          <w:tcPr>
            <w:tcW w:w="2530" w:type="pct"/>
          </w:tcPr>
          <w:p w14:paraId="58D74DF9" w14:textId="77777777" w:rsidR="00186A79" w:rsidRPr="006C26AE" w:rsidRDefault="00186A79" w:rsidP="00186A79">
            <w:pPr>
              <w:jc w:val="center"/>
              <w:rPr>
                <w:b/>
                <w:bCs/>
              </w:rPr>
            </w:pPr>
            <w:r w:rsidRPr="006C26AE">
              <w:rPr>
                <w:b/>
                <w:bCs/>
              </w:rPr>
              <w:t>PODMÍNKY POUŽITÍ PRODUKTU BMS S CHIMÉRICKÝM ANTIGENNÍM RECEPTOREM T BUNĚK</w:t>
            </w:r>
          </w:p>
        </w:tc>
        <w:tc>
          <w:tcPr>
            <w:tcW w:w="2470" w:type="pct"/>
            <w:vAlign w:val="center"/>
          </w:tcPr>
          <w:p w14:paraId="2DBF499C" w14:textId="1E77BFD0" w:rsidR="00186A79" w:rsidRPr="0031164B" w:rsidRDefault="00186A79" w:rsidP="00186A79">
            <w:pPr>
              <w:widowControl/>
              <w:autoSpaceDE/>
              <w:autoSpaceDN/>
              <w:adjustRightInd/>
              <w:spacing w:after="160" w:line="259" w:lineRule="auto"/>
              <w:jc w:val="center"/>
              <w:rPr>
                <w:b/>
                <w:bCs/>
                <w:lang w:val="en-GB"/>
              </w:rPr>
            </w:pPr>
            <w:r w:rsidRPr="0031164B">
              <w:rPr>
                <w:b/>
                <w:bCs/>
                <w:lang w:val="en-GB"/>
              </w:rPr>
              <w:t>BMS CHIMERIC ANTIGEN RECEPTOR T CELL PRODUCT TERMS AND CONDITIONS</w:t>
            </w:r>
          </w:p>
        </w:tc>
      </w:tr>
      <w:tr w:rsidR="00A52FAF" w:rsidRPr="0031164B" w14:paraId="77DF29F5" w14:textId="730655BE" w:rsidTr="00CE0A53">
        <w:tc>
          <w:tcPr>
            <w:tcW w:w="2530" w:type="pct"/>
          </w:tcPr>
          <w:p w14:paraId="19128E06" w14:textId="77777777" w:rsidR="00186A79" w:rsidRPr="006C26AE" w:rsidRDefault="00186A79" w:rsidP="00186A79">
            <w:pPr>
              <w:rPr>
                <w:b/>
                <w:bCs/>
              </w:rPr>
            </w:pPr>
          </w:p>
        </w:tc>
        <w:tc>
          <w:tcPr>
            <w:tcW w:w="2470" w:type="pct"/>
          </w:tcPr>
          <w:p w14:paraId="5514494A" w14:textId="77777777" w:rsidR="00186A79" w:rsidRPr="0031164B" w:rsidRDefault="00186A79" w:rsidP="00186A79">
            <w:pPr>
              <w:widowControl/>
              <w:autoSpaceDE/>
              <w:autoSpaceDN/>
              <w:adjustRightInd/>
              <w:spacing w:after="160" w:line="259" w:lineRule="auto"/>
              <w:rPr>
                <w:b/>
                <w:bCs/>
                <w:lang w:val="en-GB"/>
              </w:rPr>
            </w:pPr>
          </w:p>
        </w:tc>
      </w:tr>
      <w:tr w:rsidR="00A52FAF" w:rsidRPr="0031164B" w14:paraId="53B0903D" w14:textId="064C920C" w:rsidTr="00CE0A53">
        <w:tc>
          <w:tcPr>
            <w:tcW w:w="2530" w:type="pct"/>
          </w:tcPr>
          <w:p w14:paraId="47599B88" w14:textId="77777777" w:rsidR="00186A79" w:rsidRPr="006C26AE" w:rsidRDefault="00186A79" w:rsidP="00186A79">
            <w:pPr>
              <w:tabs>
                <w:tab w:val="left" w:pos="3195"/>
              </w:tabs>
              <w:jc w:val="both"/>
              <w:rPr>
                <w:bCs/>
              </w:rPr>
            </w:pPr>
          </w:p>
        </w:tc>
        <w:tc>
          <w:tcPr>
            <w:tcW w:w="2470" w:type="pct"/>
          </w:tcPr>
          <w:p w14:paraId="428B9AFE" w14:textId="77777777" w:rsidR="00186A79" w:rsidRPr="0031164B" w:rsidRDefault="00186A79" w:rsidP="00186A79">
            <w:pPr>
              <w:widowControl/>
              <w:autoSpaceDE/>
              <w:autoSpaceDN/>
              <w:adjustRightInd/>
              <w:spacing w:after="160" w:line="259" w:lineRule="auto"/>
              <w:rPr>
                <w:bCs/>
                <w:lang w:val="en-GB"/>
              </w:rPr>
            </w:pPr>
          </w:p>
        </w:tc>
      </w:tr>
      <w:tr w:rsidR="00A52FAF" w:rsidRPr="0031164B" w14:paraId="3783B298" w14:textId="00C5EACD" w:rsidTr="00CE0A53">
        <w:tc>
          <w:tcPr>
            <w:tcW w:w="2530" w:type="pct"/>
          </w:tcPr>
          <w:p w14:paraId="379A5A37" w14:textId="75BECE73" w:rsidR="00186A79" w:rsidRPr="006C26AE" w:rsidRDefault="00186A79" w:rsidP="00186A79">
            <w:pPr>
              <w:tabs>
                <w:tab w:val="left" w:pos="3195"/>
              </w:tabs>
              <w:jc w:val="both"/>
              <w:rPr>
                <w:bCs/>
              </w:rPr>
            </w:pPr>
            <w:r w:rsidRPr="006C26AE">
              <w:t>Tento dokument Podmínky používání chimérických antigenních receptorových T-buněk (dále jen „</w:t>
            </w:r>
            <w:r w:rsidRPr="006C26AE">
              <w:rPr>
                <w:b/>
                <w:bCs/>
              </w:rPr>
              <w:t>podmínky</w:t>
            </w:r>
            <w:r w:rsidRPr="006C26AE">
              <w:t xml:space="preserve">“) se vztahuje na všechny objednávky produktů CAR T, zrušení objednávek produktů nebo výměny produktů požadovaných na základě prohlášení o pracovní činnosti uzavřeného mezi společností </w:t>
            </w:r>
            <w:r w:rsidRPr="006C26AE">
              <w:rPr>
                <w:sz w:val="22"/>
                <w:szCs w:val="22"/>
              </w:rPr>
              <w:t>BMS</w:t>
            </w:r>
            <w:r w:rsidRPr="006C26AE">
              <w:t xml:space="preserve"> a </w:t>
            </w:r>
            <w:r w:rsidR="00536009">
              <w:t>Centrem</w:t>
            </w:r>
            <w:r w:rsidRPr="006C26AE">
              <w:t xml:space="preserve"> podle rámcové smlouvy o dodávkách produktů CAR T a aferézních službách. Tyto podmínky jsou nedílnou součástí smlouvy a všechny zde použité, ale nedefinované pojmy (s velkým počátečním písmenem) mají význam, který je jim při</w:t>
            </w:r>
            <w:r w:rsidR="00EE1CA2">
              <w:t>řazen</w:t>
            </w:r>
            <w:r w:rsidRPr="006C26AE">
              <w:t xml:space="preserve"> ve Smlouvě.  </w:t>
            </w:r>
          </w:p>
        </w:tc>
        <w:tc>
          <w:tcPr>
            <w:tcW w:w="2470" w:type="pct"/>
          </w:tcPr>
          <w:p w14:paraId="43CD7CDC" w14:textId="3D3BDB37" w:rsidR="00186A79" w:rsidRPr="0031164B" w:rsidRDefault="00186A79" w:rsidP="00F35BB8">
            <w:pPr>
              <w:widowControl/>
              <w:autoSpaceDE/>
              <w:autoSpaceDN/>
              <w:adjustRightInd/>
              <w:spacing w:after="160" w:line="259" w:lineRule="auto"/>
              <w:jc w:val="both"/>
              <w:rPr>
                <w:bCs/>
                <w:lang w:val="en-GB"/>
              </w:rPr>
            </w:pPr>
            <w:r w:rsidRPr="0031164B">
              <w:rPr>
                <w:bCs/>
                <w:lang w:val="en-GB"/>
              </w:rPr>
              <w:t>This Chimeric Antigen Receptor T Cell Terms and Conditions document (the “</w:t>
            </w:r>
            <w:r w:rsidRPr="0031164B">
              <w:rPr>
                <w:b/>
                <w:bCs/>
                <w:lang w:val="en-GB"/>
              </w:rPr>
              <w:t>Terms and Conditions</w:t>
            </w:r>
            <w:r w:rsidRPr="0031164B">
              <w:rPr>
                <w:bCs/>
                <w:lang w:val="en-GB"/>
              </w:rPr>
              <w:t xml:space="preserve">”) applies to all of Center’s CAR T Product Orders, Product Order cancellations, or Product replacements requested under a Statement of Work entered into between </w:t>
            </w:r>
            <w:r w:rsidRPr="0031164B">
              <w:rPr>
                <w:sz w:val="22"/>
                <w:szCs w:val="22"/>
                <w:lang w:val="en-GB"/>
              </w:rPr>
              <w:t>BMS</w:t>
            </w:r>
            <w:r w:rsidRPr="0031164B">
              <w:rPr>
                <w:bCs/>
                <w:lang w:val="en-GB"/>
              </w:rPr>
              <w:t xml:space="preserve"> and Center pursuant to the CAR T Master Product Supply and Apheresis Services Agreement. These Terms and Conditions are an integral part of the Agreement, and all capitalized terms used but not defined herein shall have the meanings ascribed in the Agreement.  </w:t>
            </w:r>
          </w:p>
        </w:tc>
      </w:tr>
      <w:tr w:rsidR="00A52FAF" w:rsidRPr="0031164B" w14:paraId="5CB7D2A6" w14:textId="3C55A360" w:rsidTr="00CE0A53">
        <w:tc>
          <w:tcPr>
            <w:tcW w:w="2530" w:type="pct"/>
          </w:tcPr>
          <w:p w14:paraId="5267370D" w14:textId="77777777" w:rsidR="00186A79" w:rsidRPr="006C26AE" w:rsidRDefault="00186A79" w:rsidP="00186A79">
            <w:pPr>
              <w:tabs>
                <w:tab w:val="left" w:pos="3195"/>
              </w:tabs>
              <w:rPr>
                <w:b/>
                <w:bCs/>
              </w:rPr>
            </w:pPr>
          </w:p>
        </w:tc>
        <w:tc>
          <w:tcPr>
            <w:tcW w:w="2470" w:type="pct"/>
          </w:tcPr>
          <w:p w14:paraId="3C695DE9" w14:textId="77777777" w:rsidR="00186A79" w:rsidRPr="0031164B" w:rsidRDefault="00186A79" w:rsidP="00186A79">
            <w:pPr>
              <w:widowControl/>
              <w:autoSpaceDE/>
              <w:autoSpaceDN/>
              <w:adjustRightInd/>
              <w:spacing w:after="160" w:line="259" w:lineRule="auto"/>
              <w:rPr>
                <w:b/>
                <w:bCs/>
                <w:lang w:val="en-GB"/>
              </w:rPr>
            </w:pPr>
          </w:p>
        </w:tc>
      </w:tr>
      <w:tr w:rsidR="00A52FAF" w:rsidRPr="0031164B" w14:paraId="459AC4C1" w14:textId="31448ACA" w:rsidTr="00CE0A53">
        <w:tc>
          <w:tcPr>
            <w:tcW w:w="2530" w:type="pct"/>
          </w:tcPr>
          <w:p w14:paraId="13191DD9" w14:textId="77777777" w:rsidR="00186A79" w:rsidRPr="006C26AE" w:rsidRDefault="00186A79" w:rsidP="00186A79">
            <w:pPr>
              <w:tabs>
                <w:tab w:val="left" w:pos="3195"/>
              </w:tabs>
              <w:rPr>
                <w:b/>
                <w:bCs/>
                <w:u w:val="single"/>
              </w:rPr>
            </w:pPr>
            <w:r w:rsidRPr="006C26AE">
              <w:rPr>
                <w:b/>
                <w:bCs/>
                <w:u w:val="single"/>
              </w:rPr>
              <w:t>Proces objednávání produktů</w:t>
            </w:r>
          </w:p>
        </w:tc>
        <w:tc>
          <w:tcPr>
            <w:tcW w:w="2470" w:type="pct"/>
          </w:tcPr>
          <w:p w14:paraId="2D8D2460" w14:textId="1AB94B2C" w:rsidR="00186A79" w:rsidRPr="0031164B" w:rsidRDefault="00186A79" w:rsidP="00186A79">
            <w:pPr>
              <w:widowControl/>
              <w:autoSpaceDE/>
              <w:autoSpaceDN/>
              <w:adjustRightInd/>
              <w:spacing w:after="160" w:line="259" w:lineRule="auto"/>
              <w:rPr>
                <w:b/>
                <w:bCs/>
                <w:u w:val="single"/>
                <w:lang w:val="en-GB"/>
              </w:rPr>
            </w:pPr>
            <w:r w:rsidRPr="0031164B">
              <w:rPr>
                <w:b/>
                <w:bCs/>
                <w:u w:val="single"/>
                <w:lang w:val="en-GB"/>
              </w:rPr>
              <w:t>Product Order Process</w:t>
            </w:r>
          </w:p>
        </w:tc>
      </w:tr>
      <w:tr w:rsidR="00A52FAF" w:rsidRPr="0031164B" w14:paraId="52A5ADDF" w14:textId="518597B9" w:rsidTr="00CE0A53">
        <w:tc>
          <w:tcPr>
            <w:tcW w:w="2530" w:type="pct"/>
          </w:tcPr>
          <w:p w14:paraId="5D7AFF6C" w14:textId="77777777" w:rsidR="00186A79" w:rsidRPr="006C26AE" w:rsidRDefault="00186A79" w:rsidP="00186A79">
            <w:pPr>
              <w:tabs>
                <w:tab w:val="left" w:pos="3195"/>
              </w:tabs>
              <w:rPr>
                <w:bCs/>
              </w:rPr>
            </w:pPr>
          </w:p>
        </w:tc>
        <w:tc>
          <w:tcPr>
            <w:tcW w:w="2470" w:type="pct"/>
          </w:tcPr>
          <w:p w14:paraId="0D1A6BA7" w14:textId="77777777" w:rsidR="00186A79" w:rsidRPr="0031164B" w:rsidRDefault="00186A79" w:rsidP="00186A79">
            <w:pPr>
              <w:widowControl/>
              <w:autoSpaceDE/>
              <w:autoSpaceDN/>
              <w:adjustRightInd/>
              <w:spacing w:after="160" w:line="259" w:lineRule="auto"/>
              <w:rPr>
                <w:bCs/>
                <w:lang w:val="en-GB"/>
              </w:rPr>
            </w:pPr>
          </w:p>
        </w:tc>
      </w:tr>
      <w:tr w:rsidR="00A52FAF" w:rsidRPr="0031164B" w14:paraId="21B99C2B" w14:textId="49A0982B" w:rsidTr="00CE0A53">
        <w:tc>
          <w:tcPr>
            <w:tcW w:w="2530" w:type="pct"/>
          </w:tcPr>
          <w:p w14:paraId="390C2379" w14:textId="0D73D79D" w:rsidR="00186A79" w:rsidRPr="006C26AE" w:rsidRDefault="00186A79" w:rsidP="00186A79">
            <w:pPr>
              <w:jc w:val="both"/>
            </w:pPr>
            <w:bookmarkStart w:id="276" w:name="_Hlk37973505"/>
            <w:r w:rsidRPr="006C26AE">
              <w:t xml:space="preserve">Pro každý předpis produktu, který licencovaný zdravotnický pracovník </w:t>
            </w:r>
            <w:r w:rsidR="00A6058D">
              <w:t>Centra</w:t>
            </w:r>
            <w:r w:rsidRPr="006C26AE">
              <w:t xml:space="preserve"> vydá pacientovi, </w:t>
            </w:r>
            <w:r w:rsidR="00A6058D">
              <w:t>Centrum</w:t>
            </w:r>
            <w:r w:rsidRPr="006C26AE">
              <w:t xml:space="preserve"> vystaví objednávku produktu následujícím postupem: (i) naplánování data odběru aferézy pacienta prostřednictvím Portálu; (ii) poskytnutí určitých informací o pacientovi společnosti </w:t>
            </w:r>
            <w:r w:rsidRPr="006C26AE">
              <w:rPr>
                <w:sz w:val="22"/>
                <w:szCs w:val="22"/>
              </w:rPr>
              <w:t>BMS</w:t>
            </w:r>
            <w:r w:rsidRPr="006C26AE">
              <w:t xml:space="preserve"> prostřednictvím portálu, na základě kterých bude pro daného pacienta vygenerováno jedinečné identifikační číslo pacienta (dále jen „</w:t>
            </w:r>
            <w:r w:rsidRPr="006C26AE">
              <w:rPr>
                <w:b/>
                <w:bCs/>
              </w:rPr>
              <w:t>identifikační číslo pacienta</w:t>
            </w:r>
            <w:r w:rsidRPr="006C26AE">
              <w:t>“); a (iii) poskytnutí požadovaných informací o objednávce nákupu podle pokynů společnosti BMS (dále jen „</w:t>
            </w:r>
            <w:r w:rsidRPr="006C26AE">
              <w:rPr>
                <w:b/>
              </w:rPr>
              <w:t>informace o nákupní objednávce</w:t>
            </w:r>
            <w:r w:rsidRPr="006C26AE">
              <w:t xml:space="preserve">“) pro příslušný produkt prostřednictvím portálu nebo jiným způsobem určeným společností </w:t>
            </w:r>
            <w:r w:rsidRPr="006C26AE">
              <w:rPr>
                <w:sz w:val="22"/>
                <w:szCs w:val="22"/>
              </w:rPr>
              <w:t>BMS</w:t>
            </w:r>
            <w:r w:rsidRPr="006C26AE">
              <w:t xml:space="preserve"> s </w:t>
            </w:r>
            <w:r w:rsidRPr="006C26AE">
              <w:lastRenderedPageBreak/>
              <w:t xml:space="preserve">využitím příslušného identifikačního čísla pacienta. Poté, co společnost </w:t>
            </w:r>
            <w:r w:rsidRPr="006C26AE">
              <w:rPr>
                <w:sz w:val="22"/>
                <w:szCs w:val="22"/>
              </w:rPr>
              <w:t>BMS</w:t>
            </w:r>
            <w:r w:rsidRPr="006C26AE">
              <w:t xml:space="preserve"> potvrdí, že </w:t>
            </w:r>
            <w:r w:rsidR="002960CA">
              <w:t>Centrum</w:t>
            </w:r>
            <w:r w:rsidRPr="006C26AE">
              <w:t xml:space="preserve"> poskytlo informace o nákupní objednávce, přijme společnost </w:t>
            </w:r>
            <w:r w:rsidRPr="006C26AE">
              <w:rPr>
                <w:sz w:val="22"/>
                <w:szCs w:val="22"/>
              </w:rPr>
              <w:t>BMS</w:t>
            </w:r>
            <w:r w:rsidRPr="006C26AE">
              <w:t xml:space="preserve"> objednávku produktu v souladu s níže uvedeným oddílem. </w:t>
            </w:r>
            <w:bookmarkEnd w:id="276"/>
            <w:r w:rsidRPr="006C26AE">
              <w:t xml:space="preserve">Společnost Bristol Myers Squibb spol. s r.o. vystaví </w:t>
            </w:r>
            <w:r w:rsidR="007453A8">
              <w:t>Centru</w:t>
            </w:r>
            <w:r w:rsidRPr="006C26AE">
              <w:t xml:space="preserve"> fakturu za produkt po jeho dodání do </w:t>
            </w:r>
            <w:r w:rsidR="007453A8">
              <w:t>Centra</w:t>
            </w:r>
            <w:r w:rsidRPr="006C26AE">
              <w:t>.</w:t>
            </w:r>
          </w:p>
        </w:tc>
        <w:tc>
          <w:tcPr>
            <w:tcW w:w="2470" w:type="pct"/>
          </w:tcPr>
          <w:p w14:paraId="30FA93CC" w14:textId="1804BB59" w:rsidR="00186A79" w:rsidRPr="0031164B" w:rsidRDefault="00186A79" w:rsidP="00F35BB8">
            <w:pPr>
              <w:widowControl/>
              <w:autoSpaceDE/>
              <w:autoSpaceDN/>
              <w:adjustRightInd/>
              <w:spacing w:after="160" w:line="259" w:lineRule="auto"/>
              <w:jc w:val="both"/>
              <w:rPr>
                <w:lang w:val="en-GB"/>
              </w:rPr>
            </w:pPr>
            <w:r w:rsidRPr="0031164B">
              <w:rPr>
                <w:bCs/>
                <w:lang w:val="en-GB"/>
              </w:rPr>
              <w:lastRenderedPageBreak/>
              <w:t xml:space="preserve">For each prescription of a Product a licensed healthcare practitioner of Center issues to a patient, Center will place a Product Order by: (i) scheduling the patient’s apheresis collection date via the Portal; (ii) providing </w:t>
            </w:r>
            <w:r w:rsidRPr="0031164B">
              <w:rPr>
                <w:sz w:val="22"/>
                <w:szCs w:val="22"/>
                <w:lang w:val="en-GB"/>
              </w:rPr>
              <w:t>BMS</w:t>
            </w:r>
            <w:r w:rsidRPr="0031164B">
              <w:rPr>
                <w:bCs/>
                <w:lang w:val="en-GB"/>
              </w:rPr>
              <w:t xml:space="preserve"> certain patient information via the Portal, upon which, a unique patient Identification Number will be generated for that individual patient (each, a “</w:t>
            </w:r>
            <w:r w:rsidRPr="0031164B">
              <w:rPr>
                <w:b/>
                <w:bCs/>
                <w:lang w:val="en-GB"/>
              </w:rPr>
              <w:t>Patient Enrollment ID</w:t>
            </w:r>
            <w:r w:rsidRPr="0031164B">
              <w:rPr>
                <w:bCs/>
                <w:lang w:val="en-GB"/>
              </w:rPr>
              <w:t>”); and (iii) providing the required  purchase order information, as instructed by BMS (the “</w:t>
            </w:r>
            <w:r w:rsidRPr="0031164B">
              <w:rPr>
                <w:b/>
                <w:lang w:val="en-GB"/>
              </w:rPr>
              <w:t>Purchase Order Information</w:t>
            </w:r>
            <w:r w:rsidRPr="0031164B">
              <w:rPr>
                <w:bCs/>
                <w:lang w:val="en-GB"/>
              </w:rPr>
              <w:t xml:space="preserve">”), for the applicable Product via the Portal  or other means designated by </w:t>
            </w:r>
            <w:r w:rsidRPr="0031164B">
              <w:rPr>
                <w:sz w:val="22"/>
                <w:szCs w:val="22"/>
                <w:lang w:val="en-GB"/>
              </w:rPr>
              <w:t>BMS</w:t>
            </w:r>
            <w:r w:rsidRPr="0031164B">
              <w:rPr>
                <w:bCs/>
                <w:lang w:val="en-GB"/>
              </w:rPr>
              <w:t xml:space="preserve">, utilizing the applicable Patient </w:t>
            </w:r>
            <w:r w:rsidRPr="0031164B">
              <w:rPr>
                <w:bCs/>
                <w:lang w:val="en-GB"/>
              </w:rPr>
              <w:lastRenderedPageBreak/>
              <w:t xml:space="preserve">Enrollment ID. Upon </w:t>
            </w:r>
            <w:r w:rsidRPr="0031164B">
              <w:rPr>
                <w:sz w:val="22"/>
                <w:szCs w:val="22"/>
                <w:lang w:val="en-GB"/>
              </w:rPr>
              <w:t>BMS’</w:t>
            </w:r>
            <w:r w:rsidRPr="0031164B">
              <w:rPr>
                <w:bCs/>
                <w:lang w:val="en-GB"/>
              </w:rPr>
              <w:t xml:space="preserve"> confirmation the Purchase Order Information has been provided by Center for the Product Order, </w:t>
            </w:r>
            <w:r w:rsidRPr="0031164B">
              <w:rPr>
                <w:sz w:val="22"/>
                <w:szCs w:val="22"/>
                <w:lang w:val="en-GB"/>
              </w:rPr>
              <w:t>BMS</w:t>
            </w:r>
            <w:r w:rsidRPr="0031164B">
              <w:rPr>
                <w:bCs/>
                <w:lang w:val="en-GB"/>
              </w:rPr>
              <w:t xml:space="preserve"> shall accept the Product Order in accordance with the section below. </w:t>
            </w:r>
            <w:r w:rsidRPr="0031164B">
              <w:rPr>
                <w:lang w:val="en-GB"/>
              </w:rPr>
              <w:t>Center will be invoiced by Bristol Myers Squibb spol. s r.o. for Product after the Product is delivered to the Center.</w:t>
            </w:r>
          </w:p>
        </w:tc>
      </w:tr>
      <w:tr w:rsidR="00A52FAF" w:rsidRPr="0031164B" w14:paraId="34C5A011" w14:textId="08940EB1" w:rsidTr="00CE0A53">
        <w:tc>
          <w:tcPr>
            <w:tcW w:w="2530" w:type="pct"/>
          </w:tcPr>
          <w:p w14:paraId="68A8F4D6" w14:textId="77777777" w:rsidR="00186A79" w:rsidRPr="006C26AE" w:rsidRDefault="00186A79" w:rsidP="00186A79">
            <w:pPr>
              <w:tabs>
                <w:tab w:val="left" w:pos="3195"/>
              </w:tabs>
              <w:jc w:val="both"/>
              <w:rPr>
                <w:bCs/>
              </w:rPr>
            </w:pPr>
          </w:p>
        </w:tc>
        <w:tc>
          <w:tcPr>
            <w:tcW w:w="2470" w:type="pct"/>
          </w:tcPr>
          <w:p w14:paraId="3304491C" w14:textId="77777777" w:rsidR="00186A79" w:rsidRPr="0031164B" w:rsidRDefault="00186A79" w:rsidP="00F35BB8">
            <w:pPr>
              <w:widowControl/>
              <w:autoSpaceDE/>
              <w:autoSpaceDN/>
              <w:adjustRightInd/>
              <w:spacing w:after="160" w:line="259" w:lineRule="auto"/>
              <w:jc w:val="both"/>
              <w:rPr>
                <w:bCs/>
                <w:lang w:val="en-GB"/>
              </w:rPr>
            </w:pPr>
          </w:p>
        </w:tc>
      </w:tr>
      <w:tr w:rsidR="00A52FAF" w:rsidRPr="0031164B" w14:paraId="6DA149CE" w14:textId="4675827A" w:rsidTr="00CE0A53">
        <w:tc>
          <w:tcPr>
            <w:tcW w:w="2530" w:type="pct"/>
          </w:tcPr>
          <w:p w14:paraId="1C9A7C5A" w14:textId="77777777" w:rsidR="00186A79" w:rsidRPr="006C26AE" w:rsidRDefault="00186A79" w:rsidP="00186A79">
            <w:pPr>
              <w:tabs>
                <w:tab w:val="left" w:pos="3195"/>
              </w:tabs>
              <w:jc w:val="both"/>
              <w:rPr>
                <w:bCs/>
              </w:rPr>
            </w:pPr>
            <w:r w:rsidRPr="006C26AE">
              <w:t>Pro upřesnění, podmínky týkající se cen produktů nejsou předmětem této smlouvy.</w:t>
            </w:r>
          </w:p>
        </w:tc>
        <w:tc>
          <w:tcPr>
            <w:tcW w:w="2470" w:type="pct"/>
          </w:tcPr>
          <w:p w14:paraId="251B4ADA" w14:textId="23136071" w:rsidR="00186A79" w:rsidRPr="0031164B" w:rsidRDefault="00186A79" w:rsidP="00F35BB8">
            <w:pPr>
              <w:widowControl/>
              <w:autoSpaceDE/>
              <w:autoSpaceDN/>
              <w:adjustRightInd/>
              <w:spacing w:after="160" w:line="259" w:lineRule="auto"/>
              <w:jc w:val="both"/>
              <w:rPr>
                <w:bCs/>
                <w:lang w:val="en-GB"/>
              </w:rPr>
            </w:pPr>
            <w:r w:rsidRPr="0031164B">
              <w:rPr>
                <w:bCs/>
                <w:lang w:val="en-GB"/>
              </w:rPr>
              <w:t>For clarity, terms and conditions regarding Product pricing is not covered by the Agreement.</w:t>
            </w:r>
          </w:p>
        </w:tc>
      </w:tr>
      <w:tr w:rsidR="00A52FAF" w:rsidRPr="0031164B" w14:paraId="19BC8F86" w14:textId="3967A153" w:rsidTr="00CE0A53">
        <w:tc>
          <w:tcPr>
            <w:tcW w:w="2530" w:type="pct"/>
          </w:tcPr>
          <w:p w14:paraId="5F995E1E" w14:textId="77777777" w:rsidR="00186A79" w:rsidRPr="006C26AE" w:rsidRDefault="00186A79" w:rsidP="00186A79">
            <w:pPr>
              <w:tabs>
                <w:tab w:val="left" w:pos="3195"/>
              </w:tabs>
              <w:rPr>
                <w:bCs/>
              </w:rPr>
            </w:pPr>
          </w:p>
        </w:tc>
        <w:tc>
          <w:tcPr>
            <w:tcW w:w="2470" w:type="pct"/>
          </w:tcPr>
          <w:p w14:paraId="57A4B190" w14:textId="77777777" w:rsidR="00186A79" w:rsidRPr="0031164B" w:rsidRDefault="00186A79" w:rsidP="00F35BB8">
            <w:pPr>
              <w:widowControl/>
              <w:autoSpaceDE/>
              <w:autoSpaceDN/>
              <w:adjustRightInd/>
              <w:spacing w:after="160" w:line="259" w:lineRule="auto"/>
              <w:jc w:val="both"/>
              <w:rPr>
                <w:bCs/>
                <w:lang w:val="en-GB"/>
              </w:rPr>
            </w:pPr>
          </w:p>
        </w:tc>
      </w:tr>
      <w:tr w:rsidR="00A52FAF" w:rsidRPr="0031164B" w14:paraId="72053FC6" w14:textId="643CB4EE" w:rsidTr="00CE0A53">
        <w:tc>
          <w:tcPr>
            <w:tcW w:w="2530" w:type="pct"/>
          </w:tcPr>
          <w:p w14:paraId="71DACD5C" w14:textId="77777777" w:rsidR="00186A79" w:rsidRPr="006C26AE" w:rsidRDefault="00186A79" w:rsidP="00186A79">
            <w:pPr>
              <w:tabs>
                <w:tab w:val="left" w:pos="3195"/>
              </w:tabs>
              <w:rPr>
                <w:b/>
                <w:bCs/>
                <w:u w:val="single"/>
              </w:rPr>
            </w:pPr>
            <w:r w:rsidRPr="006C26AE">
              <w:rPr>
                <w:b/>
                <w:bCs/>
                <w:u w:val="single"/>
              </w:rPr>
              <w:t>Přijímání objednávek produktů</w:t>
            </w:r>
          </w:p>
        </w:tc>
        <w:tc>
          <w:tcPr>
            <w:tcW w:w="2470" w:type="pct"/>
          </w:tcPr>
          <w:p w14:paraId="07F60394" w14:textId="03F3F493" w:rsidR="00186A79" w:rsidRPr="0031164B" w:rsidRDefault="00186A79" w:rsidP="00F35BB8">
            <w:pPr>
              <w:widowControl/>
              <w:autoSpaceDE/>
              <w:autoSpaceDN/>
              <w:adjustRightInd/>
              <w:spacing w:after="160" w:line="259" w:lineRule="auto"/>
              <w:jc w:val="both"/>
              <w:rPr>
                <w:b/>
                <w:bCs/>
                <w:u w:val="single"/>
                <w:lang w:val="en-GB"/>
              </w:rPr>
            </w:pPr>
            <w:r w:rsidRPr="0031164B">
              <w:rPr>
                <w:b/>
                <w:bCs/>
                <w:u w:val="single"/>
                <w:lang w:val="en-GB"/>
              </w:rPr>
              <w:t>Acceptance of Product Orders</w:t>
            </w:r>
          </w:p>
        </w:tc>
      </w:tr>
      <w:tr w:rsidR="00A52FAF" w:rsidRPr="0031164B" w14:paraId="3515249A" w14:textId="40FA5A88" w:rsidTr="00CE0A53">
        <w:tc>
          <w:tcPr>
            <w:tcW w:w="2530" w:type="pct"/>
          </w:tcPr>
          <w:p w14:paraId="4E6C8AC9" w14:textId="77777777" w:rsidR="00186A79" w:rsidRPr="006C26AE" w:rsidRDefault="00186A79" w:rsidP="00186A79">
            <w:pPr>
              <w:tabs>
                <w:tab w:val="left" w:pos="3195"/>
              </w:tabs>
              <w:rPr>
                <w:bCs/>
              </w:rPr>
            </w:pPr>
          </w:p>
        </w:tc>
        <w:tc>
          <w:tcPr>
            <w:tcW w:w="2470" w:type="pct"/>
          </w:tcPr>
          <w:p w14:paraId="5F6FF6E9" w14:textId="77777777" w:rsidR="00186A79" w:rsidRPr="0031164B" w:rsidRDefault="00186A79" w:rsidP="00F35BB8">
            <w:pPr>
              <w:widowControl/>
              <w:autoSpaceDE/>
              <w:autoSpaceDN/>
              <w:adjustRightInd/>
              <w:spacing w:after="160" w:line="259" w:lineRule="auto"/>
              <w:jc w:val="both"/>
              <w:rPr>
                <w:bCs/>
                <w:lang w:val="en-GB"/>
              </w:rPr>
            </w:pPr>
          </w:p>
        </w:tc>
      </w:tr>
      <w:tr w:rsidR="00A52FAF" w:rsidRPr="0031164B" w14:paraId="6E20D564" w14:textId="65602AE0" w:rsidTr="00CE0A53">
        <w:tc>
          <w:tcPr>
            <w:tcW w:w="2530" w:type="pct"/>
          </w:tcPr>
          <w:p w14:paraId="0729EAC9" w14:textId="30236B17" w:rsidR="00186A79" w:rsidRPr="006C26AE" w:rsidRDefault="00186A79" w:rsidP="00186A79">
            <w:pPr>
              <w:tabs>
                <w:tab w:val="left" w:pos="3195"/>
              </w:tabs>
              <w:jc w:val="both"/>
              <w:rPr>
                <w:bCs/>
              </w:rPr>
            </w:pPr>
            <w:r w:rsidRPr="006C26AE">
              <w:t xml:space="preserve">Vzhledem k autologní povaze produktu nic v tomto dokumentu ani ve Smlouvě nebrání společnosti </w:t>
            </w:r>
            <w:r w:rsidRPr="006C26AE">
              <w:rPr>
                <w:sz w:val="22"/>
                <w:szCs w:val="22"/>
              </w:rPr>
              <w:t>BMS</w:t>
            </w:r>
            <w:r w:rsidRPr="006C26AE">
              <w:t xml:space="preserve"> upravit nebo zrušit jakoukoli objednávku produktu nebo její část, a to na základě vlastního uvážení společnosti </w:t>
            </w:r>
            <w:r w:rsidRPr="006C26AE">
              <w:rPr>
                <w:sz w:val="22"/>
                <w:szCs w:val="22"/>
              </w:rPr>
              <w:t>BMS</w:t>
            </w:r>
            <w:r w:rsidRPr="006C26AE">
              <w:t xml:space="preserve"> z důvodů, které nejsou diskreční, včetně, ale nikoli výhradně, následujících: aferézní materiály pro objednávku produktu nesplňují požadavky stanovené ve smlouvě nebo společnost </w:t>
            </w:r>
            <w:r w:rsidRPr="006C26AE">
              <w:rPr>
                <w:sz w:val="22"/>
                <w:szCs w:val="22"/>
              </w:rPr>
              <w:t>BMS</w:t>
            </w:r>
            <w:r w:rsidRPr="006C26AE">
              <w:t xml:space="preserve"> není schopna produkt pro pacienta vyrobit. Kromě toho může společnost </w:t>
            </w:r>
            <w:r w:rsidRPr="006C26AE">
              <w:rPr>
                <w:sz w:val="22"/>
                <w:szCs w:val="22"/>
              </w:rPr>
              <w:t>BMS</w:t>
            </w:r>
            <w:r w:rsidRPr="006C26AE">
              <w:t xml:space="preserve"> zrušit jakoukoli objednávku produktu v procesu, pokud </w:t>
            </w:r>
            <w:r w:rsidR="00551B3C">
              <w:t>Centrum</w:t>
            </w:r>
            <w:r w:rsidRPr="006C26AE">
              <w:t xml:space="preserve"> pět (5) pracovních dnů před plánovaným termínem aferézy neposkytne informace o objednávce. </w:t>
            </w:r>
          </w:p>
        </w:tc>
        <w:tc>
          <w:tcPr>
            <w:tcW w:w="2470" w:type="pct"/>
          </w:tcPr>
          <w:p w14:paraId="3559B23C" w14:textId="4D177FFD" w:rsidR="00186A79" w:rsidRPr="0031164B" w:rsidRDefault="00186A79" w:rsidP="00F35BB8">
            <w:pPr>
              <w:widowControl/>
              <w:autoSpaceDE/>
              <w:autoSpaceDN/>
              <w:adjustRightInd/>
              <w:spacing w:after="160" w:line="259" w:lineRule="auto"/>
              <w:jc w:val="both"/>
              <w:rPr>
                <w:bCs/>
                <w:lang w:val="en-GB"/>
              </w:rPr>
            </w:pPr>
            <w:r w:rsidRPr="0031164B">
              <w:rPr>
                <w:bCs/>
                <w:lang w:val="en-GB"/>
              </w:rPr>
              <w:t xml:space="preserve">Due to the autologous nature of the Product, nothing herein or in the Agreement shall prevent </w:t>
            </w:r>
            <w:r w:rsidRPr="0031164B">
              <w:rPr>
                <w:sz w:val="22"/>
                <w:szCs w:val="22"/>
                <w:lang w:val="en-GB"/>
              </w:rPr>
              <w:t xml:space="preserve">BMS </w:t>
            </w:r>
            <w:r w:rsidRPr="0031164B">
              <w:rPr>
                <w:bCs/>
                <w:lang w:val="en-GB"/>
              </w:rPr>
              <w:t xml:space="preserve">from modifying or cancelling any Product Order or part thereof, at </w:t>
            </w:r>
            <w:r w:rsidRPr="0031164B">
              <w:rPr>
                <w:sz w:val="22"/>
                <w:szCs w:val="22"/>
                <w:lang w:val="en-GB"/>
              </w:rPr>
              <w:t>BMS’</w:t>
            </w:r>
            <w:r w:rsidRPr="0031164B">
              <w:rPr>
                <w:bCs/>
                <w:lang w:val="en-GB"/>
              </w:rPr>
              <w:t xml:space="preserve"> sole discretion, for non-discretionary reasons including, but not limited to: Apheresis Materials for a Product Order do not meet the requirements set forth in the Agreement or </w:t>
            </w:r>
            <w:r w:rsidRPr="0031164B">
              <w:rPr>
                <w:sz w:val="22"/>
                <w:szCs w:val="22"/>
                <w:lang w:val="en-GB"/>
              </w:rPr>
              <w:t>BMS</w:t>
            </w:r>
            <w:r w:rsidRPr="0031164B">
              <w:rPr>
                <w:bCs/>
                <w:lang w:val="en-GB"/>
              </w:rPr>
              <w:t xml:space="preserve"> is not able to manufacture the Product for the patient. Furthermore, </w:t>
            </w:r>
            <w:r w:rsidRPr="0031164B">
              <w:rPr>
                <w:sz w:val="22"/>
                <w:szCs w:val="22"/>
                <w:lang w:val="en-GB"/>
              </w:rPr>
              <w:t>BMS</w:t>
            </w:r>
            <w:r w:rsidRPr="0031164B">
              <w:rPr>
                <w:bCs/>
                <w:lang w:val="en-GB"/>
              </w:rPr>
              <w:t xml:space="preserve"> may cancel any in-process Product Order if Center fails to provide the Purchase Order Information five (5) business days prior to the scheduled apheresis appointment. </w:t>
            </w:r>
          </w:p>
        </w:tc>
      </w:tr>
      <w:tr w:rsidR="00A52FAF" w:rsidRPr="0031164B" w14:paraId="3B8B1E6D" w14:textId="1995DEBC" w:rsidTr="00CE0A53">
        <w:tc>
          <w:tcPr>
            <w:tcW w:w="2530" w:type="pct"/>
          </w:tcPr>
          <w:p w14:paraId="7CA75C41" w14:textId="77777777" w:rsidR="00186A79" w:rsidRPr="006C26AE" w:rsidRDefault="00186A79" w:rsidP="00186A79">
            <w:pPr>
              <w:tabs>
                <w:tab w:val="left" w:pos="3195"/>
              </w:tabs>
              <w:jc w:val="both"/>
              <w:rPr>
                <w:b/>
                <w:bCs/>
              </w:rPr>
            </w:pPr>
          </w:p>
        </w:tc>
        <w:tc>
          <w:tcPr>
            <w:tcW w:w="2470" w:type="pct"/>
          </w:tcPr>
          <w:p w14:paraId="258E9343" w14:textId="77777777" w:rsidR="00186A79" w:rsidRPr="0031164B" w:rsidRDefault="00186A79" w:rsidP="00F35BB8">
            <w:pPr>
              <w:widowControl/>
              <w:autoSpaceDE/>
              <w:autoSpaceDN/>
              <w:adjustRightInd/>
              <w:spacing w:after="160" w:line="259" w:lineRule="auto"/>
              <w:jc w:val="both"/>
              <w:rPr>
                <w:b/>
                <w:bCs/>
                <w:lang w:val="en-GB"/>
              </w:rPr>
            </w:pPr>
          </w:p>
        </w:tc>
      </w:tr>
      <w:tr w:rsidR="00A52FAF" w:rsidRPr="0031164B" w14:paraId="221AAF77" w14:textId="69B43752" w:rsidTr="00CE0A53">
        <w:tc>
          <w:tcPr>
            <w:tcW w:w="2530" w:type="pct"/>
          </w:tcPr>
          <w:p w14:paraId="631B1C54" w14:textId="77777777" w:rsidR="00186A79" w:rsidRPr="006C26AE" w:rsidRDefault="00186A79" w:rsidP="00186A79">
            <w:pPr>
              <w:tabs>
                <w:tab w:val="left" w:pos="3195"/>
              </w:tabs>
              <w:rPr>
                <w:b/>
                <w:bCs/>
                <w:u w:val="single"/>
              </w:rPr>
            </w:pPr>
            <w:r w:rsidRPr="006C26AE">
              <w:rPr>
                <w:b/>
                <w:bCs/>
                <w:u w:val="single"/>
              </w:rPr>
              <w:t>Skladování zpracovaných aferézních buněk, produktu a přebytečného produktu</w:t>
            </w:r>
          </w:p>
        </w:tc>
        <w:tc>
          <w:tcPr>
            <w:tcW w:w="2470" w:type="pct"/>
          </w:tcPr>
          <w:p w14:paraId="41BB37A8" w14:textId="4652ECF7" w:rsidR="00186A79" w:rsidRPr="0031164B" w:rsidRDefault="00186A79" w:rsidP="00F35BB8">
            <w:pPr>
              <w:widowControl/>
              <w:autoSpaceDE/>
              <w:autoSpaceDN/>
              <w:adjustRightInd/>
              <w:spacing w:after="160" w:line="259" w:lineRule="auto"/>
              <w:jc w:val="both"/>
              <w:rPr>
                <w:b/>
                <w:bCs/>
                <w:u w:val="single"/>
                <w:lang w:val="en-GB"/>
              </w:rPr>
            </w:pPr>
            <w:r w:rsidRPr="0031164B">
              <w:rPr>
                <w:b/>
                <w:bCs/>
                <w:u w:val="single"/>
                <w:lang w:val="en-GB"/>
              </w:rPr>
              <w:t>Storage of Processed Apheresis Cells, Product and Excess Product</w:t>
            </w:r>
          </w:p>
        </w:tc>
      </w:tr>
      <w:tr w:rsidR="00A52FAF" w:rsidRPr="0031164B" w14:paraId="0930F972" w14:textId="76599DC3" w:rsidTr="00CE0A53">
        <w:tc>
          <w:tcPr>
            <w:tcW w:w="2530" w:type="pct"/>
          </w:tcPr>
          <w:p w14:paraId="74CA1FC0" w14:textId="77777777" w:rsidR="00186A79" w:rsidRPr="006C26AE" w:rsidRDefault="00186A79" w:rsidP="00186A79">
            <w:pPr>
              <w:tabs>
                <w:tab w:val="left" w:pos="3195"/>
              </w:tabs>
              <w:rPr>
                <w:b/>
                <w:bCs/>
                <w:color w:val="000000" w:themeColor="text1"/>
                <w:u w:val="single"/>
              </w:rPr>
            </w:pPr>
          </w:p>
        </w:tc>
        <w:tc>
          <w:tcPr>
            <w:tcW w:w="2470" w:type="pct"/>
          </w:tcPr>
          <w:p w14:paraId="67064077" w14:textId="77777777" w:rsidR="00186A79" w:rsidRPr="0031164B" w:rsidRDefault="00186A79" w:rsidP="00F35BB8">
            <w:pPr>
              <w:widowControl/>
              <w:autoSpaceDE/>
              <w:autoSpaceDN/>
              <w:adjustRightInd/>
              <w:spacing w:after="160" w:line="259" w:lineRule="auto"/>
              <w:jc w:val="both"/>
              <w:rPr>
                <w:b/>
                <w:bCs/>
                <w:color w:val="000000" w:themeColor="text1"/>
                <w:u w:val="single"/>
                <w:lang w:val="en-GB"/>
              </w:rPr>
            </w:pPr>
          </w:p>
        </w:tc>
      </w:tr>
      <w:tr w:rsidR="00A52FAF" w:rsidRPr="0031164B" w14:paraId="080D1917" w14:textId="75E41488" w:rsidTr="00CE0A53">
        <w:tc>
          <w:tcPr>
            <w:tcW w:w="2530" w:type="pct"/>
          </w:tcPr>
          <w:p w14:paraId="36DE4515" w14:textId="77777777" w:rsidR="00186A79" w:rsidRPr="006C26AE" w:rsidRDefault="00186A79" w:rsidP="00186A79">
            <w:pPr>
              <w:tabs>
                <w:tab w:val="left" w:pos="3195"/>
              </w:tabs>
              <w:jc w:val="both"/>
              <w:rPr>
                <w:bCs/>
              </w:rPr>
            </w:pPr>
            <w:r w:rsidRPr="006C26AE">
              <w:t xml:space="preserve">Po obdržení zpracuje společnost </w:t>
            </w:r>
            <w:r w:rsidRPr="006C26AE">
              <w:rPr>
                <w:sz w:val="22"/>
                <w:szCs w:val="22"/>
              </w:rPr>
              <w:t>BMS</w:t>
            </w:r>
            <w:r w:rsidRPr="006C26AE">
              <w:t xml:space="preserve"> aferézní materiály každého pacienta do meziproduktu, aby zajistila, že materiál je vhodný pro použití ve výrobě („</w:t>
            </w:r>
            <w:r w:rsidRPr="006C26AE">
              <w:rPr>
                <w:b/>
                <w:bCs/>
              </w:rPr>
              <w:t>zpracované aferézní materiály</w:t>
            </w:r>
            <w:r w:rsidRPr="006C26AE">
              <w:t xml:space="preserve">“). Společnost </w:t>
            </w:r>
            <w:r w:rsidRPr="006C26AE">
              <w:rPr>
                <w:sz w:val="22"/>
                <w:szCs w:val="22"/>
              </w:rPr>
              <w:t>BMS</w:t>
            </w:r>
            <w:r w:rsidRPr="006C26AE">
              <w:t xml:space="preserve"> uskladní další zpracované aferézní materiály (pokud jsou k dispozici) až do data jejich expirace, pokud neexistuje žádný nadbytečný </w:t>
            </w:r>
            <w:r w:rsidRPr="006C26AE">
              <w:lastRenderedPageBreak/>
              <w:t xml:space="preserve">produkt (jak je definován níže), který by byl výsledkem výrobního procesu společnosti </w:t>
            </w:r>
            <w:r w:rsidRPr="006C26AE">
              <w:rPr>
                <w:sz w:val="22"/>
                <w:szCs w:val="22"/>
              </w:rPr>
              <w:t>BMS</w:t>
            </w:r>
            <w:r w:rsidRPr="006C26AE">
              <w:t xml:space="preserve">. Po uplynutí doby skladování společnost </w:t>
            </w:r>
            <w:r w:rsidRPr="006C26AE">
              <w:rPr>
                <w:sz w:val="22"/>
                <w:szCs w:val="22"/>
              </w:rPr>
              <w:t>BMS</w:t>
            </w:r>
            <w:r w:rsidRPr="006C26AE">
              <w:t xml:space="preserve"> řádně zlikviduje veškeré skladované zpracované aferézní materiály na vlastní náklady.</w:t>
            </w:r>
          </w:p>
        </w:tc>
        <w:tc>
          <w:tcPr>
            <w:tcW w:w="2470" w:type="pct"/>
          </w:tcPr>
          <w:p w14:paraId="49F4968C" w14:textId="47405D7D" w:rsidR="00186A79" w:rsidRPr="0031164B" w:rsidRDefault="00186A79" w:rsidP="00F35BB8">
            <w:pPr>
              <w:widowControl/>
              <w:autoSpaceDE/>
              <w:autoSpaceDN/>
              <w:adjustRightInd/>
              <w:spacing w:after="160" w:line="259" w:lineRule="auto"/>
              <w:jc w:val="both"/>
              <w:rPr>
                <w:bCs/>
                <w:lang w:val="en-GB"/>
              </w:rPr>
            </w:pPr>
            <w:r w:rsidRPr="0031164B">
              <w:rPr>
                <w:bCs/>
                <w:lang w:val="en-GB"/>
              </w:rPr>
              <w:lastRenderedPageBreak/>
              <w:t xml:space="preserve">Upon receipt, </w:t>
            </w:r>
            <w:r w:rsidRPr="0031164B">
              <w:rPr>
                <w:sz w:val="22"/>
                <w:szCs w:val="22"/>
                <w:lang w:val="en-GB"/>
              </w:rPr>
              <w:t>BMS</w:t>
            </w:r>
            <w:r w:rsidRPr="0031164B">
              <w:rPr>
                <w:bCs/>
                <w:lang w:val="en-GB"/>
              </w:rPr>
              <w:t xml:space="preserve"> will process each patient’s Apheresis Materials to an intermediate form to ensure the material is suitable for use in manufacturing (the “</w:t>
            </w:r>
            <w:r w:rsidRPr="0031164B">
              <w:rPr>
                <w:b/>
                <w:bCs/>
                <w:lang w:val="en-GB"/>
              </w:rPr>
              <w:t>Processed Apheresis Materials</w:t>
            </w:r>
            <w:r w:rsidRPr="0031164B">
              <w:rPr>
                <w:bCs/>
                <w:lang w:val="en-GB"/>
              </w:rPr>
              <w:t xml:space="preserve">”). </w:t>
            </w:r>
            <w:r w:rsidRPr="0031164B">
              <w:rPr>
                <w:sz w:val="22"/>
                <w:szCs w:val="22"/>
                <w:lang w:val="en-GB"/>
              </w:rPr>
              <w:t>BMS</w:t>
            </w:r>
            <w:r w:rsidRPr="0031164B">
              <w:rPr>
                <w:bCs/>
                <w:lang w:val="en-GB"/>
              </w:rPr>
              <w:t xml:space="preserve"> will store extra Processed Apheresis Materials (if available) until its expiry date if there is no Excess Product (as defined </w:t>
            </w:r>
            <w:r w:rsidRPr="0031164B">
              <w:rPr>
                <w:bCs/>
                <w:lang w:val="en-GB"/>
              </w:rPr>
              <w:lastRenderedPageBreak/>
              <w:t xml:space="preserve">below) resulting from </w:t>
            </w:r>
            <w:r w:rsidRPr="0031164B">
              <w:rPr>
                <w:sz w:val="22"/>
                <w:szCs w:val="22"/>
                <w:lang w:val="en-GB"/>
              </w:rPr>
              <w:t>BMS’</w:t>
            </w:r>
            <w:r w:rsidRPr="0031164B">
              <w:rPr>
                <w:bCs/>
                <w:lang w:val="en-GB"/>
              </w:rPr>
              <w:t xml:space="preserve"> manufacturing process. After the storage period, </w:t>
            </w:r>
            <w:r w:rsidRPr="0031164B">
              <w:rPr>
                <w:sz w:val="22"/>
                <w:szCs w:val="22"/>
                <w:lang w:val="en-GB"/>
              </w:rPr>
              <w:t>BMS</w:t>
            </w:r>
            <w:r w:rsidRPr="0031164B">
              <w:rPr>
                <w:bCs/>
                <w:lang w:val="en-GB"/>
              </w:rPr>
              <w:t xml:space="preserve"> shall properly dispose of any stored Processed Apheresis Materials at its sole expense.</w:t>
            </w:r>
          </w:p>
        </w:tc>
      </w:tr>
      <w:tr w:rsidR="00A52FAF" w:rsidRPr="0031164B" w14:paraId="7868A484" w14:textId="0B4F5C14" w:rsidTr="00CE0A53">
        <w:tc>
          <w:tcPr>
            <w:tcW w:w="2530" w:type="pct"/>
          </w:tcPr>
          <w:p w14:paraId="79882E64" w14:textId="77777777" w:rsidR="00186A79" w:rsidRPr="006C26AE" w:rsidRDefault="00186A79" w:rsidP="00186A79">
            <w:pPr>
              <w:tabs>
                <w:tab w:val="left" w:pos="3195"/>
              </w:tabs>
              <w:jc w:val="both"/>
              <w:rPr>
                <w:bCs/>
              </w:rPr>
            </w:pPr>
            <w:r w:rsidRPr="006C26AE">
              <w:lastRenderedPageBreak/>
              <w:t xml:space="preserve">  </w:t>
            </w:r>
          </w:p>
        </w:tc>
        <w:tc>
          <w:tcPr>
            <w:tcW w:w="2470" w:type="pct"/>
          </w:tcPr>
          <w:p w14:paraId="7E8C32AB" w14:textId="6380CE4B" w:rsidR="00186A79" w:rsidRPr="0031164B" w:rsidRDefault="00186A79" w:rsidP="00F35BB8">
            <w:pPr>
              <w:widowControl/>
              <w:autoSpaceDE/>
              <w:autoSpaceDN/>
              <w:adjustRightInd/>
              <w:spacing w:after="160" w:line="259" w:lineRule="auto"/>
              <w:jc w:val="both"/>
              <w:rPr>
                <w:bCs/>
                <w:lang w:val="en-GB"/>
              </w:rPr>
            </w:pPr>
            <w:r w:rsidRPr="0031164B">
              <w:rPr>
                <w:bCs/>
                <w:lang w:val="en-GB"/>
              </w:rPr>
              <w:t xml:space="preserve">  </w:t>
            </w:r>
          </w:p>
        </w:tc>
      </w:tr>
      <w:tr w:rsidR="00A52FAF" w:rsidRPr="0031164B" w14:paraId="79DFC82C" w14:textId="5F76FCF8" w:rsidTr="00CE0A53">
        <w:tc>
          <w:tcPr>
            <w:tcW w:w="2530" w:type="pct"/>
          </w:tcPr>
          <w:p w14:paraId="617C5543" w14:textId="59D02F04" w:rsidR="00186A79" w:rsidRPr="006C26AE" w:rsidRDefault="00186A79" w:rsidP="00186A79">
            <w:pPr>
              <w:tabs>
                <w:tab w:val="left" w:pos="3195"/>
              </w:tabs>
              <w:jc w:val="both"/>
              <w:rPr>
                <w:bCs/>
              </w:rPr>
            </w:pPr>
            <w:r w:rsidRPr="006C26AE">
              <w:t xml:space="preserve">Pokud </w:t>
            </w:r>
            <w:r w:rsidR="00B657B1">
              <w:t>Centrum</w:t>
            </w:r>
            <w:r w:rsidRPr="006C26AE">
              <w:t xml:space="preserve"> nemůže dodávku produktu přijmout, společnost BMS uskladní produkt po dobu expirace označené na etiketě produktu ve svém skladovacím zařízení nebo ve skladovacích zařízeních svého určeného zástupce. Po uplynutí doby použitelnosti je společnost BMS povinna produkt řádně zlikvidovat na vlastní náklady.</w:t>
            </w:r>
          </w:p>
        </w:tc>
        <w:tc>
          <w:tcPr>
            <w:tcW w:w="2470" w:type="pct"/>
          </w:tcPr>
          <w:p w14:paraId="72D39B3F" w14:textId="3AF7A1F8" w:rsidR="00186A79" w:rsidRPr="0031164B" w:rsidRDefault="00186A79" w:rsidP="00F35BB8">
            <w:pPr>
              <w:widowControl/>
              <w:autoSpaceDE/>
              <w:autoSpaceDN/>
              <w:adjustRightInd/>
              <w:spacing w:after="160" w:line="259" w:lineRule="auto"/>
              <w:jc w:val="both"/>
              <w:rPr>
                <w:bCs/>
                <w:lang w:val="en-GB"/>
              </w:rPr>
            </w:pPr>
            <w:r w:rsidRPr="0031164B">
              <w:rPr>
                <w:bCs/>
                <w:lang w:val="en-GB"/>
              </w:rPr>
              <w:t>If Center is unable to accept Product delivery, BMS will store Product for the labeled Product expiry period at its or its designated agent’s storage facility(ies). BMS shall properly dispose Product at its sole expense after the Product expiry date.</w:t>
            </w:r>
          </w:p>
        </w:tc>
      </w:tr>
      <w:tr w:rsidR="00A52FAF" w:rsidRPr="0031164B" w14:paraId="796BDFC4" w14:textId="490D7817" w:rsidTr="00CE0A53">
        <w:tc>
          <w:tcPr>
            <w:tcW w:w="2530" w:type="pct"/>
          </w:tcPr>
          <w:p w14:paraId="190F4236" w14:textId="77777777" w:rsidR="00186A79" w:rsidRPr="006C26AE" w:rsidRDefault="00186A79" w:rsidP="00186A79">
            <w:pPr>
              <w:tabs>
                <w:tab w:val="left" w:pos="3195"/>
              </w:tabs>
              <w:jc w:val="both"/>
              <w:rPr>
                <w:bCs/>
              </w:rPr>
            </w:pPr>
          </w:p>
        </w:tc>
        <w:tc>
          <w:tcPr>
            <w:tcW w:w="2470" w:type="pct"/>
          </w:tcPr>
          <w:p w14:paraId="24C4F1C2" w14:textId="77777777" w:rsidR="00186A79" w:rsidRPr="0031164B" w:rsidRDefault="00186A79" w:rsidP="00F35BB8">
            <w:pPr>
              <w:widowControl/>
              <w:autoSpaceDE/>
              <w:autoSpaceDN/>
              <w:adjustRightInd/>
              <w:spacing w:after="160" w:line="259" w:lineRule="auto"/>
              <w:jc w:val="both"/>
              <w:rPr>
                <w:bCs/>
                <w:lang w:val="en-GB"/>
              </w:rPr>
            </w:pPr>
          </w:p>
        </w:tc>
      </w:tr>
      <w:tr w:rsidR="00A52FAF" w:rsidRPr="0031164B" w14:paraId="1AC845F2" w14:textId="327B6C6E" w:rsidTr="00CE0A53">
        <w:tc>
          <w:tcPr>
            <w:tcW w:w="2530" w:type="pct"/>
          </w:tcPr>
          <w:p w14:paraId="3A744D5A" w14:textId="77777777" w:rsidR="00186A79" w:rsidRPr="006C26AE" w:rsidRDefault="00186A79" w:rsidP="00186A79">
            <w:pPr>
              <w:tabs>
                <w:tab w:val="left" w:pos="3195"/>
              </w:tabs>
              <w:jc w:val="both"/>
              <w:rPr>
                <w:bCs/>
              </w:rPr>
            </w:pPr>
            <w:r w:rsidRPr="006C26AE">
              <w:t xml:space="preserve">Společnost </w:t>
            </w:r>
            <w:r w:rsidRPr="006C26AE">
              <w:rPr>
                <w:sz w:val="22"/>
                <w:szCs w:val="22"/>
              </w:rPr>
              <w:t>BMS</w:t>
            </w:r>
            <w:r w:rsidRPr="006C26AE">
              <w:t xml:space="preserve"> sice nemůže zaručit výrobu dodatečného produktu pro každou objednávku produktu („</w:t>
            </w:r>
            <w:r w:rsidRPr="006C26AE">
              <w:rPr>
                <w:b/>
                <w:bCs/>
              </w:rPr>
              <w:t>přebytečný produkt</w:t>
            </w:r>
            <w:r w:rsidRPr="006C26AE">
              <w:t xml:space="preserve">“), ale v případech, kdy výrobní proces společnosti </w:t>
            </w:r>
            <w:r w:rsidRPr="006C26AE">
              <w:rPr>
                <w:sz w:val="22"/>
                <w:szCs w:val="22"/>
              </w:rPr>
              <w:t>BMS</w:t>
            </w:r>
            <w:r w:rsidRPr="006C26AE">
              <w:t xml:space="preserve"> vede k přebytečnému produktu, společnost </w:t>
            </w:r>
            <w:r w:rsidRPr="006C26AE">
              <w:rPr>
                <w:sz w:val="22"/>
                <w:szCs w:val="22"/>
              </w:rPr>
              <w:t>BMS</w:t>
            </w:r>
            <w:r w:rsidRPr="006C26AE">
              <w:t xml:space="preserve"> uskladní přebytečný produkt po dobu expirace označeného produktu ve svém skladovacím zařízení nebo ve skladovacích zařízeních svého určeného zástupce.  Přebytečný produkt nebude použit k jinému účelu, než je uvedeno ve smlouvě, nebo v souladu s konkrétním písemným informovaným souhlasem získaným od pacienta. Společnost </w:t>
            </w:r>
            <w:r w:rsidRPr="006C26AE">
              <w:rPr>
                <w:sz w:val="22"/>
                <w:szCs w:val="22"/>
              </w:rPr>
              <w:t>BMS</w:t>
            </w:r>
            <w:r w:rsidRPr="006C26AE">
              <w:t xml:space="preserve"> je povinna řádně zlikvidovat zbývající přebytečný produkt na své náklady po uplynutí doby použitelnosti produktu.</w:t>
            </w:r>
          </w:p>
        </w:tc>
        <w:tc>
          <w:tcPr>
            <w:tcW w:w="2470" w:type="pct"/>
          </w:tcPr>
          <w:p w14:paraId="43FB8057" w14:textId="22777548" w:rsidR="00186A79" w:rsidRPr="0031164B" w:rsidRDefault="00186A79" w:rsidP="00F35BB8">
            <w:pPr>
              <w:widowControl/>
              <w:autoSpaceDE/>
              <w:autoSpaceDN/>
              <w:adjustRightInd/>
              <w:spacing w:after="160" w:line="259" w:lineRule="auto"/>
              <w:jc w:val="both"/>
              <w:rPr>
                <w:bCs/>
                <w:lang w:val="en-GB"/>
              </w:rPr>
            </w:pPr>
            <w:r w:rsidRPr="0031164B">
              <w:rPr>
                <w:bCs/>
                <w:lang w:val="en-GB"/>
              </w:rPr>
              <w:t xml:space="preserve">While </w:t>
            </w:r>
            <w:r w:rsidRPr="0031164B">
              <w:rPr>
                <w:sz w:val="22"/>
                <w:szCs w:val="22"/>
                <w:lang w:val="en-GB"/>
              </w:rPr>
              <w:t>BMS</w:t>
            </w:r>
            <w:r w:rsidRPr="0031164B">
              <w:rPr>
                <w:bCs/>
                <w:lang w:val="en-GB"/>
              </w:rPr>
              <w:t xml:space="preserve"> cannot guarantee the manufacture of extra Product for each Product Order (“</w:t>
            </w:r>
            <w:r w:rsidRPr="0031164B">
              <w:rPr>
                <w:b/>
                <w:bCs/>
                <w:lang w:val="en-GB"/>
              </w:rPr>
              <w:t>Excess Product</w:t>
            </w:r>
            <w:r w:rsidRPr="0031164B">
              <w:rPr>
                <w:bCs/>
                <w:lang w:val="en-GB"/>
              </w:rPr>
              <w:t xml:space="preserve">”), in those cases where </w:t>
            </w:r>
            <w:r w:rsidRPr="0031164B">
              <w:rPr>
                <w:sz w:val="22"/>
                <w:szCs w:val="22"/>
                <w:lang w:val="en-GB"/>
              </w:rPr>
              <w:t>BMS’</w:t>
            </w:r>
            <w:r w:rsidRPr="0031164B">
              <w:rPr>
                <w:bCs/>
                <w:lang w:val="en-GB"/>
              </w:rPr>
              <w:t xml:space="preserve"> manufacturing process results in Excess Product, </w:t>
            </w:r>
            <w:r w:rsidRPr="0031164B">
              <w:rPr>
                <w:sz w:val="22"/>
                <w:szCs w:val="22"/>
                <w:lang w:val="en-GB"/>
              </w:rPr>
              <w:t>BMS</w:t>
            </w:r>
            <w:r w:rsidRPr="0031164B">
              <w:rPr>
                <w:bCs/>
                <w:lang w:val="en-GB"/>
              </w:rPr>
              <w:t xml:space="preserve"> will store any Excess Product for the labeled Product expiry period at its or its designated agent’s storage facility(ies).  The Excess Product will not be used for any purpose other than as set forth in the Agreement, or in accordance with the specific, written informed consent obtained from the patient. </w:t>
            </w:r>
            <w:r w:rsidRPr="0031164B">
              <w:rPr>
                <w:sz w:val="22"/>
                <w:szCs w:val="22"/>
                <w:lang w:val="en-GB"/>
              </w:rPr>
              <w:t>BMS</w:t>
            </w:r>
            <w:r w:rsidRPr="0031164B">
              <w:rPr>
                <w:bCs/>
                <w:lang w:val="en-GB"/>
              </w:rPr>
              <w:t xml:space="preserve"> shall properly dispose of any remaining excess Product at its sole expense after the Product expiry date.</w:t>
            </w:r>
          </w:p>
        </w:tc>
      </w:tr>
      <w:tr w:rsidR="00A52FAF" w:rsidRPr="0031164B" w14:paraId="20D53270" w14:textId="5BDAFF4E" w:rsidTr="00CE0A53">
        <w:tc>
          <w:tcPr>
            <w:tcW w:w="2530" w:type="pct"/>
          </w:tcPr>
          <w:p w14:paraId="10301D00" w14:textId="77777777" w:rsidR="00186A79" w:rsidRPr="006C26AE" w:rsidRDefault="00186A79" w:rsidP="00186A79">
            <w:pPr>
              <w:tabs>
                <w:tab w:val="left" w:pos="3195"/>
              </w:tabs>
              <w:rPr>
                <w:b/>
                <w:bCs/>
              </w:rPr>
            </w:pPr>
          </w:p>
        </w:tc>
        <w:tc>
          <w:tcPr>
            <w:tcW w:w="2470" w:type="pct"/>
          </w:tcPr>
          <w:p w14:paraId="7B813D5B" w14:textId="77777777" w:rsidR="00186A79" w:rsidRPr="0031164B" w:rsidRDefault="00186A79" w:rsidP="00F35BB8">
            <w:pPr>
              <w:widowControl/>
              <w:autoSpaceDE/>
              <w:autoSpaceDN/>
              <w:adjustRightInd/>
              <w:spacing w:after="160" w:line="259" w:lineRule="auto"/>
              <w:jc w:val="both"/>
              <w:rPr>
                <w:b/>
                <w:bCs/>
                <w:lang w:val="en-GB"/>
              </w:rPr>
            </w:pPr>
          </w:p>
        </w:tc>
      </w:tr>
      <w:tr w:rsidR="00A52FAF" w:rsidRPr="0031164B" w14:paraId="5311AD50" w14:textId="281BCD16" w:rsidTr="00CE0A53">
        <w:tc>
          <w:tcPr>
            <w:tcW w:w="2530" w:type="pct"/>
          </w:tcPr>
          <w:p w14:paraId="2DFCB753" w14:textId="77777777" w:rsidR="00186A79" w:rsidRPr="006C26AE" w:rsidRDefault="00186A79" w:rsidP="00186A79">
            <w:pPr>
              <w:tabs>
                <w:tab w:val="left" w:pos="3195"/>
              </w:tabs>
              <w:rPr>
                <w:b/>
                <w:bCs/>
                <w:u w:val="single"/>
              </w:rPr>
            </w:pPr>
            <w:r w:rsidRPr="006C26AE">
              <w:rPr>
                <w:b/>
                <w:bCs/>
                <w:u w:val="single"/>
              </w:rPr>
              <w:t xml:space="preserve">Zrušení objednávky produktu, výměna a vrácení produktu </w:t>
            </w:r>
          </w:p>
        </w:tc>
        <w:tc>
          <w:tcPr>
            <w:tcW w:w="2470" w:type="pct"/>
          </w:tcPr>
          <w:p w14:paraId="4D9796BD" w14:textId="4B7EB104" w:rsidR="00186A79" w:rsidRPr="0031164B" w:rsidRDefault="00186A79" w:rsidP="00F35BB8">
            <w:pPr>
              <w:widowControl/>
              <w:autoSpaceDE/>
              <w:autoSpaceDN/>
              <w:adjustRightInd/>
              <w:spacing w:after="160" w:line="259" w:lineRule="auto"/>
              <w:jc w:val="both"/>
              <w:rPr>
                <w:b/>
                <w:bCs/>
                <w:u w:val="single"/>
                <w:lang w:val="en-GB"/>
              </w:rPr>
            </w:pPr>
            <w:r w:rsidRPr="0031164B">
              <w:rPr>
                <w:b/>
                <w:bCs/>
                <w:u w:val="single"/>
                <w:lang w:val="en-GB"/>
              </w:rPr>
              <w:t xml:space="preserve">Product Order Cancellations, Product Replacement and Product Return </w:t>
            </w:r>
          </w:p>
        </w:tc>
      </w:tr>
      <w:tr w:rsidR="00A52FAF" w:rsidRPr="0031164B" w14:paraId="7DCF08DA" w14:textId="5659D6EB" w:rsidTr="00CE0A53">
        <w:tc>
          <w:tcPr>
            <w:tcW w:w="2530" w:type="pct"/>
          </w:tcPr>
          <w:p w14:paraId="6832BECF" w14:textId="77777777" w:rsidR="00186A79" w:rsidRPr="006C26AE" w:rsidRDefault="00186A79" w:rsidP="00186A79">
            <w:pPr>
              <w:rPr>
                <w:b/>
              </w:rPr>
            </w:pPr>
          </w:p>
        </w:tc>
        <w:tc>
          <w:tcPr>
            <w:tcW w:w="2470" w:type="pct"/>
          </w:tcPr>
          <w:p w14:paraId="4F96E7DC" w14:textId="77777777" w:rsidR="00186A79" w:rsidRPr="0031164B" w:rsidRDefault="00186A79" w:rsidP="00F35BB8">
            <w:pPr>
              <w:widowControl/>
              <w:autoSpaceDE/>
              <w:autoSpaceDN/>
              <w:adjustRightInd/>
              <w:spacing w:after="160" w:line="259" w:lineRule="auto"/>
              <w:jc w:val="both"/>
              <w:rPr>
                <w:b/>
                <w:lang w:val="en-GB"/>
              </w:rPr>
            </w:pPr>
          </w:p>
        </w:tc>
      </w:tr>
      <w:tr w:rsidR="00A52FAF" w:rsidRPr="0031164B" w14:paraId="584E7B76" w14:textId="6B49D1BD" w:rsidTr="00CE0A53">
        <w:tc>
          <w:tcPr>
            <w:tcW w:w="2530" w:type="pct"/>
          </w:tcPr>
          <w:p w14:paraId="0A93847E" w14:textId="53671DEB" w:rsidR="00186A79" w:rsidRPr="006C26AE" w:rsidRDefault="00186A79" w:rsidP="00186A79">
            <w:pPr>
              <w:spacing w:after="60"/>
              <w:jc w:val="both"/>
            </w:pPr>
            <w:r w:rsidRPr="006C26AE">
              <w:t>Společnost BMS neodešle žádný produkt</w:t>
            </w:r>
            <w:r w:rsidR="000603D9">
              <w:t xml:space="preserve"> do Centra</w:t>
            </w:r>
            <w:r w:rsidRPr="006C26AE">
              <w:t xml:space="preserve">, dokud </w:t>
            </w:r>
            <w:r w:rsidR="00AE74EE">
              <w:t>Cen</w:t>
            </w:r>
            <w:r w:rsidR="006851E3">
              <w:t>trum</w:t>
            </w:r>
            <w:r w:rsidRPr="006C26AE">
              <w:t xml:space="preserve"> nepotvrdí (společnosti BMS) datum dodání produktu do </w:t>
            </w:r>
            <w:r w:rsidR="006851E3">
              <w:t>Centra</w:t>
            </w:r>
            <w:r w:rsidRPr="006C26AE">
              <w:t xml:space="preserve"> („datum dodání produktu“).</w:t>
            </w:r>
          </w:p>
        </w:tc>
        <w:tc>
          <w:tcPr>
            <w:tcW w:w="2470" w:type="pct"/>
          </w:tcPr>
          <w:p w14:paraId="0A00324E" w14:textId="44968A84" w:rsidR="00186A79" w:rsidRPr="0031164B" w:rsidRDefault="00186A79" w:rsidP="00F35BB8">
            <w:pPr>
              <w:widowControl/>
              <w:autoSpaceDE/>
              <w:autoSpaceDN/>
              <w:adjustRightInd/>
              <w:spacing w:after="160" w:line="259" w:lineRule="auto"/>
              <w:jc w:val="both"/>
              <w:rPr>
                <w:lang w:val="en-GB"/>
              </w:rPr>
            </w:pPr>
            <w:r w:rsidRPr="0031164B">
              <w:rPr>
                <w:lang w:val="en-GB"/>
              </w:rPr>
              <w:t>BMS will not ship any Product until such time that Center has confirmed (to BMS) the date the product will be delivered to the Center (“Product Delivery Date”).</w:t>
            </w:r>
          </w:p>
        </w:tc>
      </w:tr>
      <w:tr w:rsidR="00A52FAF" w:rsidRPr="0031164B" w14:paraId="0AF6743F" w14:textId="5E4CBBEC" w:rsidTr="00CE0A53">
        <w:tc>
          <w:tcPr>
            <w:tcW w:w="2530" w:type="pct"/>
          </w:tcPr>
          <w:p w14:paraId="55E345B7" w14:textId="77777777" w:rsidR="00186A79" w:rsidRPr="006C26AE" w:rsidRDefault="00186A79" w:rsidP="00186A79">
            <w:pPr>
              <w:spacing w:after="60"/>
              <w:jc w:val="both"/>
            </w:pPr>
          </w:p>
        </w:tc>
        <w:tc>
          <w:tcPr>
            <w:tcW w:w="2470" w:type="pct"/>
          </w:tcPr>
          <w:p w14:paraId="40D241FF"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5610500D" w14:textId="5D3AB7BD" w:rsidTr="00CE0A53">
        <w:tc>
          <w:tcPr>
            <w:tcW w:w="2530" w:type="pct"/>
          </w:tcPr>
          <w:p w14:paraId="2BD6448B" w14:textId="77777777" w:rsidR="00186A79" w:rsidRPr="006C26AE" w:rsidRDefault="00186A79" w:rsidP="00186A79">
            <w:pPr>
              <w:spacing w:after="60"/>
              <w:jc w:val="both"/>
            </w:pPr>
            <w:r w:rsidRPr="006C26AE">
              <w:t xml:space="preserve">Následující slova a výrazy použité v těchto podmínkách mají následující význam, ať už jsou použity v jednotném nebo množném </w:t>
            </w:r>
            <w:r w:rsidRPr="006C26AE">
              <w:lastRenderedPageBreak/>
              <w:t xml:space="preserve">čísle: </w:t>
            </w:r>
          </w:p>
        </w:tc>
        <w:tc>
          <w:tcPr>
            <w:tcW w:w="2470" w:type="pct"/>
          </w:tcPr>
          <w:p w14:paraId="30A7C147" w14:textId="2EAE7EAF" w:rsidR="00186A79" w:rsidRPr="0031164B" w:rsidRDefault="00186A79" w:rsidP="00F35BB8">
            <w:pPr>
              <w:widowControl/>
              <w:autoSpaceDE/>
              <w:autoSpaceDN/>
              <w:adjustRightInd/>
              <w:spacing w:after="160" w:line="259" w:lineRule="auto"/>
              <w:jc w:val="both"/>
              <w:rPr>
                <w:lang w:val="en-GB"/>
              </w:rPr>
            </w:pPr>
            <w:r w:rsidRPr="0031164B">
              <w:rPr>
                <w:lang w:val="en-GB"/>
              </w:rPr>
              <w:lastRenderedPageBreak/>
              <w:t xml:space="preserve">As used in these Terms and Conditions, the following words and phrases will have the </w:t>
            </w:r>
            <w:r w:rsidRPr="0031164B">
              <w:rPr>
                <w:lang w:val="en-GB"/>
              </w:rPr>
              <w:lastRenderedPageBreak/>
              <w:t xml:space="preserve">following meanings, whether used in the singular or plural: </w:t>
            </w:r>
          </w:p>
        </w:tc>
      </w:tr>
      <w:tr w:rsidR="00A52FAF" w:rsidRPr="0031164B" w14:paraId="72585313" w14:textId="773EDAC2" w:rsidTr="00CE0A53">
        <w:tc>
          <w:tcPr>
            <w:tcW w:w="2530" w:type="pct"/>
          </w:tcPr>
          <w:p w14:paraId="4ADBEE78" w14:textId="5D27FE85" w:rsidR="00186A79" w:rsidRPr="006C26AE" w:rsidRDefault="00186A79" w:rsidP="00186A79">
            <w:pPr>
              <w:pStyle w:val="Odstavecseseznamem"/>
              <w:widowControl/>
              <w:numPr>
                <w:ilvl w:val="0"/>
                <w:numId w:val="13"/>
              </w:numPr>
              <w:spacing w:after="120"/>
              <w:jc w:val="both"/>
              <w:rPr>
                <w:rFonts w:ascii="Times New Roman" w:hAnsi="Times New Roman" w:cs="Times New Roman"/>
                <w:sz w:val="24"/>
                <w:szCs w:val="24"/>
              </w:rPr>
            </w:pPr>
            <w:r w:rsidRPr="006C26AE">
              <w:rPr>
                <w:rFonts w:ascii="Times New Roman" w:hAnsi="Times New Roman"/>
                <w:b/>
                <w:sz w:val="24"/>
                <w:szCs w:val="24"/>
              </w:rPr>
              <w:lastRenderedPageBreak/>
              <w:t xml:space="preserve">Zrušení objednávky produktu: </w:t>
            </w:r>
            <w:r w:rsidR="001A6270">
              <w:rPr>
                <w:rFonts w:ascii="Times New Roman" w:hAnsi="Times New Roman"/>
                <w:bCs/>
                <w:sz w:val="24"/>
                <w:szCs w:val="24"/>
              </w:rPr>
              <w:t>Centrum</w:t>
            </w:r>
            <w:r w:rsidRPr="006C26AE">
              <w:rPr>
                <w:rFonts w:ascii="Times New Roman" w:hAnsi="Times New Roman"/>
                <w:bCs/>
                <w:sz w:val="24"/>
                <w:szCs w:val="24"/>
              </w:rPr>
              <w:t xml:space="preserve"> požádá společnost</w:t>
            </w:r>
            <w:r w:rsidRPr="006C26AE">
              <w:rPr>
                <w:rFonts w:ascii="Times New Roman" w:hAnsi="Times New Roman"/>
                <w:b/>
                <w:sz w:val="24"/>
                <w:szCs w:val="24"/>
              </w:rPr>
              <w:t xml:space="preserve"> </w:t>
            </w:r>
            <w:r w:rsidRPr="006C26AE">
              <w:rPr>
                <w:rFonts w:ascii="Times New Roman" w:hAnsi="Times New Roman"/>
              </w:rPr>
              <w:t>BMS</w:t>
            </w:r>
            <w:r w:rsidRPr="006C26AE">
              <w:rPr>
                <w:rFonts w:ascii="Times New Roman" w:hAnsi="Times New Roman"/>
                <w:sz w:val="24"/>
                <w:szCs w:val="24"/>
              </w:rPr>
              <w:t xml:space="preserve"> o zrušení objednávky produktu, kterou </w:t>
            </w:r>
            <w:r w:rsidR="001A6270">
              <w:rPr>
                <w:rFonts w:ascii="Times New Roman" w:hAnsi="Times New Roman"/>
                <w:sz w:val="24"/>
                <w:szCs w:val="24"/>
              </w:rPr>
              <w:t>Centrum</w:t>
            </w:r>
            <w:r w:rsidRPr="006C26AE">
              <w:rPr>
                <w:rFonts w:ascii="Times New Roman" w:hAnsi="Times New Roman"/>
                <w:sz w:val="24"/>
                <w:szCs w:val="24"/>
              </w:rPr>
              <w:t xml:space="preserve"> zadalo pro produkt, který nelze použít k léčbě konkrétního pacienta, pro kterého byl objednán, a není požadována náhrada produktu. </w:t>
            </w:r>
          </w:p>
        </w:tc>
        <w:tc>
          <w:tcPr>
            <w:tcW w:w="2470" w:type="pct"/>
          </w:tcPr>
          <w:p w14:paraId="415B46DA" w14:textId="65B9F521" w:rsidR="00186A79" w:rsidRPr="006C26AE" w:rsidRDefault="00186A79" w:rsidP="00F35BB8">
            <w:pPr>
              <w:pStyle w:val="Odstavecseseznamem"/>
              <w:widowControl/>
              <w:numPr>
                <w:ilvl w:val="0"/>
                <w:numId w:val="96"/>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b/>
                <w:sz w:val="24"/>
                <w:szCs w:val="24"/>
                <w:lang w:val="en-GB"/>
              </w:rPr>
              <w:t xml:space="preserve">Product Order Cancellation: </w:t>
            </w:r>
            <w:r w:rsidRPr="006C26AE">
              <w:rPr>
                <w:rFonts w:ascii="Times New Roman" w:hAnsi="Times New Roman" w:cs="Times New Roman"/>
                <w:bCs/>
                <w:sz w:val="24"/>
                <w:szCs w:val="24"/>
                <w:lang w:val="en-GB"/>
              </w:rPr>
              <w:t>Center requests</w:t>
            </w:r>
            <w:r w:rsidRPr="006C26AE">
              <w:rPr>
                <w:rFonts w:ascii="Times New Roman" w:hAnsi="Times New Roman" w:cs="Times New Roman"/>
                <w:b/>
                <w:sz w:val="24"/>
                <w:szCs w:val="24"/>
                <w:lang w:val="en-GB"/>
              </w:rPr>
              <w:t xml:space="preserve"> </w:t>
            </w:r>
            <w:r w:rsidRPr="006C26AE">
              <w:rPr>
                <w:rFonts w:ascii="Times New Roman" w:hAnsi="Times New Roman" w:cs="Times New Roman"/>
                <w:sz w:val="24"/>
                <w:szCs w:val="24"/>
                <w:lang w:val="en-GB"/>
              </w:rPr>
              <w:t xml:space="preserve">BMS to cancel a Product Order placed by Center for Product that is not able to be used to treat the specific patient for whom it was ordered and no Product Replacement is requested. </w:t>
            </w:r>
          </w:p>
        </w:tc>
      </w:tr>
      <w:tr w:rsidR="00A52FAF" w:rsidRPr="0031164B" w14:paraId="2FB7EAE0" w14:textId="29FDEE52" w:rsidTr="00CE0A53">
        <w:tc>
          <w:tcPr>
            <w:tcW w:w="2530" w:type="pct"/>
          </w:tcPr>
          <w:p w14:paraId="4177E5CE" w14:textId="04779997" w:rsidR="00186A79" w:rsidRPr="006C26AE" w:rsidRDefault="00186A79" w:rsidP="00186A79">
            <w:pPr>
              <w:pStyle w:val="Odstavecseseznamem"/>
              <w:widowControl/>
              <w:numPr>
                <w:ilvl w:val="0"/>
                <w:numId w:val="13"/>
              </w:numPr>
              <w:spacing w:after="120"/>
              <w:jc w:val="both"/>
              <w:rPr>
                <w:rFonts w:ascii="Times New Roman" w:hAnsi="Times New Roman" w:cs="Times New Roman"/>
                <w:sz w:val="24"/>
                <w:szCs w:val="24"/>
              </w:rPr>
            </w:pPr>
            <w:r w:rsidRPr="006C26AE">
              <w:rPr>
                <w:rFonts w:ascii="Times New Roman" w:hAnsi="Times New Roman"/>
                <w:b/>
                <w:sz w:val="24"/>
                <w:szCs w:val="24"/>
              </w:rPr>
              <w:t>Výměna produktu:</w:t>
            </w:r>
            <w:r w:rsidRPr="006C26AE">
              <w:rPr>
                <w:rFonts w:ascii="Times New Roman" w:hAnsi="Times New Roman"/>
                <w:sz w:val="24"/>
                <w:szCs w:val="24"/>
              </w:rPr>
              <w:t xml:space="preserve"> </w:t>
            </w:r>
            <w:r w:rsidRPr="006C26AE">
              <w:rPr>
                <w:rFonts w:ascii="Times New Roman" w:hAnsi="Times New Roman"/>
              </w:rPr>
              <w:t>Společnost BMS</w:t>
            </w:r>
            <w:r w:rsidRPr="006C26AE">
              <w:rPr>
                <w:rFonts w:ascii="Times New Roman" w:hAnsi="Times New Roman"/>
                <w:sz w:val="24"/>
                <w:szCs w:val="24"/>
              </w:rPr>
              <w:t xml:space="preserve"> poskytne </w:t>
            </w:r>
            <w:r w:rsidR="008C1572">
              <w:rPr>
                <w:rFonts w:ascii="Times New Roman" w:hAnsi="Times New Roman"/>
                <w:sz w:val="24"/>
                <w:szCs w:val="24"/>
              </w:rPr>
              <w:t>Centru</w:t>
            </w:r>
            <w:r w:rsidRPr="006C26AE">
              <w:rPr>
                <w:rFonts w:ascii="Times New Roman" w:hAnsi="Times New Roman"/>
                <w:sz w:val="24"/>
                <w:szCs w:val="24"/>
              </w:rPr>
              <w:t xml:space="preserve"> náhradní produkt, který bude použit pro léčbu konkrétního pacienta namísto produktu, který </w:t>
            </w:r>
            <w:r w:rsidR="00F613BC">
              <w:rPr>
                <w:rFonts w:ascii="Times New Roman" w:hAnsi="Times New Roman"/>
                <w:sz w:val="24"/>
                <w:szCs w:val="24"/>
              </w:rPr>
              <w:t>Centrum</w:t>
            </w:r>
            <w:r w:rsidRPr="006C26AE">
              <w:rPr>
                <w:rFonts w:ascii="Times New Roman" w:hAnsi="Times New Roman"/>
                <w:sz w:val="24"/>
                <w:szCs w:val="24"/>
              </w:rPr>
              <w:t xml:space="preserve"> obdrželo dříve a který nelze pro léčbu použít.</w:t>
            </w:r>
          </w:p>
        </w:tc>
        <w:tc>
          <w:tcPr>
            <w:tcW w:w="2470" w:type="pct"/>
          </w:tcPr>
          <w:p w14:paraId="0DAC98E2" w14:textId="3171C874" w:rsidR="00186A79" w:rsidRPr="006C26AE" w:rsidRDefault="00186A79" w:rsidP="00F35BB8">
            <w:pPr>
              <w:pStyle w:val="Odstavecseseznamem"/>
              <w:widowControl/>
              <w:numPr>
                <w:ilvl w:val="0"/>
                <w:numId w:val="96"/>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b/>
                <w:sz w:val="24"/>
                <w:szCs w:val="24"/>
                <w:lang w:val="en-GB"/>
              </w:rPr>
              <w:t>Product Replacement</w:t>
            </w:r>
            <w:r w:rsidRPr="006C26AE">
              <w:rPr>
                <w:rFonts w:ascii="Times New Roman" w:hAnsi="Times New Roman" w:cs="Times New Roman"/>
                <w:sz w:val="24"/>
                <w:szCs w:val="24"/>
                <w:lang w:val="en-GB"/>
              </w:rPr>
              <w:t>: BMS provides Center with a substitute Product to be used for the specific patient’s treatment in place of a Product previously received by Center that cannot be used for treatment.</w:t>
            </w:r>
          </w:p>
        </w:tc>
      </w:tr>
      <w:tr w:rsidR="00A52FAF" w:rsidRPr="0031164B" w14:paraId="32395CF5" w14:textId="7523E660" w:rsidTr="00CE0A53">
        <w:tc>
          <w:tcPr>
            <w:tcW w:w="2530" w:type="pct"/>
          </w:tcPr>
          <w:p w14:paraId="3DBA6173" w14:textId="7B4BE68E" w:rsidR="00186A79" w:rsidRPr="006C26AE" w:rsidRDefault="00186A79" w:rsidP="00186A79">
            <w:pPr>
              <w:pStyle w:val="Odstavecseseznamem"/>
              <w:widowControl/>
              <w:numPr>
                <w:ilvl w:val="0"/>
                <w:numId w:val="13"/>
              </w:numPr>
              <w:spacing w:after="120"/>
              <w:jc w:val="both"/>
              <w:rPr>
                <w:rFonts w:ascii="Times New Roman" w:hAnsi="Times New Roman" w:cs="Times New Roman"/>
                <w:sz w:val="24"/>
                <w:szCs w:val="24"/>
              </w:rPr>
            </w:pPr>
            <w:r w:rsidRPr="006C26AE">
              <w:rPr>
                <w:rFonts w:ascii="Times New Roman" w:hAnsi="Times New Roman"/>
                <w:b/>
                <w:sz w:val="24"/>
                <w:szCs w:val="24"/>
              </w:rPr>
              <w:t xml:space="preserve">Vrácení produktu: </w:t>
            </w:r>
            <w:r w:rsidR="00F613BC">
              <w:rPr>
                <w:rFonts w:ascii="Times New Roman" w:hAnsi="Times New Roman"/>
                <w:bCs/>
                <w:sz w:val="24"/>
                <w:szCs w:val="24"/>
              </w:rPr>
              <w:t>Centrum</w:t>
            </w:r>
            <w:r w:rsidRPr="006C26AE">
              <w:rPr>
                <w:rFonts w:ascii="Times New Roman" w:hAnsi="Times New Roman"/>
                <w:sz w:val="24"/>
                <w:szCs w:val="24"/>
              </w:rPr>
              <w:t xml:space="preserve"> odešle přijatý produkt zpět </w:t>
            </w:r>
            <w:r w:rsidRPr="006C26AE">
              <w:rPr>
                <w:rFonts w:ascii="Times New Roman" w:hAnsi="Times New Roman"/>
              </w:rPr>
              <w:t>BMS</w:t>
            </w:r>
            <w:r w:rsidRPr="006C26AE">
              <w:rPr>
                <w:rFonts w:ascii="Times New Roman" w:hAnsi="Times New Roman"/>
                <w:sz w:val="24"/>
                <w:szCs w:val="24"/>
              </w:rPr>
              <w:t>.</w:t>
            </w:r>
          </w:p>
        </w:tc>
        <w:tc>
          <w:tcPr>
            <w:tcW w:w="2470" w:type="pct"/>
          </w:tcPr>
          <w:p w14:paraId="7D49E1B7" w14:textId="1665189A" w:rsidR="00186A79" w:rsidRPr="006C26AE" w:rsidRDefault="00186A79" w:rsidP="00F35BB8">
            <w:pPr>
              <w:pStyle w:val="Odstavecseseznamem"/>
              <w:widowControl/>
              <w:numPr>
                <w:ilvl w:val="0"/>
                <w:numId w:val="96"/>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b/>
                <w:sz w:val="24"/>
                <w:szCs w:val="24"/>
                <w:lang w:val="en-GB"/>
              </w:rPr>
              <w:t xml:space="preserve">Product Return: </w:t>
            </w:r>
            <w:r w:rsidRPr="006C26AE">
              <w:rPr>
                <w:rFonts w:ascii="Times New Roman" w:hAnsi="Times New Roman" w:cs="Times New Roman"/>
                <w:bCs/>
                <w:sz w:val="24"/>
                <w:szCs w:val="24"/>
                <w:lang w:val="en-GB"/>
              </w:rPr>
              <w:t>Center</w:t>
            </w:r>
            <w:r w:rsidRPr="006C26AE">
              <w:rPr>
                <w:rFonts w:ascii="Times New Roman" w:hAnsi="Times New Roman" w:cs="Times New Roman"/>
                <w:sz w:val="24"/>
                <w:szCs w:val="24"/>
                <w:lang w:val="en-GB"/>
              </w:rPr>
              <w:t xml:space="preserve"> sends Product it has received back to BMS.</w:t>
            </w:r>
          </w:p>
        </w:tc>
      </w:tr>
      <w:tr w:rsidR="00A52FAF" w:rsidRPr="0031164B" w14:paraId="42AC25D7" w14:textId="3F6D8DCF" w:rsidTr="00CE0A53">
        <w:tc>
          <w:tcPr>
            <w:tcW w:w="2530" w:type="pct"/>
          </w:tcPr>
          <w:p w14:paraId="5DAFF739" w14:textId="77777777" w:rsidR="00186A79" w:rsidRPr="006C26AE" w:rsidRDefault="00186A79" w:rsidP="00186A79">
            <w:pPr>
              <w:rPr>
                <w:b/>
              </w:rPr>
            </w:pPr>
          </w:p>
        </w:tc>
        <w:tc>
          <w:tcPr>
            <w:tcW w:w="2470" w:type="pct"/>
          </w:tcPr>
          <w:p w14:paraId="68E60B13" w14:textId="77777777" w:rsidR="00186A79" w:rsidRPr="0031164B" w:rsidRDefault="00186A79" w:rsidP="00F35BB8">
            <w:pPr>
              <w:widowControl/>
              <w:autoSpaceDE/>
              <w:autoSpaceDN/>
              <w:adjustRightInd/>
              <w:spacing w:after="160" w:line="259" w:lineRule="auto"/>
              <w:jc w:val="both"/>
              <w:rPr>
                <w:b/>
                <w:lang w:val="en-GB"/>
              </w:rPr>
            </w:pPr>
          </w:p>
        </w:tc>
      </w:tr>
      <w:tr w:rsidR="00A52FAF" w:rsidRPr="0031164B" w14:paraId="36D26C9D" w14:textId="5C43BFAD" w:rsidTr="00CE0A53">
        <w:tc>
          <w:tcPr>
            <w:tcW w:w="2530" w:type="pct"/>
          </w:tcPr>
          <w:p w14:paraId="613484AB" w14:textId="77777777" w:rsidR="00186A79" w:rsidRPr="006C26AE" w:rsidRDefault="00186A79" w:rsidP="00186A79">
            <w:pPr>
              <w:tabs>
                <w:tab w:val="left" w:pos="3195"/>
              </w:tabs>
              <w:rPr>
                <w:b/>
                <w:bCs/>
                <w:u w:val="single"/>
              </w:rPr>
            </w:pPr>
            <w:r w:rsidRPr="006C26AE">
              <w:rPr>
                <w:b/>
                <w:bCs/>
                <w:u w:val="single"/>
              </w:rPr>
              <w:t>Zrušení objednávky produktu</w:t>
            </w:r>
          </w:p>
        </w:tc>
        <w:tc>
          <w:tcPr>
            <w:tcW w:w="2470" w:type="pct"/>
          </w:tcPr>
          <w:p w14:paraId="2E1D3FA4" w14:textId="331F50B8" w:rsidR="00186A79" w:rsidRPr="0031164B" w:rsidRDefault="00186A79" w:rsidP="00F35BB8">
            <w:pPr>
              <w:widowControl/>
              <w:autoSpaceDE/>
              <w:autoSpaceDN/>
              <w:adjustRightInd/>
              <w:spacing w:after="160" w:line="259" w:lineRule="auto"/>
              <w:jc w:val="both"/>
              <w:rPr>
                <w:b/>
                <w:bCs/>
                <w:u w:val="single"/>
                <w:lang w:val="en-GB"/>
              </w:rPr>
            </w:pPr>
            <w:r w:rsidRPr="0031164B">
              <w:rPr>
                <w:b/>
                <w:bCs/>
                <w:u w:val="single"/>
                <w:lang w:val="en-GB"/>
              </w:rPr>
              <w:t>Product Order Cancellation</w:t>
            </w:r>
          </w:p>
        </w:tc>
      </w:tr>
      <w:tr w:rsidR="00A52FAF" w:rsidRPr="0031164B" w14:paraId="53D20EFD" w14:textId="53686A06" w:rsidTr="00CE0A53">
        <w:tc>
          <w:tcPr>
            <w:tcW w:w="2530" w:type="pct"/>
          </w:tcPr>
          <w:p w14:paraId="419D8A5E" w14:textId="77777777" w:rsidR="00186A79" w:rsidRPr="006C26AE" w:rsidRDefault="00186A79" w:rsidP="00186A79">
            <w:pPr>
              <w:tabs>
                <w:tab w:val="left" w:pos="3195"/>
              </w:tabs>
              <w:rPr>
                <w:b/>
                <w:bCs/>
              </w:rPr>
            </w:pPr>
          </w:p>
        </w:tc>
        <w:tc>
          <w:tcPr>
            <w:tcW w:w="2470" w:type="pct"/>
          </w:tcPr>
          <w:p w14:paraId="67B85772" w14:textId="77777777" w:rsidR="00186A79" w:rsidRPr="0031164B" w:rsidRDefault="00186A79" w:rsidP="00F35BB8">
            <w:pPr>
              <w:widowControl/>
              <w:autoSpaceDE/>
              <w:autoSpaceDN/>
              <w:adjustRightInd/>
              <w:spacing w:after="160" w:line="259" w:lineRule="auto"/>
              <w:jc w:val="both"/>
              <w:rPr>
                <w:b/>
                <w:bCs/>
                <w:lang w:val="en-GB"/>
              </w:rPr>
            </w:pPr>
          </w:p>
        </w:tc>
      </w:tr>
      <w:tr w:rsidR="00A52FAF" w:rsidRPr="0031164B" w14:paraId="5ECEE9E4" w14:textId="25FFA681" w:rsidTr="00CE0A53">
        <w:tc>
          <w:tcPr>
            <w:tcW w:w="2530" w:type="pct"/>
          </w:tcPr>
          <w:p w14:paraId="3C95EDC1" w14:textId="7EF033BB" w:rsidR="00186A79" w:rsidRPr="006C26AE" w:rsidRDefault="00186A79" w:rsidP="00186A79">
            <w:pPr>
              <w:spacing w:after="60"/>
              <w:jc w:val="both"/>
            </w:pPr>
            <w:r w:rsidRPr="006C26AE">
              <w:t xml:space="preserve">Pokud produkt nelze použít k léčbě konkrétního pacienta, pro kterého byl objednán, může </w:t>
            </w:r>
            <w:r w:rsidR="00F613BC">
              <w:t>Centrum</w:t>
            </w:r>
            <w:r w:rsidRPr="006C26AE">
              <w:t xml:space="preserve"> kdykoli požádat o zrušení objednávky </w:t>
            </w:r>
            <w:r w:rsidR="004D0693">
              <w:t>produktu</w:t>
            </w:r>
            <w:r w:rsidRPr="006C26AE">
              <w:t xml:space="preserve">:  </w:t>
            </w:r>
          </w:p>
        </w:tc>
        <w:tc>
          <w:tcPr>
            <w:tcW w:w="2470" w:type="pct"/>
          </w:tcPr>
          <w:p w14:paraId="5BA36087" w14:textId="25BB07B1" w:rsidR="00186A79" w:rsidRPr="0031164B" w:rsidRDefault="00186A79" w:rsidP="00F35BB8">
            <w:pPr>
              <w:widowControl/>
              <w:autoSpaceDE/>
              <w:autoSpaceDN/>
              <w:adjustRightInd/>
              <w:spacing w:after="160" w:line="259" w:lineRule="auto"/>
              <w:jc w:val="both"/>
              <w:rPr>
                <w:lang w:val="en-GB"/>
              </w:rPr>
            </w:pPr>
            <w:r w:rsidRPr="0031164B">
              <w:rPr>
                <w:lang w:val="en-GB"/>
              </w:rPr>
              <w:t xml:space="preserve">If Product cannot be used to treat the specific patient for whom it was ordered, Center may request a Product Order Cancellation at any time:  </w:t>
            </w:r>
          </w:p>
        </w:tc>
      </w:tr>
      <w:tr w:rsidR="00A52FAF" w:rsidRPr="0031164B" w14:paraId="0110227E" w14:textId="1322D351" w:rsidTr="00CE0A53">
        <w:tc>
          <w:tcPr>
            <w:tcW w:w="2530" w:type="pct"/>
          </w:tcPr>
          <w:p w14:paraId="42EFB56E" w14:textId="5FFD7AA1" w:rsidR="00186A79" w:rsidRPr="006C26AE" w:rsidRDefault="00186A79" w:rsidP="00186A79">
            <w:pPr>
              <w:pStyle w:val="Odstavecseseznamem"/>
              <w:widowControl/>
              <w:numPr>
                <w:ilvl w:val="0"/>
                <w:numId w:val="14"/>
              </w:numPr>
              <w:spacing w:after="60"/>
              <w:contextualSpacing/>
              <w:jc w:val="both"/>
              <w:rPr>
                <w:rFonts w:ascii="Times New Roman" w:hAnsi="Times New Roman" w:cs="Times New Roman"/>
                <w:sz w:val="24"/>
                <w:szCs w:val="24"/>
              </w:rPr>
            </w:pPr>
            <w:r w:rsidRPr="006C26AE">
              <w:rPr>
                <w:rFonts w:ascii="Times New Roman" w:hAnsi="Times New Roman"/>
                <w:sz w:val="24"/>
                <w:szCs w:val="24"/>
              </w:rPr>
              <w:t xml:space="preserve">Pokud produkt nebyl do </w:t>
            </w:r>
            <w:r w:rsidR="004D0693">
              <w:rPr>
                <w:rFonts w:ascii="Times New Roman" w:hAnsi="Times New Roman"/>
                <w:sz w:val="24"/>
                <w:szCs w:val="24"/>
              </w:rPr>
              <w:t>Centra</w:t>
            </w:r>
            <w:r w:rsidRPr="006C26AE">
              <w:rPr>
                <w:rFonts w:ascii="Times New Roman" w:hAnsi="Times New Roman"/>
                <w:sz w:val="24"/>
                <w:szCs w:val="24"/>
              </w:rPr>
              <w:t xml:space="preserve"> dodán, společnost </w:t>
            </w:r>
            <w:r w:rsidRPr="006C26AE">
              <w:rPr>
                <w:rFonts w:ascii="Times New Roman" w:hAnsi="Times New Roman"/>
              </w:rPr>
              <w:t>BMS</w:t>
            </w:r>
            <w:r w:rsidRPr="006C26AE">
              <w:rPr>
                <w:rFonts w:ascii="Times New Roman" w:hAnsi="Times New Roman"/>
                <w:sz w:val="24"/>
                <w:szCs w:val="24"/>
              </w:rPr>
              <w:t xml:space="preserve"> objednávku pro konkrétního pacienta zruší a faktura nebude vystavena.</w:t>
            </w:r>
          </w:p>
        </w:tc>
        <w:tc>
          <w:tcPr>
            <w:tcW w:w="2470" w:type="pct"/>
          </w:tcPr>
          <w:p w14:paraId="3A117EE0" w14:textId="4C3D36E8" w:rsidR="00186A79" w:rsidRPr="006C26AE" w:rsidRDefault="00186A79" w:rsidP="00F35BB8">
            <w:pPr>
              <w:pStyle w:val="Odstavecseseznamem"/>
              <w:widowControl/>
              <w:numPr>
                <w:ilvl w:val="0"/>
                <w:numId w:val="97"/>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If the Product has not been delivered to the Center, BMS will cancel the order for the specific patient and no invoice will be issued.</w:t>
            </w:r>
          </w:p>
        </w:tc>
      </w:tr>
      <w:tr w:rsidR="00A52FAF" w:rsidRPr="0031164B" w14:paraId="432753C7" w14:textId="637052D2" w:rsidTr="00CE0A53">
        <w:tc>
          <w:tcPr>
            <w:tcW w:w="2530" w:type="pct"/>
          </w:tcPr>
          <w:p w14:paraId="6307F3F8" w14:textId="1A564955" w:rsidR="00186A79" w:rsidRPr="006C26AE" w:rsidRDefault="00186A79" w:rsidP="00186A79">
            <w:pPr>
              <w:pStyle w:val="Odstavecseseznamem"/>
              <w:widowControl/>
              <w:numPr>
                <w:ilvl w:val="0"/>
                <w:numId w:val="14"/>
              </w:numPr>
              <w:spacing w:after="60"/>
              <w:contextualSpacing/>
              <w:jc w:val="both"/>
              <w:rPr>
                <w:rFonts w:ascii="Times New Roman" w:hAnsi="Times New Roman" w:cs="Times New Roman"/>
                <w:sz w:val="24"/>
                <w:szCs w:val="24"/>
              </w:rPr>
            </w:pPr>
            <w:r w:rsidRPr="006C26AE">
              <w:rPr>
                <w:rFonts w:ascii="Times New Roman" w:hAnsi="Times New Roman"/>
                <w:sz w:val="24"/>
                <w:szCs w:val="24"/>
              </w:rPr>
              <w:t xml:space="preserve">Pokud byla na konkrétní produkt vystavena faktura a </w:t>
            </w:r>
            <w:r w:rsidR="00DF7DEB">
              <w:rPr>
                <w:rFonts w:ascii="Times New Roman" w:hAnsi="Times New Roman"/>
                <w:sz w:val="24"/>
                <w:szCs w:val="24"/>
              </w:rPr>
              <w:t>Centrum</w:t>
            </w:r>
            <w:r w:rsidRPr="006C26AE">
              <w:rPr>
                <w:rFonts w:ascii="Times New Roman" w:hAnsi="Times New Roman"/>
                <w:sz w:val="24"/>
                <w:szCs w:val="24"/>
              </w:rPr>
              <w:t xml:space="preserve"> ji dosud nezaplatilo, společnost </w:t>
            </w:r>
            <w:r w:rsidRPr="006C26AE">
              <w:rPr>
                <w:rFonts w:ascii="Times New Roman" w:hAnsi="Times New Roman"/>
              </w:rPr>
              <w:t>BMS</w:t>
            </w:r>
            <w:r w:rsidRPr="006C26AE">
              <w:rPr>
                <w:rFonts w:ascii="Times New Roman" w:hAnsi="Times New Roman"/>
                <w:sz w:val="24"/>
                <w:szCs w:val="24"/>
              </w:rPr>
              <w:t xml:space="preserve"> fakturu za konkrétní produkt zruší.</w:t>
            </w:r>
          </w:p>
        </w:tc>
        <w:tc>
          <w:tcPr>
            <w:tcW w:w="2470" w:type="pct"/>
          </w:tcPr>
          <w:p w14:paraId="67263BBF" w14:textId="40CEF916" w:rsidR="00186A79" w:rsidRPr="006C26AE" w:rsidRDefault="00186A79" w:rsidP="00F35BB8">
            <w:pPr>
              <w:pStyle w:val="Odstavecseseznamem"/>
              <w:widowControl/>
              <w:numPr>
                <w:ilvl w:val="0"/>
                <w:numId w:val="97"/>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If an invoice has been issued for the specific product and the Center has not yet paid, BMS will cancel the invoice for the specific product.</w:t>
            </w:r>
          </w:p>
        </w:tc>
      </w:tr>
      <w:tr w:rsidR="00A52FAF" w:rsidRPr="0031164B" w14:paraId="7B7E70D6" w14:textId="5F368DA4" w:rsidTr="00CE0A53">
        <w:tc>
          <w:tcPr>
            <w:tcW w:w="2530" w:type="pct"/>
          </w:tcPr>
          <w:p w14:paraId="56C5C0B3" w14:textId="159BF334" w:rsidR="00186A79" w:rsidRPr="006C26AE" w:rsidRDefault="00186A79" w:rsidP="00186A79">
            <w:pPr>
              <w:pStyle w:val="Odstavecseseznamem"/>
              <w:widowControl/>
              <w:numPr>
                <w:ilvl w:val="0"/>
                <w:numId w:val="14"/>
              </w:numPr>
              <w:spacing w:after="60"/>
              <w:contextualSpacing/>
              <w:jc w:val="both"/>
              <w:rPr>
                <w:rFonts w:ascii="Times New Roman" w:hAnsi="Times New Roman" w:cs="Times New Roman"/>
                <w:sz w:val="24"/>
                <w:szCs w:val="24"/>
              </w:rPr>
            </w:pPr>
            <w:r w:rsidRPr="006C26AE">
              <w:rPr>
                <w:rFonts w:ascii="Times New Roman" w:hAnsi="Times New Roman"/>
                <w:sz w:val="24"/>
                <w:szCs w:val="24"/>
              </w:rPr>
              <w:t xml:space="preserve">Pokud již byla společnosti </w:t>
            </w:r>
            <w:r w:rsidRPr="006C26AE">
              <w:rPr>
                <w:rFonts w:ascii="Times New Roman" w:hAnsi="Times New Roman"/>
              </w:rPr>
              <w:t>BMS</w:t>
            </w:r>
            <w:r w:rsidRPr="006C26AE">
              <w:rPr>
                <w:rFonts w:ascii="Times New Roman" w:hAnsi="Times New Roman"/>
                <w:sz w:val="24"/>
                <w:szCs w:val="24"/>
              </w:rPr>
              <w:t xml:space="preserve"> uhrazena cena konkrétního produktu, společnost </w:t>
            </w:r>
            <w:r w:rsidRPr="006C26AE">
              <w:rPr>
                <w:rFonts w:ascii="Times New Roman" w:hAnsi="Times New Roman"/>
              </w:rPr>
              <w:t>BMS</w:t>
            </w:r>
            <w:r w:rsidRPr="006C26AE">
              <w:rPr>
                <w:rFonts w:ascii="Times New Roman" w:hAnsi="Times New Roman"/>
                <w:sz w:val="24"/>
                <w:szCs w:val="24"/>
              </w:rPr>
              <w:t xml:space="preserve"> uhradí </w:t>
            </w:r>
            <w:r w:rsidR="00134455">
              <w:rPr>
                <w:rFonts w:ascii="Times New Roman" w:hAnsi="Times New Roman"/>
                <w:sz w:val="24"/>
                <w:szCs w:val="24"/>
              </w:rPr>
              <w:t>Centru</w:t>
            </w:r>
            <w:r w:rsidRPr="006C26AE">
              <w:rPr>
                <w:rFonts w:ascii="Times New Roman" w:hAnsi="Times New Roman"/>
                <w:sz w:val="24"/>
                <w:szCs w:val="24"/>
              </w:rPr>
              <w:t xml:space="preserve"> částku, kter</w:t>
            </w:r>
            <w:r w:rsidR="00B272E4">
              <w:rPr>
                <w:rFonts w:ascii="Times New Roman" w:hAnsi="Times New Roman"/>
                <w:sz w:val="24"/>
                <w:szCs w:val="24"/>
              </w:rPr>
              <w:t>á</w:t>
            </w:r>
            <w:r w:rsidRPr="006C26AE">
              <w:rPr>
                <w:rFonts w:ascii="Times New Roman" w:hAnsi="Times New Roman"/>
                <w:sz w:val="24"/>
                <w:szCs w:val="24"/>
              </w:rPr>
              <w:t xml:space="preserve"> ji byla za konkrétní produkt zaplacena.   </w:t>
            </w:r>
          </w:p>
        </w:tc>
        <w:tc>
          <w:tcPr>
            <w:tcW w:w="2470" w:type="pct"/>
          </w:tcPr>
          <w:p w14:paraId="4AE4C5D0" w14:textId="4585925B" w:rsidR="00186A79" w:rsidRPr="006C26AE" w:rsidRDefault="00186A79" w:rsidP="00F35BB8">
            <w:pPr>
              <w:pStyle w:val="Odstavecseseznamem"/>
              <w:widowControl/>
              <w:numPr>
                <w:ilvl w:val="0"/>
                <w:numId w:val="97"/>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 xml:space="preserve">If payment has already been made to BMS for the cost of the specific product, BMS will reimburse the Center the amount paid to BMS for the specific product.   </w:t>
            </w:r>
          </w:p>
        </w:tc>
      </w:tr>
      <w:tr w:rsidR="00A52FAF" w:rsidRPr="0031164B" w14:paraId="06ADD976" w14:textId="304C8613" w:rsidTr="00CE0A53">
        <w:tc>
          <w:tcPr>
            <w:tcW w:w="2530" w:type="pct"/>
          </w:tcPr>
          <w:p w14:paraId="3CBBAB77" w14:textId="77777777" w:rsidR="00186A79" w:rsidRPr="006C26AE" w:rsidRDefault="00186A79" w:rsidP="00186A79">
            <w:pPr>
              <w:spacing w:after="60"/>
              <w:rPr>
                <w:bCs/>
              </w:rPr>
            </w:pPr>
          </w:p>
        </w:tc>
        <w:tc>
          <w:tcPr>
            <w:tcW w:w="2470" w:type="pct"/>
          </w:tcPr>
          <w:p w14:paraId="02C058A7" w14:textId="77777777" w:rsidR="00186A79" w:rsidRPr="0031164B" w:rsidRDefault="00186A79" w:rsidP="00F35BB8">
            <w:pPr>
              <w:widowControl/>
              <w:autoSpaceDE/>
              <w:autoSpaceDN/>
              <w:adjustRightInd/>
              <w:spacing w:after="160" w:line="259" w:lineRule="auto"/>
              <w:jc w:val="both"/>
              <w:rPr>
                <w:bCs/>
                <w:lang w:val="en-GB"/>
              </w:rPr>
            </w:pPr>
          </w:p>
        </w:tc>
      </w:tr>
      <w:tr w:rsidR="00A52FAF" w:rsidRPr="0031164B" w14:paraId="78AB8262" w14:textId="2815B8AA" w:rsidTr="00CE0A53">
        <w:tc>
          <w:tcPr>
            <w:tcW w:w="2530" w:type="pct"/>
          </w:tcPr>
          <w:p w14:paraId="567C468D" w14:textId="64DFA463" w:rsidR="00186A79" w:rsidRPr="006C26AE" w:rsidRDefault="00B272E4" w:rsidP="00186A79">
            <w:pPr>
              <w:spacing w:after="60"/>
            </w:pPr>
            <w:r>
              <w:lastRenderedPageBreak/>
              <w:t>Centrum</w:t>
            </w:r>
            <w:r w:rsidR="00186A79" w:rsidRPr="006C26AE">
              <w:t xml:space="preserve"> nebude fakturovat pacientovi ani jeho plátci žádný produkt, za který </w:t>
            </w:r>
            <w:r w:rsidR="007F12C6">
              <w:t>Centrum</w:t>
            </w:r>
            <w:r w:rsidR="00186A79" w:rsidRPr="006C26AE">
              <w:t xml:space="preserve"> nezaplatí společnosti </w:t>
            </w:r>
            <w:r w:rsidR="00186A79" w:rsidRPr="006C26AE">
              <w:rPr>
                <w:sz w:val="22"/>
                <w:szCs w:val="22"/>
              </w:rPr>
              <w:t>BMS</w:t>
            </w:r>
            <w:r w:rsidR="00186A79" w:rsidRPr="006C26AE">
              <w:t>.</w:t>
            </w:r>
          </w:p>
        </w:tc>
        <w:tc>
          <w:tcPr>
            <w:tcW w:w="2470" w:type="pct"/>
          </w:tcPr>
          <w:p w14:paraId="645A1BDD" w14:textId="6FEBD06A" w:rsidR="00186A79" w:rsidRPr="0031164B" w:rsidRDefault="00186A79" w:rsidP="00F35BB8">
            <w:pPr>
              <w:widowControl/>
              <w:autoSpaceDE/>
              <w:autoSpaceDN/>
              <w:adjustRightInd/>
              <w:spacing w:after="160" w:line="259" w:lineRule="auto"/>
              <w:jc w:val="both"/>
              <w:rPr>
                <w:lang w:val="en-GB"/>
              </w:rPr>
            </w:pPr>
            <w:r w:rsidRPr="0031164B">
              <w:rPr>
                <w:bCs/>
                <w:lang w:val="en-GB"/>
              </w:rPr>
              <w:t xml:space="preserve">Center shall not invoice patient or their payer for any Product for which Center does not pay </w:t>
            </w:r>
            <w:r w:rsidRPr="0031164B">
              <w:rPr>
                <w:sz w:val="22"/>
                <w:szCs w:val="22"/>
                <w:lang w:val="en-GB"/>
              </w:rPr>
              <w:t>BMS</w:t>
            </w:r>
            <w:r w:rsidRPr="0031164B">
              <w:rPr>
                <w:bCs/>
                <w:lang w:val="en-GB"/>
              </w:rPr>
              <w:t>.</w:t>
            </w:r>
          </w:p>
        </w:tc>
      </w:tr>
      <w:tr w:rsidR="00A52FAF" w:rsidRPr="0031164B" w14:paraId="6CE2A97A" w14:textId="44A75843" w:rsidTr="00CE0A53">
        <w:tc>
          <w:tcPr>
            <w:tcW w:w="2530" w:type="pct"/>
          </w:tcPr>
          <w:p w14:paraId="66B5F0C5" w14:textId="77777777" w:rsidR="00186A79" w:rsidRPr="006C26AE" w:rsidRDefault="00186A79" w:rsidP="00186A79">
            <w:pPr>
              <w:rPr>
                <w:color w:val="000000" w:themeColor="text1"/>
              </w:rPr>
            </w:pPr>
          </w:p>
        </w:tc>
        <w:tc>
          <w:tcPr>
            <w:tcW w:w="2470" w:type="pct"/>
          </w:tcPr>
          <w:p w14:paraId="62F1CF97" w14:textId="77777777" w:rsidR="00186A79" w:rsidRPr="0031164B" w:rsidRDefault="00186A79" w:rsidP="00F35BB8">
            <w:pPr>
              <w:widowControl/>
              <w:autoSpaceDE/>
              <w:autoSpaceDN/>
              <w:adjustRightInd/>
              <w:spacing w:after="160" w:line="259" w:lineRule="auto"/>
              <w:jc w:val="both"/>
              <w:rPr>
                <w:color w:val="000000" w:themeColor="text1"/>
                <w:lang w:val="en-GB"/>
              </w:rPr>
            </w:pPr>
          </w:p>
        </w:tc>
      </w:tr>
      <w:tr w:rsidR="00A52FAF" w:rsidRPr="0031164B" w14:paraId="05E6DFA2" w14:textId="71B5B81B" w:rsidTr="00CE0A53">
        <w:tc>
          <w:tcPr>
            <w:tcW w:w="2530" w:type="pct"/>
          </w:tcPr>
          <w:p w14:paraId="4E8CAD72" w14:textId="72B24467" w:rsidR="00186A79" w:rsidRPr="006C26AE" w:rsidRDefault="00186A79" w:rsidP="00186A79">
            <w:pPr>
              <w:jc w:val="both"/>
            </w:pPr>
            <w:r w:rsidRPr="006C26AE">
              <w:rPr>
                <w:color w:val="000000" w:themeColor="text1"/>
                <w:u w:val="single"/>
              </w:rPr>
              <w:t>Před dodáním produktu</w:t>
            </w:r>
            <w:r w:rsidRPr="006C26AE">
              <w:rPr>
                <w:color w:val="000000" w:themeColor="text1"/>
              </w:rPr>
              <w:t xml:space="preserve"> může </w:t>
            </w:r>
            <w:r w:rsidR="00DB6B5D">
              <w:rPr>
                <w:color w:val="000000" w:themeColor="text1"/>
              </w:rPr>
              <w:t>Centrum</w:t>
            </w:r>
            <w:r w:rsidRPr="006C26AE">
              <w:rPr>
                <w:color w:val="000000" w:themeColor="text1"/>
              </w:rPr>
              <w:t xml:space="preserve"> požádat o zrušení objednávky produktu buď na portálu, nebo telefonicky na provozní lince CAR T</w:t>
            </w:r>
            <w:r w:rsidRPr="006C26AE">
              <w:t xml:space="preserve">, pokud z důvodu úmrtí pacienta nebo změny zdravotního stavu pacienta, kterou určí podle vlastního uvážení poskytovatel zdravotní péče pacienta, nelze produkt použít k léčbě konkrétního pacienta, pro kterého byl objednán. </w:t>
            </w:r>
          </w:p>
        </w:tc>
        <w:tc>
          <w:tcPr>
            <w:tcW w:w="2470" w:type="pct"/>
          </w:tcPr>
          <w:p w14:paraId="6364E55C" w14:textId="30BFD683" w:rsidR="00186A79" w:rsidRPr="0031164B" w:rsidRDefault="00186A79" w:rsidP="00F35BB8">
            <w:pPr>
              <w:widowControl/>
              <w:autoSpaceDE/>
              <w:autoSpaceDN/>
              <w:adjustRightInd/>
              <w:spacing w:after="160" w:line="259" w:lineRule="auto"/>
              <w:jc w:val="both"/>
              <w:rPr>
                <w:lang w:val="en-GB"/>
              </w:rPr>
            </w:pPr>
            <w:r w:rsidRPr="0031164B">
              <w:rPr>
                <w:color w:val="000000" w:themeColor="text1"/>
                <w:u w:val="single"/>
                <w:lang w:val="en-GB"/>
              </w:rPr>
              <w:t>Prior to Product delivery,</w:t>
            </w:r>
            <w:r w:rsidRPr="0031164B">
              <w:rPr>
                <w:color w:val="000000" w:themeColor="text1"/>
                <w:lang w:val="en-GB"/>
              </w:rPr>
              <w:t xml:space="preserve"> Center may request a Product Order Cancellation either in the Portal or by calling the CAR T Operations </w:t>
            </w:r>
            <w:r w:rsidRPr="0031164B">
              <w:rPr>
                <w:lang w:val="en-GB"/>
              </w:rPr>
              <w:t xml:space="preserve">Line, if due to the patient death, or a change in the patient’s health status, as determined in the sole discretion of the patient’s health care provider, the Product cannot be used to treat the specific patient for which it was ordered. </w:t>
            </w:r>
          </w:p>
        </w:tc>
      </w:tr>
      <w:tr w:rsidR="00A52FAF" w:rsidRPr="0031164B" w14:paraId="6D2FD2CB" w14:textId="4A951C22" w:rsidTr="00CE0A53">
        <w:tc>
          <w:tcPr>
            <w:tcW w:w="2530" w:type="pct"/>
          </w:tcPr>
          <w:p w14:paraId="051E0EF0" w14:textId="77777777" w:rsidR="00186A79" w:rsidRPr="006C26AE" w:rsidRDefault="00186A79" w:rsidP="00186A79">
            <w:pPr>
              <w:jc w:val="both"/>
            </w:pPr>
          </w:p>
        </w:tc>
        <w:tc>
          <w:tcPr>
            <w:tcW w:w="2470" w:type="pct"/>
          </w:tcPr>
          <w:p w14:paraId="55651533"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20F66DE5" w14:textId="21EB1EFE" w:rsidTr="00CE0A53">
        <w:tc>
          <w:tcPr>
            <w:tcW w:w="2530" w:type="pct"/>
          </w:tcPr>
          <w:p w14:paraId="5EB6AC22" w14:textId="0EC02EE5" w:rsidR="00186A79" w:rsidRPr="006C26AE" w:rsidRDefault="00186A79" w:rsidP="00186A79">
            <w:pPr>
              <w:tabs>
                <w:tab w:val="left" w:pos="3195"/>
              </w:tabs>
              <w:jc w:val="both"/>
            </w:pPr>
            <w:r w:rsidRPr="006C26AE">
              <w:rPr>
                <w:u w:val="single"/>
              </w:rPr>
              <w:t>Po dodání produktu</w:t>
            </w:r>
            <w:r w:rsidRPr="006C26AE">
              <w:t xml:space="preserve"> může </w:t>
            </w:r>
            <w:r w:rsidR="001E29E2">
              <w:t>Centrum</w:t>
            </w:r>
            <w:r w:rsidRPr="006C26AE">
              <w:t xml:space="preserve"> požádat o zrušení objednávky produktu, pokud produkt nelze podat z následujících důvodů:</w:t>
            </w:r>
          </w:p>
        </w:tc>
        <w:tc>
          <w:tcPr>
            <w:tcW w:w="2470" w:type="pct"/>
          </w:tcPr>
          <w:p w14:paraId="5410CB77" w14:textId="235A823A" w:rsidR="00186A79" w:rsidRPr="0031164B" w:rsidRDefault="00186A79" w:rsidP="00F35BB8">
            <w:pPr>
              <w:widowControl/>
              <w:autoSpaceDE/>
              <w:autoSpaceDN/>
              <w:adjustRightInd/>
              <w:spacing w:after="160" w:line="259" w:lineRule="auto"/>
              <w:jc w:val="both"/>
              <w:rPr>
                <w:lang w:val="en-GB"/>
              </w:rPr>
            </w:pPr>
            <w:r w:rsidRPr="0031164B">
              <w:rPr>
                <w:u w:val="single"/>
                <w:lang w:val="en-GB"/>
              </w:rPr>
              <w:t>After product delivery,</w:t>
            </w:r>
            <w:r w:rsidRPr="0031164B">
              <w:rPr>
                <w:lang w:val="en-GB"/>
              </w:rPr>
              <w:t xml:space="preserve"> Center may request a Product Order Cancellation if Product cannot be administered for the following reasons:</w:t>
            </w:r>
          </w:p>
        </w:tc>
      </w:tr>
      <w:tr w:rsidR="00A52FAF" w:rsidRPr="0031164B" w14:paraId="192096C9" w14:textId="6242B76C" w:rsidTr="00CE0A53">
        <w:tc>
          <w:tcPr>
            <w:tcW w:w="2530" w:type="pct"/>
          </w:tcPr>
          <w:p w14:paraId="28E29FFE" w14:textId="77777777" w:rsidR="00186A79" w:rsidRPr="006C26AE" w:rsidRDefault="00186A79" w:rsidP="00186A79">
            <w:pPr>
              <w:widowControl/>
              <w:numPr>
                <w:ilvl w:val="0"/>
                <w:numId w:val="12"/>
              </w:numPr>
              <w:autoSpaceDE/>
              <w:autoSpaceDN/>
              <w:adjustRightInd/>
              <w:ind w:left="720"/>
              <w:jc w:val="both"/>
            </w:pPr>
            <w:r w:rsidRPr="006C26AE">
              <w:t>Úmrtí pacienta nebo změna zdravotního stavu pacienta, o které rozhoduje výhradně poskytovatel zdravotní péče.</w:t>
            </w:r>
          </w:p>
        </w:tc>
        <w:tc>
          <w:tcPr>
            <w:tcW w:w="2470" w:type="pct"/>
          </w:tcPr>
          <w:p w14:paraId="34838799" w14:textId="34F5B87F" w:rsidR="00186A79" w:rsidRPr="006C26AE" w:rsidRDefault="00186A79" w:rsidP="00F35BB8">
            <w:pPr>
              <w:pStyle w:val="Odstavecseseznamem"/>
              <w:widowControl/>
              <w:numPr>
                <w:ilvl w:val="0"/>
                <w:numId w:val="98"/>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Patient death, or a change in the patient’s health status, as determined in the sole discretion of the patient’s health care provider.</w:t>
            </w:r>
          </w:p>
        </w:tc>
      </w:tr>
      <w:tr w:rsidR="00A52FAF" w:rsidRPr="0031164B" w14:paraId="0BF69E3B" w14:textId="51B3B7A7" w:rsidTr="00CE0A53">
        <w:tc>
          <w:tcPr>
            <w:tcW w:w="2530" w:type="pct"/>
          </w:tcPr>
          <w:p w14:paraId="124569C0" w14:textId="7DD3BFFC" w:rsidR="00186A79" w:rsidRPr="006C26AE" w:rsidRDefault="00186A79" w:rsidP="00186A79">
            <w:pPr>
              <w:widowControl/>
              <w:numPr>
                <w:ilvl w:val="0"/>
                <w:numId w:val="12"/>
              </w:numPr>
              <w:autoSpaceDE/>
              <w:autoSpaceDN/>
              <w:adjustRightInd/>
              <w:ind w:left="720"/>
              <w:jc w:val="both"/>
            </w:pPr>
            <w:r w:rsidRPr="006C26AE">
              <w:t xml:space="preserve">Po dodání do </w:t>
            </w:r>
            <w:r w:rsidR="00093977">
              <w:t>Centra</w:t>
            </w:r>
            <w:r w:rsidRPr="006C26AE">
              <w:t xml:space="preserve"> se zjistí, že produkt má kvalitativní vady, například</w:t>
            </w:r>
            <w:r w:rsidRPr="006C26AE">
              <w:rPr>
                <w:color w:val="FF0000"/>
              </w:rPr>
              <w:t xml:space="preserve"> </w:t>
            </w:r>
            <w:r w:rsidRPr="006C26AE">
              <w:t xml:space="preserve">rozbitý nebo poškozený primární obal. </w:t>
            </w:r>
          </w:p>
        </w:tc>
        <w:tc>
          <w:tcPr>
            <w:tcW w:w="2470" w:type="pct"/>
          </w:tcPr>
          <w:p w14:paraId="76996180" w14:textId="753E518D" w:rsidR="00186A79" w:rsidRPr="006C26AE" w:rsidRDefault="00186A79" w:rsidP="00F35BB8">
            <w:pPr>
              <w:pStyle w:val="Odstavecseseznamem"/>
              <w:widowControl/>
              <w:numPr>
                <w:ilvl w:val="0"/>
                <w:numId w:val="98"/>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Product is discovered to have quality defects such as a broken or damaged primary container</w:t>
            </w:r>
            <w:r w:rsidRPr="006C26AE">
              <w:rPr>
                <w:rFonts w:ascii="Times New Roman" w:hAnsi="Times New Roman" w:cs="Times New Roman"/>
                <w:color w:val="FF0000"/>
                <w:sz w:val="24"/>
                <w:szCs w:val="24"/>
                <w:lang w:val="en-GB"/>
              </w:rPr>
              <w:t xml:space="preserve"> </w:t>
            </w:r>
            <w:r w:rsidRPr="006C26AE">
              <w:rPr>
                <w:rFonts w:ascii="Times New Roman" w:hAnsi="Times New Roman" w:cs="Times New Roman"/>
                <w:sz w:val="24"/>
                <w:szCs w:val="24"/>
                <w:lang w:val="en-GB"/>
              </w:rPr>
              <w:t xml:space="preserve">after delivery to Center. </w:t>
            </w:r>
          </w:p>
        </w:tc>
      </w:tr>
      <w:tr w:rsidR="00A52FAF" w:rsidRPr="0031164B" w14:paraId="7C8D9A69" w14:textId="72CB7758" w:rsidTr="00CE0A53">
        <w:tc>
          <w:tcPr>
            <w:tcW w:w="2530" w:type="pct"/>
          </w:tcPr>
          <w:p w14:paraId="0F20E8BF" w14:textId="3F791A9C" w:rsidR="00186A79" w:rsidRPr="006C26AE" w:rsidRDefault="00186A79" w:rsidP="00186A79">
            <w:pPr>
              <w:widowControl/>
              <w:numPr>
                <w:ilvl w:val="0"/>
                <w:numId w:val="12"/>
              </w:numPr>
              <w:autoSpaceDE/>
              <w:autoSpaceDN/>
              <w:adjustRightInd/>
              <w:ind w:left="720"/>
              <w:jc w:val="both"/>
            </w:pPr>
            <w:r w:rsidRPr="006C26AE">
              <w:t xml:space="preserve">Produkt je po obdržení poškozen </w:t>
            </w:r>
            <w:r w:rsidR="00093977">
              <w:t>Centrem</w:t>
            </w:r>
            <w:r w:rsidRPr="006C26AE">
              <w:t>.</w:t>
            </w:r>
          </w:p>
        </w:tc>
        <w:tc>
          <w:tcPr>
            <w:tcW w:w="2470" w:type="pct"/>
          </w:tcPr>
          <w:p w14:paraId="02AE652E" w14:textId="776C5313" w:rsidR="00186A79" w:rsidRPr="006C26AE" w:rsidRDefault="00186A79" w:rsidP="00F35BB8">
            <w:pPr>
              <w:pStyle w:val="Odstavecseseznamem"/>
              <w:widowControl/>
              <w:numPr>
                <w:ilvl w:val="0"/>
                <w:numId w:val="98"/>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Product is damaged by Center after receipt.</w:t>
            </w:r>
          </w:p>
        </w:tc>
      </w:tr>
      <w:tr w:rsidR="00A52FAF" w:rsidRPr="0031164B" w14:paraId="7294D20C" w14:textId="11BBF70B" w:rsidTr="00CE0A53">
        <w:tc>
          <w:tcPr>
            <w:tcW w:w="2530" w:type="pct"/>
          </w:tcPr>
          <w:p w14:paraId="5F69A2BB" w14:textId="23FEBA73" w:rsidR="00186A79" w:rsidRPr="006C26AE" w:rsidRDefault="00186A79" w:rsidP="00186A79">
            <w:pPr>
              <w:widowControl/>
              <w:numPr>
                <w:ilvl w:val="0"/>
                <w:numId w:val="12"/>
              </w:numPr>
              <w:autoSpaceDE/>
              <w:autoSpaceDN/>
              <w:adjustRightInd/>
              <w:ind w:left="720"/>
              <w:jc w:val="both"/>
            </w:pPr>
            <w:r w:rsidRPr="006C26AE">
              <w:t xml:space="preserve">Společnost </w:t>
            </w:r>
            <w:r w:rsidRPr="006C26AE">
              <w:rPr>
                <w:sz w:val="22"/>
                <w:szCs w:val="22"/>
              </w:rPr>
              <w:t>BMS</w:t>
            </w:r>
            <w:r w:rsidRPr="006C26AE">
              <w:t xml:space="preserve"> stáhne produkt z trhu písemným oznámením zaslaným </w:t>
            </w:r>
            <w:r w:rsidR="00E96E63">
              <w:t>Centru</w:t>
            </w:r>
            <w:r w:rsidRPr="006C26AE">
              <w:t>.</w:t>
            </w:r>
          </w:p>
        </w:tc>
        <w:tc>
          <w:tcPr>
            <w:tcW w:w="2470" w:type="pct"/>
          </w:tcPr>
          <w:p w14:paraId="73012434" w14:textId="0DD6DC79" w:rsidR="00186A79" w:rsidRPr="006C26AE" w:rsidRDefault="00186A79" w:rsidP="00F35BB8">
            <w:pPr>
              <w:pStyle w:val="Odstavecseseznamem"/>
              <w:widowControl/>
              <w:numPr>
                <w:ilvl w:val="0"/>
                <w:numId w:val="98"/>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Product is recalled by BMS in a written notice to Center.</w:t>
            </w:r>
          </w:p>
        </w:tc>
      </w:tr>
      <w:tr w:rsidR="00A52FAF" w:rsidRPr="0031164B" w14:paraId="23999C10" w14:textId="06D4D1EC" w:rsidTr="00CE0A53">
        <w:tc>
          <w:tcPr>
            <w:tcW w:w="2530" w:type="pct"/>
          </w:tcPr>
          <w:p w14:paraId="524B08B3" w14:textId="77777777" w:rsidR="00186A79" w:rsidRPr="006C26AE" w:rsidRDefault="00186A79" w:rsidP="00186A79">
            <w:pPr>
              <w:jc w:val="both"/>
            </w:pPr>
          </w:p>
        </w:tc>
        <w:tc>
          <w:tcPr>
            <w:tcW w:w="2470" w:type="pct"/>
          </w:tcPr>
          <w:p w14:paraId="2D85F48C"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6E5C0AAE" w14:textId="07035FFA" w:rsidTr="00CE0A53">
        <w:tc>
          <w:tcPr>
            <w:tcW w:w="2530" w:type="pct"/>
          </w:tcPr>
          <w:p w14:paraId="5704CDE7" w14:textId="3A5837F3" w:rsidR="00186A79" w:rsidRPr="006C26AE" w:rsidRDefault="00186A79" w:rsidP="00186A79">
            <w:pPr>
              <w:tabs>
                <w:tab w:val="left" w:pos="3195"/>
              </w:tabs>
              <w:jc w:val="both"/>
              <w:rPr>
                <w:bCs/>
              </w:rPr>
            </w:pPr>
            <w:r w:rsidRPr="006C26AE">
              <w:t xml:space="preserve">Chce-li požádat o zrušení objednávky produktu poté, co byl produkt dodán do </w:t>
            </w:r>
            <w:r w:rsidR="00E96E63">
              <w:t>Centra</w:t>
            </w:r>
            <w:r w:rsidRPr="006C26AE">
              <w:t xml:space="preserve">, musí </w:t>
            </w:r>
            <w:r w:rsidR="00E96E63">
              <w:t>Centrum</w:t>
            </w:r>
            <w:r w:rsidRPr="006C26AE">
              <w:t xml:space="preserve"> vyplnit a odeslat společnosti </w:t>
            </w:r>
            <w:r w:rsidRPr="006C26AE">
              <w:rPr>
                <w:sz w:val="22"/>
                <w:szCs w:val="22"/>
              </w:rPr>
              <w:t>BMS</w:t>
            </w:r>
            <w:r w:rsidRPr="006C26AE">
              <w:t xml:space="preserve"> formulář pro zrušení produktu CAR T.  Pokud by si </w:t>
            </w:r>
            <w:r w:rsidR="00F57062">
              <w:t>Centrum</w:t>
            </w:r>
            <w:r w:rsidRPr="006C26AE">
              <w:t xml:space="preserve"> přálo náhradu produktu pro léčbu konkrétního pacienta, mělo by postupovat v souladu s níže uvedenými podmínkami pro náhradu produktu a objednávku produktu by rušit nemělo.</w:t>
            </w:r>
          </w:p>
        </w:tc>
        <w:tc>
          <w:tcPr>
            <w:tcW w:w="2470" w:type="pct"/>
          </w:tcPr>
          <w:p w14:paraId="2785A761" w14:textId="4D72F87F" w:rsidR="00186A79" w:rsidRPr="0031164B" w:rsidRDefault="00186A79" w:rsidP="00F35BB8">
            <w:pPr>
              <w:widowControl/>
              <w:autoSpaceDE/>
              <w:autoSpaceDN/>
              <w:adjustRightInd/>
              <w:spacing w:after="160" w:line="259" w:lineRule="auto"/>
              <w:jc w:val="both"/>
              <w:rPr>
                <w:bCs/>
                <w:lang w:val="en-GB"/>
              </w:rPr>
            </w:pPr>
            <w:r w:rsidRPr="0031164B">
              <w:rPr>
                <w:lang w:val="en-GB"/>
              </w:rPr>
              <w:t xml:space="preserve">To request </w:t>
            </w:r>
            <w:r w:rsidRPr="0031164B">
              <w:rPr>
                <w:bCs/>
                <w:lang w:val="en-GB"/>
              </w:rPr>
              <w:t>Product Order Cancellation after the Product has been delivered to the Center</w:t>
            </w:r>
            <w:r w:rsidRPr="0031164B">
              <w:rPr>
                <w:lang w:val="en-GB"/>
              </w:rPr>
              <w:t xml:space="preserve">, Center must complete and submit to </w:t>
            </w:r>
            <w:r w:rsidRPr="0031164B">
              <w:rPr>
                <w:sz w:val="22"/>
                <w:szCs w:val="22"/>
                <w:lang w:val="en-GB"/>
              </w:rPr>
              <w:t>BMS</w:t>
            </w:r>
            <w:r w:rsidRPr="0031164B">
              <w:rPr>
                <w:lang w:val="en-GB"/>
              </w:rPr>
              <w:t xml:space="preserve"> a CAR T Product Cancellation Form.  If Center would like a Product Replacement to treat the specific patient, Center should proceed in accordance with the Product Replacement terms below and the Product Order should not be cancelled.</w:t>
            </w:r>
          </w:p>
        </w:tc>
      </w:tr>
      <w:tr w:rsidR="00A52FAF" w:rsidRPr="0031164B" w14:paraId="52ACED5D" w14:textId="4EB40C2F" w:rsidTr="00CE0A53">
        <w:tc>
          <w:tcPr>
            <w:tcW w:w="2530" w:type="pct"/>
          </w:tcPr>
          <w:p w14:paraId="5C12A766" w14:textId="77777777" w:rsidR="00186A79" w:rsidRPr="006C26AE" w:rsidRDefault="00186A79" w:rsidP="00186A79">
            <w:pPr>
              <w:jc w:val="both"/>
            </w:pPr>
          </w:p>
        </w:tc>
        <w:tc>
          <w:tcPr>
            <w:tcW w:w="2470" w:type="pct"/>
          </w:tcPr>
          <w:p w14:paraId="6C443E10"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55E500C1" w14:textId="110DE799" w:rsidTr="00CE0A53">
        <w:tc>
          <w:tcPr>
            <w:tcW w:w="2530" w:type="pct"/>
          </w:tcPr>
          <w:p w14:paraId="4F1AE58C" w14:textId="65673527" w:rsidR="00186A79" w:rsidRPr="006C26AE" w:rsidRDefault="00186A79" w:rsidP="00186A79">
            <w:pPr>
              <w:jc w:val="both"/>
            </w:pPr>
            <w:r w:rsidRPr="006C26AE">
              <w:t xml:space="preserve">Společnost BMS si vyhrazuje právo odmítnout zrušení faktury nebo vrácení poplatků za jakýkoli vrácený produkt nebo produkt zničený </w:t>
            </w:r>
            <w:r w:rsidR="00F57062">
              <w:t>Centrem</w:t>
            </w:r>
            <w:r w:rsidRPr="006C26AE">
              <w:t xml:space="preserve"> před vyplněním formuláře pro zrušení produktu CAR T.</w:t>
            </w:r>
          </w:p>
        </w:tc>
        <w:tc>
          <w:tcPr>
            <w:tcW w:w="2470" w:type="pct"/>
          </w:tcPr>
          <w:p w14:paraId="5D7A8EC1" w14:textId="41C36877" w:rsidR="00186A79" w:rsidRPr="0031164B" w:rsidRDefault="00186A79" w:rsidP="00F35BB8">
            <w:pPr>
              <w:widowControl/>
              <w:autoSpaceDE/>
              <w:autoSpaceDN/>
              <w:adjustRightInd/>
              <w:spacing w:after="160" w:line="259" w:lineRule="auto"/>
              <w:jc w:val="both"/>
              <w:rPr>
                <w:lang w:val="en-GB"/>
              </w:rPr>
            </w:pPr>
            <w:r w:rsidRPr="0031164B">
              <w:rPr>
                <w:bCs/>
                <w:lang w:val="en-GB"/>
              </w:rPr>
              <w:t>BMS</w:t>
            </w:r>
            <w:r w:rsidRPr="0031164B">
              <w:rPr>
                <w:lang w:val="en-GB"/>
              </w:rPr>
              <w:t xml:space="preserve"> reserves the right to deny cancellation of an invoice or reimbursement of fees for any Product Returns or Product destroyed by Center prior to completion of the CAR T Product Cancellation Form.</w:t>
            </w:r>
          </w:p>
        </w:tc>
      </w:tr>
      <w:tr w:rsidR="00A52FAF" w:rsidRPr="0031164B" w14:paraId="2D40E0A2" w14:textId="008B7BB8" w:rsidTr="00CE0A53">
        <w:tc>
          <w:tcPr>
            <w:tcW w:w="2530" w:type="pct"/>
          </w:tcPr>
          <w:p w14:paraId="4D5ABE3C" w14:textId="77777777" w:rsidR="00186A79" w:rsidRPr="006C26AE" w:rsidRDefault="00186A79" w:rsidP="00186A79">
            <w:pPr>
              <w:jc w:val="both"/>
            </w:pPr>
          </w:p>
        </w:tc>
        <w:tc>
          <w:tcPr>
            <w:tcW w:w="2470" w:type="pct"/>
          </w:tcPr>
          <w:p w14:paraId="0215F732"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0801747C" w14:textId="1FB8F93B" w:rsidTr="00CE0A53">
        <w:tc>
          <w:tcPr>
            <w:tcW w:w="2530" w:type="pct"/>
          </w:tcPr>
          <w:p w14:paraId="2CF682B7" w14:textId="436EFBC6" w:rsidR="00186A79" w:rsidRPr="006C26AE" w:rsidRDefault="00186A79" w:rsidP="00186A79">
            <w:pPr>
              <w:tabs>
                <w:tab w:val="left" w:pos="3195"/>
              </w:tabs>
              <w:jc w:val="both"/>
            </w:pPr>
            <w:r w:rsidRPr="006C26AE">
              <w:t xml:space="preserve">Produkty nejsou způsobilé pro zrušení objednávky produktu – a </w:t>
            </w:r>
            <w:r w:rsidR="00114045">
              <w:t>Centrum</w:t>
            </w:r>
            <w:r w:rsidRPr="006C26AE">
              <w:t xml:space="preserve"> zůstává odpovědné za své platební závazky vůči společnosti BMS – za následujících okolností:</w:t>
            </w:r>
          </w:p>
        </w:tc>
        <w:tc>
          <w:tcPr>
            <w:tcW w:w="2470" w:type="pct"/>
          </w:tcPr>
          <w:p w14:paraId="163E1706" w14:textId="6706106A" w:rsidR="00186A79" w:rsidRPr="0031164B" w:rsidRDefault="00186A79" w:rsidP="00F35BB8">
            <w:pPr>
              <w:widowControl/>
              <w:autoSpaceDE/>
              <w:autoSpaceDN/>
              <w:adjustRightInd/>
              <w:spacing w:after="160" w:line="259" w:lineRule="auto"/>
              <w:jc w:val="both"/>
              <w:rPr>
                <w:lang w:val="en-GB"/>
              </w:rPr>
            </w:pPr>
            <w:r w:rsidRPr="0031164B">
              <w:rPr>
                <w:lang w:val="en-GB"/>
              </w:rPr>
              <w:t>Products are not eligible for Product Order Cancellation – and Center will remain responsible for its payment obligations towards BMS – under the following circumstances:</w:t>
            </w:r>
          </w:p>
        </w:tc>
      </w:tr>
      <w:tr w:rsidR="00A52FAF" w:rsidRPr="0031164B" w14:paraId="02777C89" w14:textId="6EB0A2C9" w:rsidTr="00CE0A53">
        <w:tc>
          <w:tcPr>
            <w:tcW w:w="2530" w:type="pct"/>
          </w:tcPr>
          <w:p w14:paraId="3ADE6FE5" w14:textId="13BDB645" w:rsidR="00186A79" w:rsidRPr="006C26AE" w:rsidRDefault="00186A79" w:rsidP="00186A79">
            <w:pPr>
              <w:widowControl/>
              <w:numPr>
                <w:ilvl w:val="0"/>
                <w:numId w:val="10"/>
              </w:numPr>
              <w:autoSpaceDE/>
              <w:autoSpaceDN/>
              <w:adjustRightInd/>
              <w:jc w:val="both"/>
            </w:pPr>
            <w:r w:rsidRPr="006C26AE">
              <w:t xml:space="preserve">Produkty poškozené katastrofami, jako je požár, kouř, povodeň, bouře, nepokoje, války, teroristické činy atd., ke kterým dojde po převzetí zaslaného produktu </w:t>
            </w:r>
            <w:r w:rsidR="0003053A">
              <w:t>Centrem</w:t>
            </w:r>
            <w:r w:rsidRPr="006C26AE">
              <w:t>.</w:t>
            </w:r>
          </w:p>
        </w:tc>
        <w:tc>
          <w:tcPr>
            <w:tcW w:w="2470" w:type="pct"/>
          </w:tcPr>
          <w:p w14:paraId="0961ED50" w14:textId="0CD9C5F2" w:rsidR="00186A79" w:rsidRPr="006C26AE" w:rsidRDefault="00186A79" w:rsidP="00F35BB8">
            <w:pPr>
              <w:pStyle w:val="Odstavecseseznamem"/>
              <w:widowControl/>
              <w:numPr>
                <w:ilvl w:val="0"/>
                <w:numId w:val="99"/>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Products damaged by catastrophes such as fire, smoke, flood, storms, riots, wars, acts of terrorism, etc., that occur after Center has taken possession of a shipped Product.</w:t>
            </w:r>
          </w:p>
        </w:tc>
      </w:tr>
      <w:tr w:rsidR="00A52FAF" w:rsidRPr="0031164B" w14:paraId="102A2359" w14:textId="198B8B04" w:rsidTr="00CE0A53">
        <w:tc>
          <w:tcPr>
            <w:tcW w:w="2530" w:type="pct"/>
          </w:tcPr>
          <w:p w14:paraId="3CF14D2A" w14:textId="77777777" w:rsidR="00186A79" w:rsidRPr="006C26AE" w:rsidRDefault="00186A79" w:rsidP="00186A79">
            <w:pPr>
              <w:widowControl/>
              <w:numPr>
                <w:ilvl w:val="0"/>
                <w:numId w:val="10"/>
              </w:numPr>
              <w:autoSpaceDE/>
              <w:autoSpaceDN/>
              <w:adjustRightInd/>
              <w:jc w:val="both"/>
            </w:pPr>
            <w:r w:rsidRPr="006C26AE">
              <w:t>Produkty, které byly pacientovi podány.</w:t>
            </w:r>
          </w:p>
        </w:tc>
        <w:tc>
          <w:tcPr>
            <w:tcW w:w="2470" w:type="pct"/>
          </w:tcPr>
          <w:p w14:paraId="1960D17A" w14:textId="3250F190" w:rsidR="00186A79" w:rsidRPr="006C26AE" w:rsidRDefault="00186A79" w:rsidP="00F35BB8">
            <w:pPr>
              <w:pStyle w:val="Odstavecseseznamem"/>
              <w:widowControl/>
              <w:numPr>
                <w:ilvl w:val="0"/>
                <w:numId w:val="99"/>
              </w:numPr>
              <w:spacing w:after="160" w:line="259" w:lineRule="auto"/>
              <w:jc w:val="both"/>
              <w:rPr>
                <w:rFonts w:ascii="Times New Roman" w:hAnsi="Times New Roman" w:cs="Times New Roman"/>
                <w:sz w:val="24"/>
                <w:szCs w:val="24"/>
                <w:lang w:val="en-GB"/>
              </w:rPr>
            </w:pPr>
            <w:r w:rsidRPr="006C26AE">
              <w:rPr>
                <w:rFonts w:ascii="Times New Roman" w:hAnsi="Times New Roman" w:cs="Times New Roman"/>
                <w:sz w:val="24"/>
                <w:szCs w:val="24"/>
                <w:lang w:val="en-GB"/>
              </w:rPr>
              <w:t>Products that have been administered to a patient.</w:t>
            </w:r>
          </w:p>
        </w:tc>
      </w:tr>
      <w:tr w:rsidR="00A52FAF" w:rsidRPr="0031164B" w14:paraId="3B791026" w14:textId="664FFCA6" w:rsidTr="00CE0A53">
        <w:tc>
          <w:tcPr>
            <w:tcW w:w="2530" w:type="pct"/>
          </w:tcPr>
          <w:p w14:paraId="3B9AC4B4" w14:textId="3BB14548" w:rsidR="00186A79" w:rsidRPr="006C26AE" w:rsidRDefault="00A25F25" w:rsidP="00186A79">
            <w:pPr>
              <w:widowControl/>
              <w:numPr>
                <w:ilvl w:val="0"/>
                <w:numId w:val="10"/>
              </w:numPr>
              <w:autoSpaceDE/>
              <w:autoSpaceDN/>
              <w:adjustRightInd/>
              <w:jc w:val="both"/>
            </w:pPr>
            <w:r>
              <w:t xml:space="preserve">Pokud jsou </w:t>
            </w:r>
            <w:r w:rsidR="00186A79" w:rsidRPr="006C26AE">
              <w:t>Produkty zničené nebo vrácené bez předchozího</w:t>
            </w:r>
            <w:r w:rsidR="002F7FC0">
              <w:t xml:space="preserve"> písemného</w:t>
            </w:r>
            <w:r w:rsidR="00186A79" w:rsidRPr="006C26AE">
              <w:t xml:space="preserve"> povolení společnosti </w:t>
            </w:r>
            <w:r w:rsidR="00186A79" w:rsidRPr="006C26AE">
              <w:rPr>
                <w:sz w:val="22"/>
                <w:szCs w:val="22"/>
              </w:rPr>
              <w:t>BMS</w:t>
            </w:r>
            <w:r w:rsidR="00186A79" w:rsidRPr="006C26AE">
              <w:t>.</w:t>
            </w:r>
          </w:p>
        </w:tc>
        <w:tc>
          <w:tcPr>
            <w:tcW w:w="2470" w:type="pct"/>
          </w:tcPr>
          <w:p w14:paraId="259C5641" w14:textId="7F21D52F" w:rsidR="00186A79" w:rsidRPr="006C26AE" w:rsidRDefault="00151B1F" w:rsidP="00F35BB8">
            <w:pPr>
              <w:pStyle w:val="Odstavecseseznamem"/>
              <w:widowControl/>
              <w:numPr>
                <w:ilvl w:val="0"/>
                <w:numId w:val="99"/>
              </w:numPr>
              <w:spacing w:after="160" w:line="259"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w:t>
            </w:r>
            <w:r w:rsidR="00186A79" w:rsidRPr="006C26AE">
              <w:rPr>
                <w:rFonts w:ascii="Times New Roman" w:hAnsi="Times New Roman" w:cs="Times New Roman"/>
                <w:sz w:val="24"/>
                <w:szCs w:val="24"/>
                <w:lang w:val="en-GB"/>
              </w:rPr>
              <w:t>Products</w:t>
            </w:r>
            <w:r>
              <w:rPr>
                <w:rFonts w:ascii="Times New Roman" w:hAnsi="Times New Roman" w:cs="Times New Roman"/>
                <w:sz w:val="24"/>
                <w:szCs w:val="24"/>
                <w:lang w:val="en-GB"/>
              </w:rPr>
              <w:t xml:space="preserve"> are</w:t>
            </w:r>
            <w:r w:rsidR="00186A79" w:rsidRPr="006C26AE">
              <w:rPr>
                <w:rFonts w:ascii="Times New Roman" w:hAnsi="Times New Roman" w:cs="Times New Roman"/>
                <w:sz w:val="24"/>
                <w:szCs w:val="24"/>
                <w:lang w:val="en-GB"/>
              </w:rPr>
              <w:t xml:space="preserve"> destroyed or returned without prior </w:t>
            </w:r>
            <w:r>
              <w:rPr>
                <w:rFonts w:ascii="Times New Roman" w:hAnsi="Times New Roman" w:cs="Times New Roman"/>
                <w:sz w:val="24"/>
                <w:szCs w:val="24"/>
                <w:lang w:val="en-GB"/>
              </w:rPr>
              <w:t xml:space="preserve">written </w:t>
            </w:r>
            <w:r w:rsidR="00186A79" w:rsidRPr="006C26AE">
              <w:rPr>
                <w:rFonts w:ascii="Times New Roman" w:hAnsi="Times New Roman" w:cs="Times New Roman"/>
                <w:sz w:val="24"/>
                <w:szCs w:val="24"/>
                <w:lang w:val="en-GB"/>
              </w:rPr>
              <w:t>authorization from BMS.</w:t>
            </w:r>
          </w:p>
        </w:tc>
      </w:tr>
      <w:tr w:rsidR="00A52FAF" w:rsidRPr="0031164B" w14:paraId="30F20230" w14:textId="690EDF6A" w:rsidTr="00CE0A53">
        <w:tc>
          <w:tcPr>
            <w:tcW w:w="2530" w:type="pct"/>
          </w:tcPr>
          <w:p w14:paraId="2E6D44B8" w14:textId="754547D7" w:rsidR="00186A79" w:rsidRPr="006C26AE" w:rsidRDefault="00186A79" w:rsidP="00186A79"/>
        </w:tc>
        <w:tc>
          <w:tcPr>
            <w:tcW w:w="2470" w:type="pct"/>
          </w:tcPr>
          <w:p w14:paraId="7A9DDDEA"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01B00FC8" w14:textId="1557563E" w:rsidTr="00CE0A53">
        <w:tc>
          <w:tcPr>
            <w:tcW w:w="2530" w:type="pct"/>
          </w:tcPr>
          <w:p w14:paraId="4F4ABFE2" w14:textId="77777777" w:rsidR="00186A79" w:rsidRPr="006C26AE" w:rsidRDefault="00186A79" w:rsidP="00186A79">
            <w:pPr>
              <w:rPr>
                <w:b/>
              </w:rPr>
            </w:pPr>
          </w:p>
        </w:tc>
        <w:tc>
          <w:tcPr>
            <w:tcW w:w="2470" w:type="pct"/>
          </w:tcPr>
          <w:p w14:paraId="5294424B" w14:textId="77777777" w:rsidR="00186A79" w:rsidRPr="0031164B" w:rsidRDefault="00186A79" w:rsidP="00F35BB8">
            <w:pPr>
              <w:widowControl/>
              <w:autoSpaceDE/>
              <w:autoSpaceDN/>
              <w:adjustRightInd/>
              <w:spacing w:after="160" w:line="259" w:lineRule="auto"/>
              <w:jc w:val="both"/>
              <w:rPr>
                <w:b/>
                <w:lang w:val="en-GB"/>
              </w:rPr>
            </w:pPr>
          </w:p>
        </w:tc>
      </w:tr>
      <w:tr w:rsidR="00A52FAF" w:rsidRPr="0031164B" w14:paraId="4CD0FF64" w14:textId="1CC012D0" w:rsidTr="00CE0A53">
        <w:tc>
          <w:tcPr>
            <w:tcW w:w="2530" w:type="pct"/>
          </w:tcPr>
          <w:p w14:paraId="5A5A147E" w14:textId="77777777" w:rsidR="00186A79" w:rsidRPr="006C26AE" w:rsidRDefault="00186A79" w:rsidP="00186A79">
            <w:pPr>
              <w:spacing w:after="120"/>
              <w:rPr>
                <w:b/>
                <w:u w:val="single"/>
              </w:rPr>
            </w:pPr>
            <w:r w:rsidRPr="006C26AE">
              <w:rPr>
                <w:b/>
                <w:u w:val="single"/>
              </w:rPr>
              <w:t>Výměna produktu</w:t>
            </w:r>
          </w:p>
        </w:tc>
        <w:tc>
          <w:tcPr>
            <w:tcW w:w="2470" w:type="pct"/>
          </w:tcPr>
          <w:p w14:paraId="0F9E67B1" w14:textId="4AFCB8A2" w:rsidR="00186A79" w:rsidRPr="0031164B" w:rsidRDefault="00186A79" w:rsidP="00F35BB8">
            <w:pPr>
              <w:widowControl/>
              <w:autoSpaceDE/>
              <w:autoSpaceDN/>
              <w:adjustRightInd/>
              <w:spacing w:after="160" w:line="259" w:lineRule="auto"/>
              <w:jc w:val="both"/>
              <w:rPr>
                <w:b/>
                <w:u w:val="single"/>
                <w:lang w:val="en-GB"/>
              </w:rPr>
            </w:pPr>
            <w:r w:rsidRPr="0031164B">
              <w:rPr>
                <w:b/>
                <w:u w:val="single"/>
                <w:lang w:val="en-GB"/>
              </w:rPr>
              <w:t>Product Replacement</w:t>
            </w:r>
          </w:p>
        </w:tc>
      </w:tr>
      <w:tr w:rsidR="00A52FAF" w:rsidRPr="0031164B" w14:paraId="726662C4" w14:textId="5C43F5B1" w:rsidTr="00CE0A53">
        <w:tc>
          <w:tcPr>
            <w:tcW w:w="2530" w:type="pct"/>
          </w:tcPr>
          <w:p w14:paraId="08E2731A" w14:textId="39B8325D" w:rsidR="00186A79" w:rsidRPr="006C26AE" w:rsidRDefault="00186A79" w:rsidP="00186A79">
            <w:pPr>
              <w:tabs>
                <w:tab w:val="left" w:pos="3195"/>
              </w:tabs>
              <w:jc w:val="both"/>
            </w:pPr>
            <w:r w:rsidRPr="006C26AE">
              <w:t xml:space="preserve">V případě, že nastane některá z následujících situací a je k dispozici nadbytečný produkt, může </w:t>
            </w:r>
            <w:r w:rsidR="0000294C">
              <w:t>Centrum</w:t>
            </w:r>
            <w:r w:rsidRPr="006C26AE">
              <w:t xml:space="preserve"> požádat o výměnu produktu, která bude provedena na náklady společnosti </w:t>
            </w:r>
            <w:r w:rsidRPr="006C26AE">
              <w:rPr>
                <w:sz w:val="22"/>
                <w:szCs w:val="22"/>
              </w:rPr>
              <w:t>BMS</w:t>
            </w:r>
            <w:r w:rsidRPr="006C26AE">
              <w:t xml:space="preserve">.  Není-li nadbytečný produkt k dispozici (nebo není-li vhodný k náhradě/výměně, např. v případě vady kvality), vyrobí společnost </w:t>
            </w:r>
            <w:r w:rsidRPr="006C26AE">
              <w:rPr>
                <w:sz w:val="22"/>
                <w:szCs w:val="22"/>
              </w:rPr>
              <w:t>BMS</w:t>
            </w:r>
            <w:r w:rsidRPr="006C26AE">
              <w:t xml:space="preserve"> na žádost </w:t>
            </w:r>
            <w:r w:rsidR="00004E3D">
              <w:t>Centra</w:t>
            </w:r>
            <w:r w:rsidRPr="006C26AE">
              <w:t xml:space="preserve"> náhradní produkt z dodatečně zpracovaných aferézních materiálů (jsou-li k dispozici) nebo z nově odebraných aferézních materiálů. </w:t>
            </w:r>
          </w:p>
        </w:tc>
        <w:tc>
          <w:tcPr>
            <w:tcW w:w="2470" w:type="pct"/>
          </w:tcPr>
          <w:p w14:paraId="36357526" w14:textId="3BDBF138" w:rsidR="00186A79" w:rsidRPr="0031164B" w:rsidRDefault="00186A79" w:rsidP="00F35BB8">
            <w:pPr>
              <w:widowControl/>
              <w:autoSpaceDE/>
              <w:autoSpaceDN/>
              <w:adjustRightInd/>
              <w:spacing w:after="160" w:line="259" w:lineRule="auto"/>
              <w:jc w:val="both"/>
              <w:rPr>
                <w:lang w:val="en-GB"/>
              </w:rPr>
            </w:pPr>
            <w:r w:rsidRPr="0031164B">
              <w:rPr>
                <w:lang w:val="en-GB"/>
              </w:rPr>
              <w:t xml:space="preserve">In the event any of the following situations occur, if Excess Product is available, Center may request a Product Replacement which will occur at </w:t>
            </w:r>
            <w:r w:rsidRPr="0031164B">
              <w:rPr>
                <w:sz w:val="22"/>
                <w:szCs w:val="22"/>
                <w:lang w:val="en-GB"/>
              </w:rPr>
              <w:t>BMS’</w:t>
            </w:r>
            <w:r w:rsidRPr="0031164B">
              <w:rPr>
                <w:lang w:val="en-GB"/>
              </w:rPr>
              <w:t xml:space="preserve"> expense.  If Excess Product is not available (or not appropriate for replacement, such as in the case of a quality defect), upon Center’s request, </w:t>
            </w:r>
            <w:r w:rsidRPr="0031164B">
              <w:rPr>
                <w:sz w:val="22"/>
                <w:szCs w:val="22"/>
                <w:lang w:val="en-GB"/>
              </w:rPr>
              <w:t>BMS</w:t>
            </w:r>
            <w:r w:rsidRPr="0031164B">
              <w:rPr>
                <w:lang w:val="en-GB"/>
              </w:rPr>
              <w:t xml:space="preserve"> will manufacture a replacement Product from extra Processed </w:t>
            </w:r>
            <w:r w:rsidRPr="0031164B">
              <w:rPr>
                <w:bCs/>
                <w:lang w:val="en-GB"/>
              </w:rPr>
              <w:t>Apheresis Materials (if available) or from newly collected Apheresis Materials</w:t>
            </w:r>
            <w:r w:rsidRPr="0031164B">
              <w:rPr>
                <w:lang w:val="en-GB"/>
              </w:rPr>
              <w:t xml:space="preserve">. </w:t>
            </w:r>
          </w:p>
        </w:tc>
      </w:tr>
      <w:tr w:rsidR="00A52FAF" w:rsidRPr="0031164B" w14:paraId="488ED104" w14:textId="7FC1D6F1" w:rsidTr="00CE0A53">
        <w:tc>
          <w:tcPr>
            <w:tcW w:w="2530" w:type="pct"/>
          </w:tcPr>
          <w:p w14:paraId="5CE7ED7E" w14:textId="77777777" w:rsidR="00186A79" w:rsidRPr="006C26AE" w:rsidRDefault="00186A79" w:rsidP="00186A79">
            <w:pPr>
              <w:jc w:val="both"/>
            </w:pPr>
          </w:p>
        </w:tc>
        <w:tc>
          <w:tcPr>
            <w:tcW w:w="2470" w:type="pct"/>
          </w:tcPr>
          <w:p w14:paraId="4A5FE771"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45E08A64" w14:textId="5C3EB8AF" w:rsidTr="00CE0A53">
        <w:tc>
          <w:tcPr>
            <w:tcW w:w="2530" w:type="pct"/>
          </w:tcPr>
          <w:p w14:paraId="29F562EB" w14:textId="09A3D9C9" w:rsidR="00186A79" w:rsidRPr="006C26AE" w:rsidRDefault="00186A79" w:rsidP="00186A79">
            <w:pPr>
              <w:widowControl/>
              <w:numPr>
                <w:ilvl w:val="0"/>
                <w:numId w:val="11"/>
              </w:numPr>
              <w:autoSpaceDE/>
              <w:autoSpaceDN/>
              <w:adjustRightInd/>
              <w:jc w:val="both"/>
            </w:pPr>
            <w:r w:rsidRPr="006C26AE">
              <w:t xml:space="preserve">V případě, že se při kontrole </w:t>
            </w:r>
            <w:r w:rsidR="00004E3D">
              <w:t>Centra</w:t>
            </w:r>
            <w:r w:rsidRPr="006C26AE">
              <w:t xml:space="preserve"> (ať už při převzetí nebo před podáním) objeví vada jakosti, například rozbitý </w:t>
            </w:r>
            <w:r w:rsidRPr="006C26AE">
              <w:lastRenderedPageBreak/>
              <w:t xml:space="preserve">nebo poškozený primární obal, je povinností </w:t>
            </w:r>
            <w:r w:rsidR="009E4C00">
              <w:t>Centra</w:t>
            </w:r>
            <w:r w:rsidRPr="006C26AE">
              <w:t xml:space="preserve"> co nejdříve informovat společnost </w:t>
            </w:r>
            <w:r w:rsidRPr="006C26AE">
              <w:rPr>
                <w:sz w:val="22"/>
                <w:szCs w:val="22"/>
              </w:rPr>
              <w:t>BMS</w:t>
            </w:r>
            <w:r w:rsidRPr="006C26AE">
              <w:t xml:space="preserve"> o závadě produktu.</w:t>
            </w:r>
          </w:p>
        </w:tc>
        <w:tc>
          <w:tcPr>
            <w:tcW w:w="2470" w:type="pct"/>
          </w:tcPr>
          <w:p w14:paraId="6D3FFB38" w14:textId="04A13DF6" w:rsidR="00186A79" w:rsidRPr="0031164B" w:rsidRDefault="006C26AE" w:rsidP="00F35BB8">
            <w:pPr>
              <w:widowControl/>
              <w:autoSpaceDE/>
              <w:autoSpaceDN/>
              <w:adjustRightInd/>
              <w:spacing w:after="160" w:line="259" w:lineRule="auto"/>
              <w:ind w:left="322" w:hanging="322"/>
              <w:jc w:val="both"/>
              <w:rPr>
                <w:lang w:val="en-GB"/>
              </w:rPr>
            </w:pPr>
            <w:r>
              <w:rPr>
                <w:lang w:val="en-GB"/>
              </w:rPr>
              <w:lastRenderedPageBreak/>
              <w:t>1.</w:t>
            </w:r>
            <w:r>
              <w:rPr>
                <w:lang w:val="en-GB"/>
              </w:rPr>
              <w:tab/>
            </w:r>
            <w:r w:rsidR="00186A79" w:rsidRPr="0031164B">
              <w:rPr>
                <w:lang w:val="en-GB"/>
              </w:rPr>
              <w:t xml:space="preserve">In the event there is a quality defect, such as a broken or damaged primary container, discovered during Center’s </w:t>
            </w:r>
            <w:r w:rsidR="00186A79" w:rsidRPr="0031164B">
              <w:rPr>
                <w:lang w:val="en-GB"/>
              </w:rPr>
              <w:lastRenderedPageBreak/>
              <w:t xml:space="preserve">inspection (whether upon receipt or prior to administration), it is the Center’s responsibility to notify </w:t>
            </w:r>
            <w:r w:rsidR="00186A79" w:rsidRPr="0031164B">
              <w:rPr>
                <w:sz w:val="22"/>
                <w:szCs w:val="22"/>
                <w:lang w:val="en-GB"/>
              </w:rPr>
              <w:t>BMS</w:t>
            </w:r>
            <w:r w:rsidR="00186A79" w:rsidRPr="0031164B">
              <w:rPr>
                <w:lang w:val="en-GB"/>
              </w:rPr>
              <w:t xml:space="preserve"> as soon as practicable of any defects of the Product’s defect.</w:t>
            </w:r>
          </w:p>
        </w:tc>
      </w:tr>
      <w:tr w:rsidR="00A52FAF" w:rsidRPr="0031164B" w14:paraId="3072AC2A" w14:textId="67F0EC1A" w:rsidTr="00CE0A53">
        <w:tc>
          <w:tcPr>
            <w:tcW w:w="2530" w:type="pct"/>
          </w:tcPr>
          <w:p w14:paraId="522A00EF" w14:textId="77777777" w:rsidR="00186A79" w:rsidRPr="006C26AE" w:rsidRDefault="00186A79" w:rsidP="00186A79">
            <w:r w:rsidRPr="006C26AE">
              <w:lastRenderedPageBreak/>
              <w:t xml:space="preserve"> </w:t>
            </w:r>
          </w:p>
        </w:tc>
        <w:tc>
          <w:tcPr>
            <w:tcW w:w="2470" w:type="pct"/>
          </w:tcPr>
          <w:p w14:paraId="209E9F54" w14:textId="005312FD" w:rsidR="00186A79" w:rsidRPr="0031164B" w:rsidRDefault="00186A79" w:rsidP="00F35BB8">
            <w:pPr>
              <w:widowControl/>
              <w:autoSpaceDE/>
              <w:autoSpaceDN/>
              <w:adjustRightInd/>
              <w:spacing w:after="160" w:line="259" w:lineRule="auto"/>
              <w:jc w:val="both"/>
              <w:rPr>
                <w:lang w:val="en-GB"/>
              </w:rPr>
            </w:pPr>
            <w:r w:rsidRPr="0031164B">
              <w:rPr>
                <w:lang w:val="en-GB"/>
              </w:rPr>
              <w:t xml:space="preserve"> </w:t>
            </w:r>
          </w:p>
        </w:tc>
      </w:tr>
      <w:tr w:rsidR="00A52FAF" w:rsidRPr="0031164B" w14:paraId="4C32542A" w14:textId="0E0C339A" w:rsidTr="00CE0A53">
        <w:tc>
          <w:tcPr>
            <w:tcW w:w="2530" w:type="pct"/>
          </w:tcPr>
          <w:p w14:paraId="3A438AD8" w14:textId="6DE69F67" w:rsidR="00186A79" w:rsidRPr="006C26AE" w:rsidRDefault="00186A79" w:rsidP="00186A79">
            <w:pPr>
              <w:widowControl/>
              <w:numPr>
                <w:ilvl w:val="0"/>
                <w:numId w:val="11"/>
              </w:numPr>
              <w:autoSpaceDE/>
              <w:autoSpaceDN/>
              <w:adjustRightInd/>
            </w:pPr>
            <w:r w:rsidRPr="006C26AE">
              <w:t xml:space="preserve">Pokud je produkt poškozen </w:t>
            </w:r>
            <w:r w:rsidR="009E4C00">
              <w:t>Centrem</w:t>
            </w:r>
            <w:r w:rsidRPr="006C26AE">
              <w:t xml:space="preserve">  </w:t>
            </w:r>
          </w:p>
        </w:tc>
        <w:tc>
          <w:tcPr>
            <w:tcW w:w="2470" w:type="pct"/>
          </w:tcPr>
          <w:p w14:paraId="05245D90" w14:textId="3B3252A1" w:rsidR="00186A79" w:rsidRPr="0031164B" w:rsidRDefault="006C26AE" w:rsidP="00F35BB8">
            <w:pPr>
              <w:widowControl/>
              <w:autoSpaceDE/>
              <w:autoSpaceDN/>
              <w:adjustRightInd/>
              <w:spacing w:after="160" w:line="259" w:lineRule="auto"/>
              <w:ind w:left="322" w:hanging="322"/>
              <w:jc w:val="both"/>
              <w:rPr>
                <w:lang w:val="en-GB"/>
              </w:rPr>
            </w:pPr>
            <w:r>
              <w:rPr>
                <w:lang w:val="en-GB"/>
              </w:rPr>
              <w:t>2.</w:t>
            </w:r>
            <w:r>
              <w:rPr>
                <w:lang w:val="en-GB"/>
              </w:rPr>
              <w:tab/>
            </w:r>
            <w:r w:rsidR="00186A79" w:rsidRPr="0031164B">
              <w:rPr>
                <w:lang w:val="en-GB"/>
              </w:rPr>
              <w:t xml:space="preserve">If Product is damaged by Center  </w:t>
            </w:r>
          </w:p>
        </w:tc>
      </w:tr>
      <w:tr w:rsidR="00A52FAF" w:rsidRPr="0031164B" w14:paraId="6F6CDCDD" w14:textId="518698C9" w:rsidTr="00CE0A53">
        <w:tc>
          <w:tcPr>
            <w:tcW w:w="2530" w:type="pct"/>
          </w:tcPr>
          <w:p w14:paraId="41D3A4FA" w14:textId="437E12C7" w:rsidR="00186A79" w:rsidRPr="006C26AE" w:rsidRDefault="00186A79" w:rsidP="00186A79">
            <w:pPr>
              <w:widowControl/>
              <w:numPr>
                <w:ilvl w:val="1"/>
                <w:numId w:val="11"/>
              </w:numPr>
              <w:autoSpaceDE/>
              <w:autoSpaceDN/>
              <w:adjustRightInd/>
            </w:pPr>
            <w:r w:rsidRPr="006C26AE">
              <w:t xml:space="preserve">Poškození produktu </w:t>
            </w:r>
            <w:r w:rsidR="00585171">
              <w:t>Centrem</w:t>
            </w:r>
            <w:r w:rsidRPr="006C26AE">
              <w:t xml:space="preserve"> může mimo jiné zahrnovat:</w:t>
            </w:r>
          </w:p>
        </w:tc>
        <w:tc>
          <w:tcPr>
            <w:tcW w:w="2470" w:type="pct"/>
          </w:tcPr>
          <w:p w14:paraId="33A03D39" w14:textId="25598442" w:rsidR="00186A79" w:rsidRPr="0031164B" w:rsidRDefault="00186A79" w:rsidP="00F35BB8">
            <w:pPr>
              <w:widowControl/>
              <w:numPr>
                <w:ilvl w:val="1"/>
                <w:numId w:val="11"/>
              </w:numPr>
              <w:tabs>
                <w:tab w:val="clear" w:pos="1440"/>
                <w:tab w:val="num" w:pos="1080"/>
              </w:tabs>
              <w:autoSpaceDE/>
              <w:autoSpaceDN/>
              <w:adjustRightInd/>
              <w:ind w:left="1172"/>
              <w:jc w:val="both"/>
              <w:rPr>
                <w:lang w:val="en-GB"/>
              </w:rPr>
            </w:pPr>
            <w:r w:rsidRPr="0031164B">
              <w:rPr>
                <w:lang w:val="en-GB"/>
              </w:rPr>
              <w:t>Damage of Product by Center may include but is not limited to:</w:t>
            </w:r>
          </w:p>
        </w:tc>
      </w:tr>
      <w:tr w:rsidR="00A52FAF" w:rsidRPr="0031164B" w14:paraId="51A0D616" w14:textId="76339591" w:rsidTr="00CE0A53">
        <w:trPr>
          <w:trHeight w:val="1969"/>
        </w:trPr>
        <w:tc>
          <w:tcPr>
            <w:tcW w:w="2530" w:type="pct"/>
          </w:tcPr>
          <w:p w14:paraId="5BD3D885" w14:textId="77777777" w:rsidR="006C26AE" w:rsidRPr="006C26AE" w:rsidRDefault="006C26AE" w:rsidP="00186A79">
            <w:pPr>
              <w:widowControl/>
              <w:numPr>
                <w:ilvl w:val="2"/>
                <w:numId w:val="11"/>
              </w:numPr>
              <w:autoSpaceDE/>
              <w:autoSpaceDN/>
              <w:adjustRightInd/>
            </w:pPr>
            <w:r w:rsidRPr="006C26AE">
              <w:t xml:space="preserve">Nesprávné skladování </w:t>
            </w:r>
          </w:p>
          <w:p w14:paraId="69265C07" w14:textId="77777777" w:rsidR="006C26AE" w:rsidRPr="006C26AE" w:rsidRDefault="006C26AE" w:rsidP="00186A79">
            <w:pPr>
              <w:widowControl/>
              <w:numPr>
                <w:ilvl w:val="2"/>
                <w:numId w:val="11"/>
              </w:numPr>
              <w:autoSpaceDE/>
              <w:autoSpaceDN/>
              <w:adjustRightInd/>
            </w:pPr>
            <w:r w:rsidRPr="006C26AE">
              <w:t>Fyzické poškození produktu (například poškození při pádu).</w:t>
            </w:r>
          </w:p>
          <w:p w14:paraId="3E620684" w14:textId="7FA56017" w:rsidR="006C26AE" w:rsidRPr="006C26AE" w:rsidRDefault="006C26AE" w:rsidP="00186A79">
            <w:pPr>
              <w:numPr>
                <w:ilvl w:val="2"/>
                <w:numId w:val="11"/>
              </w:numPr>
            </w:pPr>
            <w:r w:rsidRPr="006C26AE">
              <w:t>Nesprávná příprava produktu k podání</w:t>
            </w:r>
          </w:p>
        </w:tc>
        <w:tc>
          <w:tcPr>
            <w:tcW w:w="2470" w:type="pct"/>
          </w:tcPr>
          <w:p w14:paraId="03B92BB4" w14:textId="77777777" w:rsidR="006C26AE" w:rsidRPr="006C26AE" w:rsidRDefault="006C26AE" w:rsidP="00F35BB8">
            <w:pPr>
              <w:widowControl/>
              <w:numPr>
                <w:ilvl w:val="0"/>
                <w:numId w:val="100"/>
              </w:numPr>
              <w:tabs>
                <w:tab w:val="clear" w:pos="2160"/>
              </w:tabs>
              <w:autoSpaceDE/>
              <w:autoSpaceDN/>
              <w:adjustRightInd/>
              <w:ind w:left="1597"/>
              <w:jc w:val="both"/>
            </w:pPr>
            <w:r w:rsidRPr="006C26AE">
              <w:t xml:space="preserve">Improper storage </w:t>
            </w:r>
          </w:p>
          <w:p w14:paraId="71CE4E09" w14:textId="77777777" w:rsidR="006C26AE" w:rsidRPr="006C26AE" w:rsidRDefault="006C26AE" w:rsidP="00F35BB8">
            <w:pPr>
              <w:widowControl/>
              <w:numPr>
                <w:ilvl w:val="0"/>
                <w:numId w:val="100"/>
              </w:numPr>
              <w:tabs>
                <w:tab w:val="clear" w:pos="2160"/>
              </w:tabs>
              <w:autoSpaceDE/>
              <w:autoSpaceDN/>
              <w:adjustRightInd/>
              <w:ind w:left="1597"/>
              <w:jc w:val="both"/>
            </w:pPr>
            <w:r w:rsidRPr="006C26AE">
              <w:t>Product physically damaged (example, damage from dropping)</w:t>
            </w:r>
          </w:p>
          <w:p w14:paraId="33FDC15B" w14:textId="1294B193" w:rsidR="006C26AE" w:rsidRPr="0031164B" w:rsidRDefault="006C26AE" w:rsidP="00F35BB8">
            <w:pPr>
              <w:widowControl/>
              <w:numPr>
                <w:ilvl w:val="0"/>
                <w:numId w:val="100"/>
              </w:numPr>
              <w:tabs>
                <w:tab w:val="clear" w:pos="2160"/>
              </w:tabs>
              <w:autoSpaceDE/>
              <w:autoSpaceDN/>
              <w:adjustRightInd/>
              <w:ind w:left="1597"/>
              <w:jc w:val="both"/>
              <w:rPr>
                <w:lang w:val="en-GB"/>
              </w:rPr>
            </w:pPr>
            <w:r w:rsidRPr="006C26AE">
              <w:t>Improper preparation of Product for administration</w:t>
            </w:r>
          </w:p>
        </w:tc>
      </w:tr>
      <w:tr w:rsidR="00A52FAF" w:rsidRPr="0031164B" w14:paraId="68A52FEA" w14:textId="1D0ACD6C" w:rsidTr="00CE0A53">
        <w:tc>
          <w:tcPr>
            <w:tcW w:w="2530" w:type="pct"/>
          </w:tcPr>
          <w:p w14:paraId="105D5C28" w14:textId="77777777" w:rsidR="00186A79" w:rsidRPr="006C26AE" w:rsidRDefault="00186A79" w:rsidP="00186A79"/>
        </w:tc>
        <w:tc>
          <w:tcPr>
            <w:tcW w:w="2470" w:type="pct"/>
          </w:tcPr>
          <w:p w14:paraId="42776F0B"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47DB7250" w14:textId="7AEBC56B" w:rsidTr="00CE0A53">
        <w:tc>
          <w:tcPr>
            <w:tcW w:w="2530" w:type="pct"/>
          </w:tcPr>
          <w:p w14:paraId="242C057E" w14:textId="4FBBE4E5" w:rsidR="00186A79" w:rsidRPr="006C26AE" w:rsidRDefault="00186A79" w:rsidP="00186A79">
            <w:pPr>
              <w:widowControl/>
              <w:numPr>
                <w:ilvl w:val="0"/>
                <w:numId w:val="11"/>
              </w:numPr>
              <w:autoSpaceDE/>
              <w:autoSpaceDN/>
              <w:adjustRightInd/>
            </w:pPr>
            <w:r w:rsidRPr="006C26AE">
              <w:t xml:space="preserve">Pokud je produkt poškozen před potvrzeným přijetím  </w:t>
            </w:r>
          </w:p>
        </w:tc>
        <w:tc>
          <w:tcPr>
            <w:tcW w:w="2470" w:type="pct"/>
          </w:tcPr>
          <w:p w14:paraId="4201A490" w14:textId="6DC2A982" w:rsidR="00186A79" w:rsidRPr="0031164B" w:rsidRDefault="006C26AE" w:rsidP="00F35BB8">
            <w:pPr>
              <w:widowControl/>
              <w:autoSpaceDE/>
              <w:autoSpaceDN/>
              <w:adjustRightInd/>
              <w:spacing w:after="160" w:line="259" w:lineRule="auto"/>
              <w:jc w:val="both"/>
              <w:rPr>
                <w:lang w:val="en-GB"/>
              </w:rPr>
            </w:pPr>
            <w:r>
              <w:rPr>
                <w:lang w:val="en-GB"/>
              </w:rPr>
              <w:t>3.</w:t>
            </w:r>
            <w:r>
              <w:rPr>
                <w:lang w:val="en-GB"/>
              </w:rPr>
              <w:tab/>
            </w:r>
            <w:r w:rsidR="00186A79" w:rsidRPr="0031164B">
              <w:rPr>
                <w:lang w:val="en-GB"/>
              </w:rPr>
              <w:t xml:space="preserve">If Product is damaged prior to confirmed receipt  </w:t>
            </w:r>
          </w:p>
        </w:tc>
      </w:tr>
      <w:tr w:rsidR="00A52FAF" w:rsidRPr="0031164B" w14:paraId="1F9DAD86" w14:textId="7988555A" w:rsidTr="00CE0A53">
        <w:tc>
          <w:tcPr>
            <w:tcW w:w="2530" w:type="pct"/>
          </w:tcPr>
          <w:p w14:paraId="48BD421A" w14:textId="77777777" w:rsidR="00186A79" w:rsidRPr="006C26AE" w:rsidRDefault="00186A79" w:rsidP="00186A79">
            <w:pPr>
              <w:widowControl/>
              <w:numPr>
                <w:ilvl w:val="1"/>
                <w:numId w:val="11"/>
              </w:numPr>
              <w:autoSpaceDE/>
              <w:autoSpaceDN/>
              <w:adjustRightInd/>
            </w:pPr>
            <w:r w:rsidRPr="006C26AE">
              <w:t>Poškození produktu před dodáním může mimo jiné zahrnovat:</w:t>
            </w:r>
          </w:p>
        </w:tc>
        <w:tc>
          <w:tcPr>
            <w:tcW w:w="2470" w:type="pct"/>
          </w:tcPr>
          <w:p w14:paraId="7E3F5C3F" w14:textId="5FC2D525" w:rsidR="00186A79" w:rsidRPr="0031164B" w:rsidRDefault="00186A79" w:rsidP="00F35BB8">
            <w:pPr>
              <w:widowControl/>
              <w:numPr>
                <w:ilvl w:val="1"/>
                <w:numId w:val="11"/>
              </w:numPr>
              <w:tabs>
                <w:tab w:val="clear" w:pos="1440"/>
                <w:tab w:val="num" w:pos="1080"/>
              </w:tabs>
              <w:autoSpaceDE/>
              <w:autoSpaceDN/>
              <w:adjustRightInd/>
              <w:ind w:left="1172"/>
              <w:jc w:val="both"/>
              <w:rPr>
                <w:lang w:val="en-GB"/>
              </w:rPr>
            </w:pPr>
            <w:r w:rsidRPr="0031164B">
              <w:rPr>
                <w:lang w:val="en-GB"/>
              </w:rPr>
              <w:t>Damage of Product prior to delivery may include but is not limited to:</w:t>
            </w:r>
          </w:p>
        </w:tc>
      </w:tr>
      <w:tr w:rsidR="00A52FAF" w:rsidRPr="0031164B" w14:paraId="23BDFB5C" w14:textId="5077DACF" w:rsidTr="00CE0A53">
        <w:trPr>
          <w:trHeight w:val="3312"/>
        </w:trPr>
        <w:tc>
          <w:tcPr>
            <w:tcW w:w="2530" w:type="pct"/>
          </w:tcPr>
          <w:p w14:paraId="6675A285" w14:textId="77777777" w:rsidR="006C26AE" w:rsidRPr="006C26AE" w:rsidRDefault="006C26AE" w:rsidP="00186A79">
            <w:pPr>
              <w:widowControl/>
              <w:numPr>
                <w:ilvl w:val="2"/>
                <w:numId w:val="11"/>
              </w:numPr>
              <w:autoSpaceDE/>
              <w:autoSpaceDN/>
              <w:adjustRightInd/>
            </w:pPr>
            <w:r w:rsidRPr="006C26AE">
              <w:t>Nesprávný dodaný produkt</w:t>
            </w:r>
          </w:p>
          <w:p w14:paraId="49E8A8AD" w14:textId="77777777" w:rsidR="006C26AE" w:rsidRPr="006C26AE" w:rsidRDefault="006C26AE" w:rsidP="00186A79">
            <w:pPr>
              <w:widowControl/>
              <w:numPr>
                <w:ilvl w:val="2"/>
                <w:numId w:val="11"/>
              </w:numPr>
              <w:autoSpaceDE/>
              <w:autoSpaceDN/>
              <w:adjustRightInd/>
            </w:pPr>
            <w:r w:rsidRPr="006C26AE">
              <w:t>Ztrátu při přepravě</w:t>
            </w:r>
          </w:p>
          <w:p w14:paraId="7D9BBEF3" w14:textId="77777777" w:rsidR="006C26AE" w:rsidRPr="006C26AE" w:rsidRDefault="006C26AE" w:rsidP="00186A79">
            <w:pPr>
              <w:widowControl/>
              <w:numPr>
                <w:ilvl w:val="2"/>
                <w:numId w:val="11"/>
              </w:numPr>
              <w:autoSpaceDE/>
              <w:autoSpaceDN/>
              <w:adjustRightInd/>
            </w:pPr>
            <w:r w:rsidRPr="006C26AE">
              <w:t>Viditelné fyzické poškození obalu produktu, například prasklé lahvičky nebo netěsnící sáčky</w:t>
            </w:r>
          </w:p>
          <w:p w14:paraId="7F16AB7E" w14:textId="5AF962C4" w:rsidR="006C26AE" w:rsidRPr="006C26AE" w:rsidRDefault="006C26AE" w:rsidP="00186A79">
            <w:pPr>
              <w:numPr>
                <w:ilvl w:val="2"/>
                <w:numId w:val="11"/>
              </w:numPr>
            </w:pPr>
            <w:r w:rsidRPr="006C26AE">
              <w:t>Mechanickou poruchu přepravce produktu, která způsobila poškození produktu</w:t>
            </w:r>
          </w:p>
        </w:tc>
        <w:tc>
          <w:tcPr>
            <w:tcW w:w="2470" w:type="pct"/>
          </w:tcPr>
          <w:p w14:paraId="541E4694" w14:textId="77777777" w:rsidR="006C26AE" w:rsidRPr="006C26AE" w:rsidRDefault="006C26AE" w:rsidP="00F35BB8">
            <w:pPr>
              <w:widowControl/>
              <w:numPr>
                <w:ilvl w:val="0"/>
                <w:numId w:val="101"/>
              </w:numPr>
              <w:tabs>
                <w:tab w:val="clear" w:pos="2160"/>
              </w:tabs>
              <w:autoSpaceDE/>
              <w:autoSpaceDN/>
              <w:adjustRightInd/>
              <w:ind w:left="1739"/>
              <w:jc w:val="both"/>
            </w:pPr>
            <w:r w:rsidRPr="006C26AE">
              <w:t>Incorrect Product delivered</w:t>
            </w:r>
          </w:p>
          <w:p w14:paraId="28868D35" w14:textId="77777777" w:rsidR="006C26AE" w:rsidRPr="006C26AE" w:rsidRDefault="006C26AE" w:rsidP="00F35BB8">
            <w:pPr>
              <w:widowControl/>
              <w:numPr>
                <w:ilvl w:val="0"/>
                <w:numId w:val="101"/>
              </w:numPr>
              <w:tabs>
                <w:tab w:val="clear" w:pos="2160"/>
              </w:tabs>
              <w:autoSpaceDE/>
              <w:autoSpaceDN/>
              <w:adjustRightInd/>
              <w:ind w:left="1739"/>
              <w:jc w:val="both"/>
            </w:pPr>
            <w:r w:rsidRPr="006C26AE">
              <w:t>Lost in transit</w:t>
            </w:r>
          </w:p>
          <w:p w14:paraId="4CE4043E" w14:textId="77777777" w:rsidR="006C26AE" w:rsidRPr="006C26AE" w:rsidRDefault="006C26AE" w:rsidP="00F35BB8">
            <w:pPr>
              <w:widowControl/>
              <w:numPr>
                <w:ilvl w:val="0"/>
                <w:numId w:val="101"/>
              </w:numPr>
              <w:tabs>
                <w:tab w:val="clear" w:pos="2160"/>
              </w:tabs>
              <w:autoSpaceDE/>
              <w:autoSpaceDN/>
              <w:adjustRightInd/>
              <w:ind w:left="1739"/>
              <w:jc w:val="both"/>
            </w:pPr>
            <w:r w:rsidRPr="006C26AE">
              <w:t>Visible physical damage to Product container such as cracked vials or leaking bags</w:t>
            </w:r>
          </w:p>
          <w:p w14:paraId="21122665" w14:textId="62839E21" w:rsidR="006C26AE" w:rsidRPr="0031164B" w:rsidRDefault="006C26AE" w:rsidP="00F35BB8">
            <w:pPr>
              <w:widowControl/>
              <w:numPr>
                <w:ilvl w:val="0"/>
                <w:numId w:val="101"/>
              </w:numPr>
              <w:tabs>
                <w:tab w:val="clear" w:pos="2160"/>
              </w:tabs>
              <w:autoSpaceDE/>
              <w:autoSpaceDN/>
              <w:adjustRightInd/>
              <w:ind w:left="1739"/>
              <w:jc w:val="both"/>
              <w:rPr>
                <w:lang w:val="en-GB"/>
              </w:rPr>
            </w:pPr>
            <w:r w:rsidRPr="006C26AE">
              <w:t>Product shipper mechanical failure causing damage to Product</w:t>
            </w:r>
          </w:p>
        </w:tc>
      </w:tr>
      <w:tr w:rsidR="00A52FAF" w:rsidRPr="0031164B" w14:paraId="39B2B60E" w14:textId="45772E29" w:rsidTr="00CE0A53">
        <w:tc>
          <w:tcPr>
            <w:tcW w:w="2530" w:type="pct"/>
          </w:tcPr>
          <w:p w14:paraId="77880EF5" w14:textId="77777777" w:rsidR="00186A79" w:rsidRPr="006C26AE" w:rsidRDefault="00186A79" w:rsidP="00186A79">
            <w:pPr>
              <w:spacing w:after="120"/>
              <w:rPr>
                <w:b/>
              </w:rPr>
            </w:pPr>
          </w:p>
        </w:tc>
        <w:tc>
          <w:tcPr>
            <w:tcW w:w="2470" w:type="pct"/>
          </w:tcPr>
          <w:p w14:paraId="0832A1DB" w14:textId="77777777" w:rsidR="00186A79" w:rsidRPr="0031164B" w:rsidRDefault="00186A79" w:rsidP="00F35BB8">
            <w:pPr>
              <w:widowControl/>
              <w:autoSpaceDE/>
              <w:autoSpaceDN/>
              <w:adjustRightInd/>
              <w:spacing w:after="160" w:line="259" w:lineRule="auto"/>
              <w:jc w:val="both"/>
              <w:rPr>
                <w:b/>
                <w:lang w:val="en-GB"/>
              </w:rPr>
            </w:pPr>
          </w:p>
        </w:tc>
      </w:tr>
      <w:tr w:rsidR="00A52FAF" w:rsidRPr="0031164B" w14:paraId="2D4ABC04" w14:textId="19780290" w:rsidTr="00CE0A53">
        <w:tc>
          <w:tcPr>
            <w:tcW w:w="2530" w:type="pct"/>
          </w:tcPr>
          <w:p w14:paraId="17FF040A" w14:textId="56A3268C" w:rsidR="00186A79" w:rsidRPr="006C26AE" w:rsidRDefault="00186A79" w:rsidP="00186A79">
            <w:pPr>
              <w:jc w:val="both"/>
              <w:rPr>
                <w:color w:val="000000" w:themeColor="text1"/>
              </w:rPr>
            </w:pPr>
            <w:r w:rsidRPr="006C26AE">
              <w:t xml:space="preserve">Chce-li </w:t>
            </w:r>
            <w:r w:rsidR="0010272D">
              <w:t xml:space="preserve">Centrum </w:t>
            </w:r>
            <w:r w:rsidRPr="006C26AE">
              <w:t xml:space="preserve">požádat o výměnu produktu, musí zavolat na provozní linku CAR T a vyplnit a odeslat společnosti </w:t>
            </w:r>
            <w:r w:rsidRPr="006C26AE">
              <w:rPr>
                <w:sz w:val="22"/>
                <w:szCs w:val="22"/>
              </w:rPr>
              <w:t>BMS</w:t>
            </w:r>
            <w:r w:rsidRPr="006C26AE">
              <w:t xml:space="preserve"> formulář žádosti o výměnu produktu</w:t>
            </w:r>
            <w:r w:rsidRPr="006C26AE">
              <w:rPr>
                <w:color w:val="000000" w:themeColor="text1"/>
              </w:rPr>
              <w:t>.</w:t>
            </w:r>
          </w:p>
        </w:tc>
        <w:tc>
          <w:tcPr>
            <w:tcW w:w="2470" w:type="pct"/>
          </w:tcPr>
          <w:p w14:paraId="2C07040A" w14:textId="2432B02D" w:rsidR="00186A79" w:rsidRPr="0031164B" w:rsidRDefault="00186A79" w:rsidP="00F35BB8">
            <w:pPr>
              <w:widowControl/>
              <w:autoSpaceDE/>
              <w:autoSpaceDN/>
              <w:adjustRightInd/>
              <w:spacing w:after="160" w:line="259" w:lineRule="auto"/>
              <w:jc w:val="both"/>
              <w:rPr>
                <w:color w:val="000000" w:themeColor="text1"/>
                <w:lang w:val="en-GB"/>
              </w:rPr>
            </w:pPr>
            <w:r w:rsidRPr="0031164B">
              <w:rPr>
                <w:lang w:val="en-GB"/>
              </w:rPr>
              <w:t xml:space="preserve">To request a Product Replacement, Center must call the CAR T Operations Line and complete and submit to </w:t>
            </w:r>
            <w:r w:rsidRPr="0031164B">
              <w:rPr>
                <w:sz w:val="22"/>
                <w:szCs w:val="22"/>
                <w:lang w:val="en-GB"/>
              </w:rPr>
              <w:t>BMS</w:t>
            </w:r>
            <w:r w:rsidRPr="0031164B">
              <w:rPr>
                <w:lang w:val="en-GB"/>
              </w:rPr>
              <w:t xml:space="preserve"> the Product Replacement Request Form</w:t>
            </w:r>
            <w:r w:rsidRPr="0031164B">
              <w:rPr>
                <w:color w:val="000000" w:themeColor="text1"/>
                <w:lang w:val="en-GB"/>
              </w:rPr>
              <w:t>.</w:t>
            </w:r>
          </w:p>
        </w:tc>
      </w:tr>
      <w:tr w:rsidR="00A52FAF" w:rsidRPr="0031164B" w14:paraId="6B72D55A" w14:textId="479D7F32" w:rsidTr="00CE0A53">
        <w:tc>
          <w:tcPr>
            <w:tcW w:w="2530" w:type="pct"/>
          </w:tcPr>
          <w:p w14:paraId="271BAAC3" w14:textId="77777777" w:rsidR="00186A79" w:rsidRPr="006C26AE" w:rsidRDefault="00186A79" w:rsidP="00186A79">
            <w:pPr>
              <w:pStyle w:val="Odstavecseseznamem"/>
              <w:jc w:val="both"/>
              <w:rPr>
                <w:rFonts w:ascii="Times New Roman" w:hAnsi="Times New Roman" w:cs="Times New Roman"/>
                <w:color w:val="000000" w:themeColor="text1"/>
                <w:sz w:val="24"/>
                <w:szCs w:val="24"/>
              </w:rPr>
            </w:pPr>
          </w:p>
        </w:tc>
        <w:tc>
          <w:tcPr>
            <w:tcW w:w="2470" w:type="pct"/>
          </w:tcPr>
          <w:p w14:paraId="00257AA2" w14:textId="77777777" w:rsidR="00186A79" w:rsidRPr="0031164B" w:rsidRDefault="00186A79" w:rsidP="00F35BB8">
            <w:pPr>
              <w:widowControl/>
              <w:autoSpaceDE/>
              <w:autoSpaceDN/>
              <w:adjustRightInd/>
              <w:spacing w:after="160" w:line="259" w:lineRule="auto"/>
              <w:jc w:val="both"/>
              <w:rPr>
                <w:rFonts w:eastAsia="Calibri"/>
                <w:color w:val="000000" w:themeColor="text1"/>
                <w:lang w:val="en-GB" w:eastAsia="en-US"/>
              </w:rPr>
            </w:pPr>
          </w:p>
        </w:tc>
      </w:tr>
      <w:tr w:rsidR="00A52FAF" w:rsidRPr="0031164B" w14:paraId="6E4DB894" w14:textId="38DE47AF" w:rsidTr="00CE0A53">
        <w:tc>
          <w:tcPr>
            <w:tcW w:w="2530" w:type="pct"/>
          </w:tcPr>
          <w:p w14:paraId="2F6FC7B8" w14:textId="11ACB018" w:rsidR="00186A79" w:rsidRPr="006C26AE" w:rsidRDefault="005A5FC5" w:rsidP="00186A79">
            <w:pPr>
              <w:tabs>
                <w:tab w:val="left" w:pos="3195"/>
              </w:tabs>
              <w:jc w:val="both"/>
              <w:rPr>
                <w:bCs/>
              </w:rPr>
            </w:pPr>
            <w:r>
              <w:t>Centrum</w:t>
            </w:r>
            <w:r w:rsidR="00186A79" w:rsidRPr="006C26AE">
              <w:t xml:space="preserve"> bude odpovědné za náklady pouze na jeden (1) produkt bez ohledu na to, zda je náhradní produkt již vyrobeným </w:t>
            </w:r>
            <w:r w:rsidR="00186A79" w:rsidRPr="006C26AE">
              <w:lastRenderedPageBreak/>
              <w:t xml:space="preserve">nadbytečným produktem nebo bude vyroben z dodatečně zpracovaných aferézních materiálů nebo z nově odebraných aferézních materiálů. </w:t>
            </w:r>
            <w:r w:rsidR="006559F5">
              <w:t>Centrum</w:t>
            </w:r>
            <w:r w:rsidR="00186A79" w:rsidRPr="006C26AE">
              <w:t xml:space="preserve"> nebude fakturovat pacientovi ani jeho plátci žádný produkt, za který </w:t>
            </w:r>
            <w:r w:rsidR="006559F5">
              <w:t>Centrum</w:t>
            </w:r>
            <w:r w:rsidR="00186A79" w:rsidRPr="006C26AE">
              <w:t xml:space="preserve"> nezaplatí společnosti </w:t>
            </w:r>
            <w:r w:rsidR="00186A79" w:rsidRPr="006C26AE">
              <w:rPr>
                <w:sz w:val="22"/>
                <w:szCs w:val="22"/>
              </w:rPr>
              <w:t>BMS</w:t>
            </w:r>
            <w:r w:rsidR="00186A79" w:rsidRPr="006C26AE">
              <w:t>.</w:t>
            </w:r>
          </w:p>
        </w:tc>
        <w:tc>
          <w:tcPr>
            <w:tcW w:w="2470" w:type="pct"/>
          </w:tcPr>
          <w:p w14:paraId="4270CC35" w14:textId="7C56E7FD" w:rsidR="00186A79" w:rsidRPr="0031164B" w:rsidRDefault="00186A79" w:rsidP="00F35BB8">
            <w:pPr>
              <w:widowControl/>
              <w:autoSpaceDE/>
              <w:autoSpaceDN/>
              <w:adjustRightInd/>
              <w:spacing w:after="160" w:line="259" w:lineRule="auto"/>
              <w:jc w:val="both"/>
              <w:rPr>
                <w:bCs/>
                <w:lang w:val="en-GB"/>
              </w:rPr>
            </w:pPr>
            <w:r w:rsidRPr="0031164B">
              <w:rPr>
                <w:lang w:val="en-GB"/>
              </w:rPr>
              <w:lastRenderedPageBreak/>
              <w:t xml:space="preserve">Center will be responsible for the cost of only one (1) Product, irrespective of whether the Product Replacement is already </w:t>
            </w:r>
            <w:r w:rsidRPr="0031164B">
              <w:rPr>
                <w:lang w:val="en-GB"/>
              </w:rPr>
              <w:lastRenderedPageBreak/>
              <w:t xml:space="preserve">manufactured Excess Product or will be manufactured from extra Processed Apheresis Materials or from newly collected Apheresis Materials. </w:t>
            </w:r>
            <w:r w:rsidRPr="0031164B">
              <w:rPr>
                <w:bCs/>
                <w:lang w:val="en-GB"/>
              </w:rPr>
              <w:t xml:space="preserve">Center shall not invoice patient or their payer for any Product for which Center does not pay </w:t>
            </w:r>
            <w:r w:rsidRPr="0031164B">
              <w:rPr>
                <w:sz w:val="22"/>
                <w:szCs w:val="22"/>
                <w:lang w:val="en-GB"/>
              </w:rPr>
              <w:t>BMS</w:t>
            </w:r>
            <w:r w:rsidRPr="0031164B">
              <w:rPr>
                <w:bCs/>
                <w:lang w:val="en-GB"/>
              </w:rPr>
              <w:t>.</w:t>
            </w:r>
          </w:p>
        </w:tc>
      </w:tr>
      <w:tr w:rsidR="00A52FAF" w:rsidRPr="0031164B" w14:paraId="7353EF1C" w14:textId="2D0ED3D7" w:rsidTr="00CE0A53">
        <w:tc>
          <w:tcPr>
            <w:tcW w:w="2530" w:type="pct"/>
          </w:tcPr>
          <w:p w14:paraId="36AF04B2" w14:textId="77777777" w:rsidR="00186A79" w:rsidRPr="006C26AE" w:rsidRDefault="00186A79" w:rsidP="00186A79">
            <w:pPr>
              <w:tabs>
                <w:tab w:val="left" w:pos="3195"/>
              </w:tabs>
              <w:jc w:val="both"/>
            </w:pPr>
          </w:p>
        </w:tc>
        <w:tc>
          <w:tcPr>
            <w:tcW w:w="2470" w:type="pct"/>
          </w:tcPr>
          <w:p w14:paraId="2CE1AD8F"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542599ED" w14:textId="68CC013E" w:rsidTr="00CE0A53">
        <w:tc>
          <w:tcPr>
            <w:tcW w:w="2530" w:type="pct"/>
          </w:tcPr>
          <w:p w14:paraId="76090C31" w14:textId="28EC31B5" w:rsidR="00186A79" w:rsidRPr="006C26AE" w:rsidRDefault="00186A79" w:rsidP="00186A79">
            <w:pPr>
              <w:tabs>
                <w:tab w:val="left" w:pos="3195"/>
              </w:tabs>
              <w:jc w:val="both"/>
            </w:pPr>
            <w:r w:rsidRPr="006C26AE">
              <w:t xml:space="preserve">Společnost </w:t>
            </w:r>
            <w:r w:rsidRPr="006C26AE">
              <w:rPr>
                <w:sz w:val="22"/>
                <w:szCs w:val="22"/>
              </w:rPr>
              <w:t>BMS</w:t>
            </w:r>
            <w:r w:rsidRPr="006C26AE">
              <w:t xml:space="preserve"> sdělí </w:t>
            </w:r>
            <w:r w:rsidR="000F3658">
              <w:t>Centru</w:t>
            </w:r>
            <w:r w:rsidRPr="006C26AE">
              <w:t xml:space="preserve"> veškeré zásady a/nebo další pokyny k provádění těchto podmínek.</w:t>
            </w:r>
          </w:p>
        </w:tc>
        <w:tc>
          <w:tcPr>
            <w:tcW w:w="2470" w:type="pct"/>
          </w:tcPr>
          <w:p w14:paraId="75588D7F" w14:textId="61394981" w:rsidR="00186A79" w:rsidRPr="0031164B" w:rsidRDefault="00186A79" w:rsidP="00F35BB8">
            <w:pPr>
              <w:widowControl/>
              <w:autoSpaceDE/>
              <w:autoSpaceDN/>
              <w:adjustRightInd/>
              <w:spacing w:after="160" w:line="259" w:lineRule="auto"/>
              <w:jc w:val="both"/>
              <w:rPr>
                <w:lang w:val="en-GB"/>
              </w:rPr>
            </w:pPr>
            <w:r w:rsidRPr="0031164B">
              <w:rPr>
                <w:sz w:val="22"/>
                <w:szCs w:val="22"/>
                <w:lang w:val="en-GB"/>
              </w:rPr>
              <w:t xml:space="preserve">BMS </w:t>
            </w:r>
            <w:r w:rsidRPr="0031164B">
              <w:rPr>
                <w:lang w:val="en-GB"/>
              </w:rPr>
              <w:t>shall communicate to Center any policies and/or additional guidance implementing these Terms and Conditions.</w:t>
            </w:r>
          </w:p>
        </w:tc>
      </w:tr>
      <w:tr w:rsidR="00A52FAF" w:rsidRPr="0031164B" w14:paraId="275D8C95" w14:textId="6DC5CA2E" w:rsidTr="00CE0A53">
        <w:tc>
          <w:tcPr>
            <w:tcW w:w="2530" w:type="pct"/>
          </w:tcPr>
          <w:p w14:paraId="418F091E" w14:textId="77777777" w:rsidR="00186A79" w:rsidRPr="006C26AE" w:rsidRDefault="00186A79" w:rsidP="00186A79">
            <w:pPr>
              <w:jc w:val="both"/>
            </w:pPr>
          </w:p>
        </w:tc>
        <w:tc>
          <w:tcPr>
            <w:tcW w:w="2470" w:type="pct"/>
          </w:tcPr>
          <w:p w14:paraId="57EA2B43"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17D0364F" w14:textId="4D8AA08D" w:rsidTr="00CE0A53">
        <w:tc>
          <w:tcPr>
            <w:tcW w:w="2530" w:type="pct"/>
          </w:tcPr>
          <w:p w14:paraId="4AE6EAF3" w14:textId="77777777" w:rsidR="00186A79" w:rsidRPr="006C26AE" w:rsidRDefault="00186A79" w:rsidP="00186A79">
            <w:pPr>
              <w:tabs>
                <w:tab w:val="left" w:pos="3195"/>
              </w:tabs>
              <w:rPr>
                <w:b/>
                <w:bCs/>
                <w:u w:val="single"/>
              </w:rPr>
            </w:pPr>
            <w:r w:rsidRPr="006C26AE">
              <w:rPr>
                <w:b/>
                <w:bCs/>
                <w:u w:val="single"/>
              </w:rPr>
              <w:t>Vrácení nebo zničení produktu</w:t>
            </w:r>
          </w:p>
        </w:tc>
        <w:tc>
          <w:tcPr>
            <w:tcW w:w="2470" w:type="pct"/>
          </w:tcPr>
          <w:p w14:paraId="5A3E1AB0" w14:textId="1B92A722" w:rsidR="00186A79" w:rsidRPr="0031164B" w:rsidRDefault="00186A79" w:rsidP="00F35BB8">
            <w:pPr>
              <w:widowControl/>
              <w:autoSpaceDE/>
              <w:autoSpaceDN/>
              <w:adjustRightInd/>
              <w:spacing w:after="160" w:line="259" w:lineRule="auto"/>
              <w:jc w:val="both"/>
              <w:rPr>
                <w:b/>
                <w:bCs/>
                <w:u w:val="single"/>
                <w:lang w:val="en-GB"/>
              </w:rPr>
            </w:pPr>
            <w:r w:rsidRPr="0031164B">
              <w:rPr>
                <w:b/>
                <w:bCs/>
                <w:u w:val="single"/>
                <w:lang w:val="en-GB"/>
              </w:rPr>
              <w:t>Product Return or Destruction</w:t>
            </w:r>
          </w:p>
        </w:tc>
      </w:tr>
      <w:tr w:rsidR="00A52FAF" w:rsidRPr="0031164B" w14:paraId="4E78797F" w14:textId="64228AFB" w:rsidTr="00CE0A53">
        <w:tc>
          <w:tcPr>
            <w:tcW w:w="2530" w:type="pct"/>
          </w:tcPr>
          <w:p w14:paraId="29C039DC" w14:textId="77777777" w:rsidR="00186A79" w:rsidRPr="006C26AE" w:rsidRDefault="00186A79" w:rsidP="00186A79"/>
        </w:tc>
        <w:tc>
          <w:tcPr>
            <w:tcW w:w="2470" w:type="pct"/>
          </w:tcPr>
          <w:p w14:paraId="1C3AB1E7"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09C21C56" w14:textId="12C7A1EB" w:rsidTr="00CE0A53">
        <w:tc>
          <w:tcPr>
            <w:tcW w:w="2530" w:type="pct"/>
          </w:tcPr>
          <w:p w14:paraId="7ED9EF66" w14:textId="77777777" w:rsidR="00186A79" w:rsidRPr="006C26AE" w:rsidRDefault="00186A79" w:rsidP="00186A79">
            <w:pPr>
              <w:jc w:val="both"/>
            </w:pPr>
            <w:r w:rsidRPr="006C26AE">
              <w:t xml:space="preserve">V závislosti na okolnostech a důvodu výměny produktu nebo zrušení objednávky produktu může společnost </w:t>
            </w:r>
            <w:r w:rsidRPr="006C26AE">
              <w:rPr>
                <w:sz w:val="22"/>
                <w:szCs w:val="22"/>
              </w:rPr>
              <w:t>BMS</w:t>
            </w:r>
            <w:r w:rsidRPr="006C26AE">
              <w:t xml:space="preserve"> zajistit vrácení produktu, a to na vlastní náklady.  Společnost </w:t>
            </w:r>
            <w:r w:rsidRPr="006C26AE">
              <w:rPr>
                <w:sz w:val="22"/>
                <w:szCs w:val="22"/>
              </w:rPr>
              <w:t>BMS</w:t>
            </w:r>
            <w:r w:rsidRPr="006C26AE">
              <w:t xml:space="preserve"> řádně zlikviduje všechny vrácené produkty, které nebudou použity k jinému zákonnému účelu (příklady: vyšetřování závad kvality nebo stažení z trhu). Společnost </w:t>
            </w:r>
            <w:r w:rsidRPr="006C26AE">
              <w:rPr>
                <w:sz w:val="22"/>
                <w:szCs w:val="22"/>
              </w:rPr>
              <w:t>BMS</w:t>
            </w:r>
            <w:r w:rsidRPr="006C26AE">
              <w:t xml:space="preserve"> je povinna řádně zlikvidovat všechny zbývající vrácené produkty po ukončení všech dalších zákonných způsobů použití těchto vrácených produktů a zdokumentovat související postupy. </w:t>
            </w:r>
          </w:p>
        </w:tc>
        <w:tc>
          <w:tcPr>
            <w:tcW w:w="2470" w:type="pct"/>
          </w:tcPr>
          <w:p w14:paraId="0F9B744A" w14:textId="59C8EC09" w:rsidR="00186A79" w:rsidRPr="0031164B" w:rsidRDefault="00186A79" w:rsidP="00F35BB8">
            <w:pPr>
              <w:widowControl/>
              <w:autoSpaceDE/>
              <w:autoSpaceDN/>
              <w:adjustRightInd/>
              <w:spacing w:after="160" w:line="259" w:lineRule="auto"/>
              <w:jc w:val="both"/>
              <w:rPr>
                <w:lang w:val="en-GB"/>
              </w:rPr>
            </w:pPr>
            <w:r w:rsidRPr="0031164B">
              <w:rPr>
                <w:lang w:val="en-GB"/>
              </w:rPr>
              <w:t xml:space="preserve">Depending upon the circumstances and reason for Product Replacement or Product Order Cancellation, </w:t>
            </w:r>
            <w:r w:rsidRPr="0031164B">
              <w:rPr>
                <w:sz w:val="22"/>
                <w:szCs w:val="22"/>
                <w:lang w:val="en-GB"/>
              </w:rPr>
              <w:t>BMS</w:t>
            </w:r>
            <w:r w:rsidRPr="0031164B">
              <w:rPr>
                <w:lang w:val="en-GB"/>
              </w:rPr>
              <w:t xml:space="preserve"> may arrange for a Product Return, at </w:t>
            </w:r>
            <w:r w:rsidRPr="0031164B">
              <w:rPr>
                <w:sz w:val="22"/>
                <w:szCs w:val="22"/>
                <w:lang w:val="en-GB"/>
              </w:rPr>
              <w:t>BMS’</w:t>
            </w:r>
            <w:r w:rsidRPr="0031164B">
              <w:rPr>
                <w:lang w:val="en-GB"/>
              </w:rPr>
              <w:t xml:space="preserve"> sole expense.  </w:t>
            </w:r>
            <w:r w:rsidRPr="0031164B">
              <w:rPr>
                <w:sz w:val="22"/>
                <w:szCs w:val="22"/>
                <w:lang w:val="en-GB"/>
              </w:rPr>
              <w:t>BMS</w:t>
            </w:r>
            <w:r w:rsidRPr="0031164B">
              <w:rPr>
                <w:lang w:val="en-GB"/>
              </w:rPr>
              <w:t xml:space="preserve"> will properly dispose of any returned Product not being used for some other lawful purpose (examples: quality defect or recall investigation). </w:t>
            </w:r>
            <w:r w:rsidRPr="0031164B">
              <w:rPr>
                <w:sz w:val="22"/>
                <w:szCs w:val="22"/>
                <w:lang w:val="en-GB"/>
              </w:rPr>
              <w:t>BMS</w:t>
            </w:r>
            <w:r w:rsidRPr="0031164B">
              <w:rPr>
                <w:lang w:val="en-GB"/>
              </w:rPr>
              <w:t xml:space="preserve"> shall properly dispose of any remaining returned Product after completion of any other lawful uses of such returned Product and document related procedures. </w:t>
            </w:r>
          </w:p>
        </w:tc>
      </w:tr>
      <w:tr w:rsidR="00A52FAF" w:rsidRPr="0031164B" w14:paraId="1B9DE096" w14:textId="0C13F51B" w:rsidTr="00CE0A53">
        <w:tc>
          <w:tcPr>
            <w:tcW w:w="2530" w:type="pct"/>
          </w:tcPr>
          <w:p w14:paraId="76C5C184" w14:textId="77777777" w:rsidR="00186A79" w:rsidRPr="006C26AE" w:rsidRDefault="00186A79" w:rsidP="00186A79">
            <w:pPr>
              <w:jc w:val="both"/>
            </w:pPr>
          </w:p>
        </w:tc>
        <w:tc>
          <w:tcPr>
            <w:tcW w:w="2470" w:type="pct"/>
          </w:tcPr>
          <w:p w14:paraId="74AECC7F" w14:textId="77777777" w:rsidR="00186A79" w:rsidRPr="0031164B" w:rsidRDefault="00186A79" w:rsidP="00F35BB8">
            <w:pPr>
              <w:widowControl/>
              <w:autoSpaceDE/>
              <w:autoSpaceDN/>
              <w:adjustRightInd/>
              <w:spacing w:after="160" w:line="259" w:lineRule="auto"/>
              <w:jc w:val="both"/>
              <w:rPr>
                <w:lang w:val="en-GB"/>
              </w:rPr>
            </w:pPr>
          </w:p>
        </w:tc>
      </w:tr>
      <w:tr w:rsidR="00A52FAF" w:rsidRPr="0031164B" w14:paraId="111285B2" w14:textId="70E80D1C" w:rsidTr="00CE0A53">
        <w:tc>
          <w:tcPr>
            <w:tcW w:w="2530" w:type="pct"/>
          </w:tcPr>
          <w:p w14:paraId="12BDA93F" w14:textId="2A51FA46" w:rsidR="00186A79" w:rsidRPr="006C26AE" w:rsidRDefault="00186A79" w:rsidP="00186A79">
            <w:pPr>
              <w:jc w:val="both"/>
            </w:pPr>
            <w:r w:rsidRPr="006C26AE">
              <w:t xml:space="preserve">V případech, kdy </w:t>
            </w:r>
            <w:r w:rsidR="00A7644D">
              <w:t>Centrum</w:t>
            </w:r>
            <w:r w:rsidRPr="006C26AE">
              <w:t xml:space="preserve"> nebude podávat přijatý produkt pacientovi, pro kterého byl objednán, může společnost </w:t>
            </w:r>
            <w:r w:rsidRPr="006C26AE">
              <w:rPr>
                <w:sz w:val="22"/>
                <w:szCs w:val="22"/>
              </w:rPr>
              <w:t>BMS</w:t>
            </w:r>
            <w:r w:rsidRPr="006C26AE">
              <w:t xml:space="preserve"> pověřit </w:t>
            </w:r>
            <w:r w:rsidR="008C6542">
              <w:t>Centrum</w:t>
            </w:r>
            <w:r w:rsidRPr="006C26AE">
              <w:t xml:space="preserve">, aby produkt řádně zlikvidovalo v souladu s protokoly a/nebo postupy </w:t>
            </w:r>
            <w:r w:rsidR="001C505D">
              <w:t>Centra</w:t>
            </w:r>
            <w:r w:rsidRPr="006C26AE">
              <w:t xml:space="preserve"> a zdokumentovalo tyto příslušné postupy. Kopie související dokumentace se poskytne společnosti </w:t>
            </w:r>
            <w:r w:rsidRPr="006C26AE">
              <w:rPr>
                <w:sz w:val="22"/>
                <w:szCs w:val="22"/>
              </w:rPr>
              <w:t>BMS</w:t>
            </w:r>
            <w:r w:rsidRPr="006C26AE">
              <w:t xml:space="preserve">. Likvidace jakéhokoli produktu </w:t>
            </w:r>
            <w:r w:rsidR="001C505D">
              <w:t>Centrem</w:t>
            </w:r>
            <w:r w:rsidRPr="006C26AE">
              <w:t xml:space="preserve"> bude provedena na jeho vlastní náklady. </w:t>
            </w:r>
            <w:r w:rsidR="001C505D">
              <w:t>Centrum</w:t>
            </w:r>
            <w:r w:rsidRPr="006C26AE">
              <w:t xml:space="preserve"> nesmí používat, vydávat ani podávat pacientovi žádnou část produkt, pro kterou </w:t>
            </w:r>
            <w:r w:rsidR="00010BF7">
              <w:t>Centrum</w:t>
            </w:r>
            <w:r w:rsidRPr="006C26AE">
              <w:t xml:space="preserve"> požádalo o vrácení nebo výměnu produktu, nebo kterou společnost </w:t>
            </w:r>
            <w:r w:rsidRPr="006C26AE">
              <w:rPr>
                <w:sz w:val="22"/>
                <w:szCs w:val="22"/>
              </w:rPr>
              <w:t>BMS</w:t>
            </w:r>
            <w:r w:rsidRPr="006C26AE">
              <w:t xml:space="preserve"> povolila </w:t>
            </w:r>
            <w:r w:rsidR="00010BF7">
              <w:t>Centru</w:t>
            </w:r>
            <w:r w:rsidRPr="006C26AE">
              <w:t xml:space="preserve"> zlikvidovat, pokud žádost o vrácení nebo výměnu produktu nebyla písemně stažena a společnost </w:t>
            </w:r>
            <w:r w:rsidRPr="006C26AE">
              <w:rPr>
                <w:sz w:val="22"/>
                <w:szCs w:val="22"/>
              </w:rPr>
              <w:t>BMS</w:t>
            </w:r>
            <w:r w:rsidRPr="006C26AE">
              <w:t xml:space="preserve"> s tímto stažením písemně souhlasila.   </w:t>
            </w:r>
          </w:p>
        </w:tc>
        <w:tc>
          <w:tcPr>
            <w:tcW w:w="2470" w:type="pct"/>
          </w:tcPr>
          <w:p w14:paraId="114BD772" w14:textId="2594F606" w:rsidR="00186A79" w:rsidRPr="0031164B" w:rsidRDefault="00186A79" w:rsidP="00F35BB8">
            <w:pPr>
              <w:widowControl/>
              <w:autoSpaceDE/>
              <w:autoSpaceDN/>
              <w:adjustRightInd/>
              <w:spacing w:after="160" w:line="259" w:lineRule="auto"/>
              <w:jc w:val="both"/>
              <w:rPr>
                <w:lang w:val="en-GB"/>
              </w:rPr>
            </w:pPr>
            <w:r w:rsidRPr="0031164B">
              <w:rPr>
                <w:lang w:val="en-GB"/>
              </w:rPr>
              <w:t xml:space="preserve">In cases where Center will not administer received Product to the patient for which it was ordered, </w:t>
            </w:r>
            <w:r w:rsidRPr="0031164B">
              <w:rPr>
                <w:sz w:val="22"/>
                <w:szCs w:val="22"/>
                <w:lang w:val="en-GB"/>
              </w:rPr>
              <w:t>BMS</w:t>
            </w:r>
            <w:r w:rsidRPr="0031164B">
              <w:rPr>
                <w:lang w:val="en-GB"/>
              </w:rPr>
              <w:t xml:space="preserve"> may authorize Center to properly dispose of the Product in accordance with Center’s protocols and/or procedures and document the related procedures. A copy of the related documentation shall be provided to </w:t>
            </w:r>
            <w:r w:rsidRPr="0031164B">
              <w:rPr>
                <w:sz w:val="22"/>
                <w:szCs w:val="22"/>
                <w:lang w:val="en-GB"/>
              </w:rPr>
              <w:t>BMS</w:t>
            </w:r>
            <w:r w:rsidRPr="0031164B">
              <w:rPr>
                <w:lang w:val="en-GB"/>
              </w:rPr>
              <w:t xml:space="preserve">. Center’s disposal of any Product shall be at Center’s sole expense. Center may not use, or dispense or administer to a patient, any portion of Product for which Center has requested a Product Return or Product Replacement, or that </w:t>
            </w:r>
            <w:r w:rsidRPr="0031164B">
              <w:rPr>
                <w:sz w:val="22"/>
                <w:szCs w:val="22"/>
                <w:lang w:val="en-GB"/>
              </w:rPr>
              <w:t>BMS</w:t>
            </w:r>
            <w:r w:rsidRPr="0031164B">
              <w:rPr>
                <w:lang w:val="en-GB"/>
              </w:rPr>
              <w:t xml:space="preserve"> has authorized Center to dispose of, unless the Product Return or Product Replacement request has </w:t>
            </w:r>
            <w:r w:rsidRPr="0031164B">
              <w:rPr>
                <w:lang w:val="en-GB"/>
              </w:rPr>
              <w:lastRenderedPageBreak/>
              <w:t xml:space="preserve">been withdrawn in writing and </w:t>
            </w:r>
            <w:r w:rsidRPr="0031164B">
              <w:rPr>
                <w:sz w:val="22"/>
                <w:szCs w:val="22"/>
                <w:lang w:val="en-GB"/>
              </w:rPr>
              <w:t>BMS</w:t>
            </w:r>
            <w:r w:rsidRPr="0031164B">
              <w:rPr>
                <w:lang w:val="en-GB"/>
              </w:rPr>
              <w:t xml:space="preserve"> has agreed in writing to such withdrawal.   </w:t>
            </w:r>
          </w:p>
        </w:tc>
      </w:tr>
    </w:tbl>
    <w:p w14:paraId="63E34D51" w14:textId="77777777" w:rsidR="00847AA9" w:rsidRPr="0031164B" w:rsidRDefault="00847AA9" w:rsidP="00847AA9">
      <w:pPr>
        <w:rPr>
          <w:sz w:val="20"/>
          <w:szCs w:val="20"/>
          <w:lang w:val="en-GB"/>
        </w:rPr>
      </w:pPr>
      <w:bookmarkStart w:id="277" w:name="_PictureBullets"/>
    </w:p>
    <w:p w14:paraId="63E34D52" w14:textId="77777777" w:rsidR="00847AA9" w:rsidRPr="0031164B" w:rsidRDefault="00847AA9" w:rsidP="00847AA9">
      <w:pPr>
        <w:ind w:left="720"/>
        <w:rPr>
          <w:sz w:val="20"/>
          <w:szCs w:val="20"/>
          <w:lang w:val="en-GB"/>
        </w:rPr>
      </w:pPr>
    </w:p>
    <w:bookmarkEnd w:id="277"/>
    <w:p w14:paraId="63E34D53" w14:textId="77777777" w:rsidR="00840E4D" w:rsidRPr="0031164B" w:rsidRDefault="00CA50DA">
      <w:pPr>
        <w:widowControl/>
        <w:autoSpaceDE/>
        <w:autoSpaceDN/>
        <w:adjustRightInd/>
        <w:spacing w:after="160" w:line="259" w:lineRule="auto"/>
        <w:rPr>
          <w:sz w:val="20"/>
          <w:szCs w:val="20"/>
          <w:lang w:val="en-GB"/>
        </w:rPr>
      </w:pPr>
      <w:r w:rsidRPr="0031164B">
        <w:rPr>
          <w:lang w:val="en-GB"/>
        </w:rPr>
        <w:br w:type="page"/>
      </w:r>
    </w:p>
    <w:p w14:paraId="63E34D56" w14:textId="77777777" w:rsidR="00847AA9" w:rsidRPr="0031164B" w:rsidRDefault="00847AA9" w:rsidP="00847AA9">
      <w:pPr>
        <w:widowControl/>
        <w:adjustRightInd/>
        <w:jc w:val="both"/>
        <w:rPr>
          <w:b/>
          <w:lang w:val="en-GB"/>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86A79" w:rsidRPr="0031164B" w14:paraId="1C20A530" w14:textId="40A2A243" w:rsidTr="00186A79">
        <w:tc>
          <w:tcPr>
            <w:tcW w:w="2500" w:type="pct"/>
          </w:tcPr>
          <w:p w14:paraId="0D053721" w14:textId="77777777" w:rsidR="00186A79" w:rsidRPr="00F55B7F" w:rsidRDefault="00186A79" w:rsidP="00186A79">
            <w:pPr>
              <w:widowControl/>
              <w:adjustRightInd/>
              <w:jc w:val="center"/>
              <w:rPr>
                <w:b/>
                <w:u w:val="single"/>
              </w:rPr>
            </w:pPr>
            <w:bookmarkStart w:id="278" w:name="_Hlk38873273"/>
            <w:bookmarkStart w:id="279" w:name="_Hlk38890720"/>
            <w:bookmarkEnd w:id="275"/>
            <w:r w:rsidRPr="00F55B7F">
              <w:rPr>
                <w:b/>
                <w:u w:val="single"/>
              </w:rPr>
              <w:t>PŘÍLOHA D</w:t>
            </w:r>
          </w:p>
        </w:tc>
        <w:tc>
          <w:tcPr>
            <w:tcW w:w="2500" w:type="pct"/>
            <w:vAlign w:val="center"/>
          </w:tcPr>
          <w:p w14:paraId="3A37CC44" w14:textId="09A42413" w:rsidR="00186A79" w:rsidRPr="0031164B" w:rsidRDefault="00186A79" w:rsidP="00186A79">
            <w:pPr>
              <w:widowControl/>
              <w:autoSpaceDE/>
              <w:autoSpaceDN/>
              <w:adjustRightInd/>
              <w:spacing w:after="160" w:line="259" w:lineRule="auto"/>
              <w:jc w:val="center"/>
              <w:rPr>
                <w:caps/>
                <w:u w:val="single"/>
                <w:lang w:val="en-GB"/>
              </w:rPr>
            </w:pPr>
            <w:r w:rsidRPr="0031164B">
              <w:rPr>
                <w:b/>
                <w:u w:val="single"/>
                <w:lang w:val="en-GB"/>
              </w:rPr>
              <w:t>ATTACHMENT D</w:t>
            </w:r>
          </w:p>
        </w:tc>
      </w:tr>
      <w:bookmarkEnd w:id="278"/>
      <w:bookmarkEnd w:id="279"/>
      <w:tr w:rsidR="00186A79" w:rsidRPr="0031164B" w14:paraId="3107746C" w14:textId="7908986F" w:rsidTr="00186A79">
        <w:tc>
          <w:tcPr>
            <w:tcW w:w="2500" w:type="pct"/>
          </w:tcPr>
          <w:p w14:paraId="2B6DDEC2" w14:textId="77777777" w:rsidR="00186A79" w:rsidRPr="00F55B7F" w:rsidRDefault="00186A79" w:rsidP="00186A79">
            <w:pPr>
              <w:pStyle w:val="Level1"/>
              <w:numPr>
                <w:ilvl w:val="0"/>
                <w:numId w:val="0"/>
              </w:numPr>
              <w:spacing w:before="240"/>
              <w:jc w:val="center"/>
              <w:rPr>
                <w:rFonts w:ascii="Times New Roman" w:hAnsi="Times New Roman" w:cs="Times New Roman"/>
                <w:sz w:val="24"/>
                <w:szCs w:val="24"/>
              </w:rPr>
            </w:pPr>
            <w:r w:rsidRPr="00F55B7F">
              <w:rPr>
                <w:rFonts w:ascii="Times New Roman" w:hAnsi="Times New Roman"/>
                <w:sz w:val="24"/>
                <w:szCs w:val="24"/>
              </w:rPr>
              <w:t>DODATEK O OCHRANĚ OSOBNÍCH ÚDAJŮ</w:t>
            </w:r>
          </w:p>
        </w:tc>
        <w:tc>
          <w:tcPr>
            <w:tcW w:w="2500" w:type="pct"/>
            <w:vAlign w:val="center"/>
          </w:tcPr>
          <w:p w14:paraId="59CCC89E" w14:textId="20393DA0" w:rsidR="00186A79" w:rsidRPr="0031164B" w:rsidRDefault="00186A79" w:rsidP="00186A79">
            <w:pPr>
              <w:widowControl/>
              <w:autoSpaceDE/>
              <w:autoSpaceDN/>
              <w:adjustRightInd/>
              <w:spacing w:after="160" w:line="259" w:lineRule="auto"/>
              <w:jc w:val="center"/>
              <w:rPr>
                <w:b/>
                <w:bCs/>
                <w:lang w:val="en-GB"/>
              </w:rPr>
            </w:pPr>
            <w:r w:rsidRPr="0031164B">
              <w:rPr>
                <w:b/>
                <w:bCs/>
                <w:lang w:val="en-GB"/>
              </w:rPr>
              <w:t>DATA PRIVACY ADDENDUM</w:t>
            </w:r>
          </w:p>
        </w:tc>
      </w:tr>
      <w:tr w:rsidR="00186A79" w:rsidRPr="0031164B" w14:paraId="4B7C3119" w14:textId="4EFDF000" w:rsidTr="00186A79">
        <w:tc>
          <w:tcPr>
            <w:tcW w:w="2500" w:type="pct"/>
          </w:tcPr>
          <w:p w14:paraId="060A12B4" w14:textId="77777777" w:rsidR="00186A79" w:rsidRPr="00F55B7F" w:rsidRDefault="00186A79" w:rsidP="00186A79">
            <w:pPr>
              <w:pStyle w:val="Level1"/>
              <w:numPr>
                <w:ilvl w:val="0"/>
                <w:numId w:val="0"/>
              </w:numPr>
              <w:spacing w:before="240" w:after="240"/>
              <w:rPr>
                <w:rFonts w:ascii="Times New Roman" w:hAnsi="Times New Roman" w:cs="Times New Roman"/>
                <w:bCs/>
                <w:sz w:val="24"/>
                <w:szCs w:val="24"/>
              </w:rPr>
            </w:pPr>
            <w:r w:rsidRPr="00F55B7F">
              <w:rPr>
                <w:rFonts w:ascii="Times New Roman" w:hAnsi="Times New Roman"/>
                <w:bCs/>
                <w:sz w:val="24"/>
                <w:szCs w:val="24"/>
              </w:rPr>
              <w:t>Definice</w:t>
            </w:r>
          </w:p>
        </w:tc>
        <w:tc>
          <w:tcPr>
            <w:tcW w:w="2500" w:type="pct"/>
          </w:tcPr>
          <w:p w14:paraId="7EED17C6" w14:textId="613AE42C" w:rsidR="00186A79" w:rsidRPr="00B10443" w:rsidRDefault="00186A79" w:rsidP="00186A79">
            <w:pPr>
              <w:widowControl/>
              <w:autoSpaceDE/>
              <w:autoSpaceDN/>
              <w:adjustRightInd/>
              <w:spacing w:after="160" w:line="259" w:lineRule="auto"/>
              <w:rPr>
                <w:b/>
                <w:caps/>
                <w:lang w:val="en-GB"/>
              </w:rPr>
            </w:pPr>
            <w:r w:rsidRPr="00AF269B">
              <w:rPr>
                <w:b/>
                <w:lang w:val="en-GB"/>
              </w:rPr>
              <w:t>D</w:t>
            </w:r>
            <w:r w:rsidR="00B10443">
              <w:rPr>
                <w:b/>
                <w:lang w:val="en-GB"/>
              </w:rPr>
              <w:t>EFINITIONS</w:t>
            </w:r>
          </w:p>
        </w:tc>
      </w:tr>
      <w:tr w:rsidR="00186A79" w:rsidRPr="0031164B" w14:paraId="6951AD98" w14:textId="27C6F159" w:rsidTr="00186A79">
        <w:tc>
          <w:tcPr>
            <w:tcW w:w="2500" w:type="pct"/>
          </w:tcPr>
          <w:p w14:paraId="76745E46"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Pro účely tohoto Dodatku o ochraně osobních údajů („</w:t>
            </w:r>
            <w:r w:rsidRPr="00F55B7F">
              <w:rPr>
                <w:rFonts w:ascii="Times New Roman" w:hAnsi="Times New Roman"/>
                <w:b/>
                <w:bCs/>
                <w:sz w:val="24"/>
                <w:szCs w:val="24"/>
              </w:rPr>
              <w:t>dodatek</w:t>
            </w:r>
            <w:r w:rsidRPr="00F55B7F">
              <w:rPr>
                <w:rFonts w:ascii="Times New Roman" w:hAnsi="Times New Roman"/>
                <w:sz w:val="24"/>
                <w:szCs w:val="24"/>
              </w:rPr>
              <w:t>“) mají pojmy „správce“, „osobní údaje“, „</w:t>
            </w:r>
            <w:r w:rsidRPr="00F55B7F">
              <w:rPr>
                <w:rFonts w:ascii="Times New Roman" w:hAnsi="Times New Roman"/>
                <w:bCs/>
                <w:sz w:val="24"/>
                <w:szCs w:val="24"/>
              </w:rPr>
              <w:t>porušení ochrany osobních údajů</w:t>
            </w:r>
            <w:r w:rsidRPr="00F55B7F">
              <w:rPr>
                <w:rFonts w:ascii="Times New Roman" w:hAnsi="Times New Roman"/>
                <w:sz w:val="24"/>
                <w:szCs w:val="24"/>
              </w:rPr>
              <w:t>“, „zpracování“ a „subjekt údajů“ význam, který je jim přiřazen v Obecném nařízení EU o ochraně osobních údajů (GDPR) (2016/679), zákonech o ochraně osobních údajů, požadavcích na ochranu veřejného zdraví a regulačních požadavcích a jakýchkoli dalších platných právních předpisech, které se mohou vztahovat na smluvní strany v různých členských státech EU, včetně zemí, kde by se GDPR uplatnilo, jako například v Evropském hospodářském prostoru, ve vztahu k této smlouvě („</w:t>
            </w:r>
            <w:r w:rsidRPr="00F55B7F">
              <w:rPr>
                <w:rFonts w:ascii="Times New Roman" w:hAnsi="Times New Roman"/>
                <w:b/>
                <w:sz w:val="24"/>
                <w:szCs w:val="24"/>
              </w:rPr>
              <w:t>platné právní předpisy o ochraně osobních údajů</w:t>
            </w:r>
            <w:r w:rsidRPr="00F55B7F">
              <w:rPr>
                <w:rFonts w:ascii="Times New Roman" w:hAnsi="Times New Roman"/>
                <w:sz w:val="24"/>
                <w:szCs w:val="24"/>
              </w:rPr>
              <w:t>“).</w:t>
            </w:r>
          </w:p>
        </w:tc>
        <w:tc>
          <w:tcPr>
            <w:tcW w:w="2500" w:type="pct"/>
          </w:tcPr>
          <w:p w14:paraId="1625AA84" w14:textId="3E0B52DC" w:rsidR="00186A79" w:rsidRPr="0031164B" w:rsidRDefault="00186A79" w:rsidP="00F35BB8">
            <w:pPr>
              <w:widowControl/>
              <w:autoSpaceDE/>
              <w:autoSpaceDN/>
              <w:adjustRightInd/>
              <w:spacing w:after="160" w:line="259" w:lineRule="auto"/>
              <w:jc w:val="both"/>
              <w:rPr>
                <w:lang w:val="en-GB"/>
              </w:rPr>
            </w:pPr>
            <w:r w:rsidRPr="0031164B">
              <w:rPr>
                <w:lang w:val="en-GB"/>
              </w:rPr>
              <w:t>For purposes of this Data Privacy Addendum (“</w:t>
            </w:r>
            <w:r w:rsidRPr="0031164B">
              <w:rPr>
                <w:b/>
                <w:bCs/>
                <w:lang w:val="en-GB"/>
              </w:rPr>
              <w:t>Addendum</w:t>
            </w:r>
            <w:r w:rsidRPr="0031164B">
              <w:rPr>
                <w:lang w:val="en-GB"/>
              </w:rPr>
              <w:t>”), “Controller”, “Personal Data”, “</w:t>
            </w:r>
            <w:r w:rsidRPr="0031164B">
              <w:rPr>
                <w:bCs/>
                <w:lang w:val="en-GB"/>
              </w:rPr>
              <w:t>Personal Data Breach</w:t>
            </w:r>
            <w:r w:rsidRPr="0031164B">
              <w:rPr>
                <w:lang w:val="en-GB"/>
              </w:rPr>
              <w:t>", “Processing” and “Data Subject” shall have the meanings ascribed to them in the EU General Data Protection Regulation (GDPR) (2016/679), data protection laws, public health and regulatory requirements and any other applicable law that may apply to the Parties in the different EU member States, including countries where the GDPR would apply, such as in the European Economic Area, in relation to this Agreement (“</w:t>
            </w:r>
            <w:r w:rsidRPr="0031164B">
              <w:rPr>
                <w:b/>
                <w:lang w:val="en-GB"/>
              </w:rPr>
              <w:t>Applicable Data Protection Laws</w:t>
            </w:r>
            <w:r w:rsidRPr="0031164B">
              <w:rPr>
                <w:lang w:val="en-GB"/>
              </w:rPr>
              <w:t>”).</w:t>
            </w:r>
          </w:p>
        </w:tc>
      </w:tr>
      <w:tr w:rsidR="00186A79" w:rsidRPr="0031164B" w14:paraId="572FA487" w14:textId="537691A5" w:rsidTr="00186A79">
        <w:tc>
          <w:tcPr>
            <w:tcW w:w="2500" w:type="pct"/>
          </w:tcPr>
          <w:p w14:paraId="7D7D9E52"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bCs/>
                <w:sz w:val="24"/>
                <w:szCs w:val="24"/>
              </w:rPr>
              <w:t>Osobní údaje společnosti BMS</w:t>
            </w:r>
            <w:r w:rsidRPr="00F55B7F">
              <w:rPr>
                <w:rFonts w:ascii="Times New Roman" w:hAnsi="Times New Roman"/>
                <w:sz w:val="24"/>
                <w:szCs w:val="24"/>
              </w:rPr>
              <w:t>“ jsou osobní údaje, které se týkají zaměstnanců, dodavatelů, smluvních partnerů a konzultantů společnosti BMS, včetně přidružených společností.</w:t>
            </w:r>
          </w:p>
        </w:tc>
        <w:tc>
          <w:tcPr>
            <w:tcW w:w="2500" w:type="pct"/>
          </w:tcPr>
          <w:p w14:paraId="06BE4AF9" w14:textId="4D4EF8BD"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bCs/>
                <w:lang w:val="en-GB"/>
              </w:rPr>
              <w:t>BMS Personal Data</w:t>
            </w:r>
            <w:r w:rsidRPr="0031164B">
              <w:rPr>
                <w:lang w:val="en-GB"/>
              </w:rPr>
              <w:t>” means Personal Data that relates to BMS’ employees, suppliers, contractors, consultants, including its Affiliates.</w:t>
            </w:r>
          </w:p>
        </w:tc>
      </w:tr>
      <w:tr w:rsidR="00186A79" w:rsidRPr="0031164B" w14:paraId="5BA6B7C6" w14:textId="69A95308" w:rsidTr="00186A79">
        <w:tc>
          <w:tcPr>
            <w:tcW w:w="2500" w:type="pct"/>
          </w:tcPr>
          <w:p w14:paraId="59C7A8E1" w14:textId="389CEC4C"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bCs/>
                <w:sz w:val="24"/>
                <w:szCs w:val="24"/>
              </w:rPr>
              <w:t xml:space="preserve">Osobními údaji </w:t>
            </w:r>
            <w:r w:rsidR="00B1122A">
              <w:rPr>
                <w:rFonts w:ascii="Times New Roman" w:hAnsi="Times New Roman"/>
                <w:b/>
                <w:bCs/>
                <w:sz w:val="24"/>
                <w:szCs w:val="24"/>
              </w:rPr>
              <w:t>Centra</w:t>
            </w:r>
            <w:r w:rsidRPr="00F55B7F">
              <w:rPr>
                <w:rFonts w:ascii="Times New Roman" w:hAnsi="Times New Roman"/>
                <w:sz w:val="24"/>
                <w:szCs w:val="24"/>
              </w:rPr>
              <w:t xml:space="preserve">“ se rozumí jakékoli osobní údaje, které se týkají zaměstnanců, dodavatelů, smluvních partnerů a konzultantů </w:t>
            </w:r>
            <w:r w:rsidR="005A2368">
              <w:rPr>
                <w:rFonts w:ascii="Times New Roman" w:hAnsi="Times New Roman"/>
                <w:sz w:val="24"/>
                <w:szCs w:val="24"/>
              </w:rPr>
              <w:t>Centra</w:t>
            </w:r>
            <w:r w:rsidRPr="00F55B7F">
              <w:rPr>
                <w:rFonts w:ascii="Times New Roman" w:hAnsi="Times New Roman"/>
                <w:sz w:val="24"/>
                <w:szCs w:val="24"/>
              </w:rPr>
              <w:t>.</w:t>
            </w:r>
            <w:r w:rsidRPr="00F55B7F">
              <w:rPr>
                <w:rFonts w:ascii="Times New Roman" w:hAnsi="Times New Roman"/>
                <w:sz w:val="24"/>
                <w:highlight w:val="yellow"/>
              </w:rPr>
              <w:t xml:space="preserve"> </w:t>
            </w:r>
          </w:p>
        </w:tc>
        <w:tc>
          <w:tcPr>
            <w:tcW w:w="2500" w:type="pct"/>
          </w:tcPr>
          <w:p w14:paraId="1FE35B16" w14:textId="702A1429"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bCs/>
                <w:lang w:val="en-GB"/>
              </w:rPr>
              <w:t>Center Personal Data</w:t>
            </w:r>
            <w:r w:rsidRPr="0031164B">
              <w:rPr>
                <w:lang w:val="en-GB"/>
              </w:rPr>
              <w:t>” means any Personal Data that relates to Center’s employees, suppliers, contractors, consultants.</w:t>
            </w:r>
            <w:r w:rsidRPr="0031164B">
              <w:rPr>
                <w:highlight w:val="yellow"/>
                <w:lang w:val="en-GB"/>
              </w:rPr>
              <w:t xml:space="preserve"> </w:t>
            </w:r>
          </w:p>
        </w:tc>
      </w:tr>
      <w:tr w:rsidR="00186A79" w:rsidRPr="0031164B" w14:paraId="5D4A1803" w14:textId="19545971" w:rsidTr="00186A79">
        <w:tc>
          <w:tcPr>
            <w:tcW w:w="2500" w:type="pct"/>
          </w:tcPr>
          <w:p w14:paraId="25E50052"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sz w:val="24"/>
                <w:szCs w:val="24"/>
              </w:rPr>
              <w:t>Osobními údaji související se službou aferézy</w:t>
            </w:r>
            <w:r w:rsidRPr="00F55B7F">
              <w:rPr>
                <w:rFonts w:ascii="Times New Roman" w:hAnsi="Times New Roman"/>
                <w:sz w:val="24"/>
                <w:szCs w:val="24"/>
              </w:rPr>
              <w:t>“ se rozumí veškeré osobní údaje, které jsou výsledkem poskytování služeb aferézy.</w:t>
            </w:r>
          </w:p>
        </w:tc>
        <w:tc>
          <w:tcPr>
            <w:tcW w:w="2500" w:type="pct"/>
          </w:tcPr>
          <w:p w14:paraId="53F7F0EF" w14:textId="69E2D318"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lang w:val="en-GB"/>
              </w:rPr>
              <w:t>Apheresis Services Personal Data</w:t>
            </w:r>
            <w:r w:rsidRPr="0031164B">
              <w:rPr>
                <w:lang w:val="en-GB"/>
              </w:rPr>
              <w:t>” means any Personal Data which are the results of the performance of the Apheresis Services.</w:t>
            </w:r>
          </w:p>
        </w:tc>
      </w:tr>
      <w:tr w:rsidR="00186A79" w:rsidRPr="0031164B" w14:paraId="46D5463B" w14:textId="3DC92A7E" w:rsidTr="00186A79">
        <w:tc>
          <w:tcPr>
            <w:tcW w:w="2500" w:type="pct"/>
          </w:tcPr>
          <w:p w14:paraId="7E881D34" w14:textId="6A972309"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rPr>
              <w:t>„</w:t>
            </w:r>
            <w:r w:rsidRPr="00F55B7F">
              <w:rPr>
                <w:rFonts w:ascii="Times New Roman" w:hAnsi="Times New Roman"/>
                <w:b/>
                <w:sz w:val="24"/>
              </w:rPr>
              <w:t>Osobními údaji souvisejícími s objednávkou produktu</w:t>
            </w:r>
            <w:r w:rsidRPr="00F55B7F">
              <w:rPr>
                <w:rFonts w:ascii="Times New Roman" w:hAnsi="Times New Roman"/>
                <w:sz w:val="24"/>
              </w:rPr>
              <w:t xml:space="preserve">“ se rozumí údaje, které mohou zahrnovat osobní údaje týkající se výroby, komercializace a dodání produktu do </w:t>
            </w:r>
            <w:r w:rsidR="005A2368">
              <w:rPr>
                <w:rFonts w:ascii="Times New Roman" w:hAnsi="Times New Roman"/>
                <w:sz w:val="24"/>
              </w:rPr>
              <w:t>Centra</w:t>
            </w:r>
            <w:r w:rsidRPr="00F55B7F">
              <w:rPr>
                <w:rFonts w:ascii="Times New Roman" w:hAnsi="Times New Roman"/>
                <w:sz w:val="24"/>
              </w:rPr>
              <w:t xml:space="preserve">, které společnost </w:t>
            </w:r>
            <w:r w:rsidRPr="00F55B7F">
              <w:rPr>
                <w:rFonts w:ascii="Times New Roman" w:hAnsi="Times New Roman"/>
                <w:sz w:val="24"/>
                <w:szCs w:val="24"/>
              </w:rPr>
              <w:t>BMS</w:t>
            </w:r>
            <w:r w:rsidRPr="00F55B7F">
              <w:rPr>
                <w:rFonts w:ascii="Times New Roman" w:hAnsi="Times New Roman"/>
                <w:sz w:val="24"/>
              </w:rPr>
              <w:t xml:space="preserve"> vytváří, shromažďuje, přijímá, zpracovává nebo k </w:t>
            </w:r>
            <w:r w:rsidRPr="00F55B7F">
              <w:rPr>
                <w:rFonts w:ascii="Times New Roman" w:hAnsi="Times New Roman"/>
                <w:sz w:val="24"/>
              </w:rPr>
              <w:lastRenderedPageBreak/>
              <w:t>nim má přístup jako držitel rozhodnutí o registraci nebo budoucí držitel rozhodnutí o registraci, což může zahrnovat osobní údaje související se službou aferézy.</w:t>
            </w:r>
          </w:p>
        </w:tc>
        <w:tc>
          <w:tcPr>
            <w:tcW w:w="2500" w:type="pct"/>
          </w:tcPr>
          <w:p w14:paraId="696FF764" w14:textId="0772AC72" w:rsidR="00186A79" w:rsidRPr="0031164B" w:rsidRDefault="00186A79" w:rsidP="00F35BB8">
            <w:pPr>
              <w:widowControl/>
              <w:autoSpaceDE/>
              <w:autoSpaceDN/>
              <w:adjustRightInd/>
              <w:spacing w:after="160" w:line="259" w:lineRule="auto"/>
              <w:jc w:val="both"/>
              <w:rPr>
                <w:lang w:val="en-GB"/>
              </w:rPr>
            </w:pPr>
            <w:r w:rsidRPr="0031164B">
              <w:rPr>
                <w:b/>
                <w:lang w:val="en-GB"/>
              </w:rPr>
              <w:lastRenderedPageBreak/>
              <w:t>“Product Order related Personal Data</w:t>
            </w:r>
            <w:r w:rsidRPr="0031164B">
              <w:rPr>
                <w:lang w:val="en-GB"/>
              </w:rPr>
              <w:t xml:space="preserve">” means data that may include Personal Data relating to the manufacturing, commercializing and the delivery of the Product to Center, which BMS creates, collects, receives, Processes or accesses as </w:t>
            </w:r>
            <w:r w:rsidRPr="0031164B">
              <w:rPr>
                <w:lang w:val="en-GB"/>
              </w:rPr>
              <w:lastRenderedPageBreak/>
              <w:t>marketing authorization holder, or future marketing authorization holder, which may include Apheresis Services Personal Data.</w:t>
            </w:r>
          </w:p>
        </w:tc>
      </w:tr>
      <w:tr w:rsidR="00186A79" w:rsidRPr="0031164B" w14:paraId="777485AF" w14:textId="554E4138" w:rsidTr="00186A79">
        <w:tc>
          <w:tcPr>
            <w:tcW w:w="2500" w:type="pct"/>
          </w:tcPr>
          <w:p w14:paraId="7EF42676" w14:textId="14870D62"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lastRenderedPageBreak/>
              <w:t>„</w:t>
            </w:r>
            <w:r w:rsidRPr="00F55B7F">
              <w:rPr>
                <w:rFonts w:ascii="Times New Roman" w:hAnsi="Times New Roman"/>
                <w:b/>
                <w:sz w:val="24"/>
                <w:szCs w:val="24"/>
              </w:rPr>
              <w:t xml:space="preserve">Osobními údaji </w:t>
            </w:r>
            <w:r w:rsidRPr="00F55B7F">
              <w:rPr>
                <w:rFonts w:ascii="Times New Roman" w:hAnsi="Times New Roman"/>
                <w:b/>
                <w:bCs/>
                <w:sz w:val="24"/>
                <w:szCs w:val="24"/>
              </w:rPr>
              <w:t>pacientů</w:t>
            </w:r>
            <w:r w:rsidRPr="00F55B7F">
              <w:rPr>
                <w:rFonts w:ascii="Times New Roman" w:hAnsi="Times New Roman"/>
                <w:b/>
                <w:sz w:val="24"/>
                <w:szCs w:val="24"/>
              </w:rPr>
              <w:t xml:space="preserve"> a </w:t>
            </w:r>
            <w:r w:rsidR="00B27F24">
              <w:rPr>
                <w:rFonts w:ascii="Times New Roman" w:hAnsi="Times New Roman"/>
                <w:b/>
                <w:sz w:val="24"/>
                <w:szCs w:val="24"/>
              </w:rPr>
              <w:t>Centra</w:t>
            </w:r>
            <w:r w:rsidRPr="00F55B7F">
              <w:rPr>
                <w:rFonts w:ascii="Times New Roman" w:hAnsi="Times New Roman"/>
                <w:sz w:val="24"/>
                <w:szCs w:val="24"/>
              </w:rPr>
              <w:t xml:space="preserve">“ se rozumí veškeré osobní údaje týkající se pacientů nebo zaměstnanců, dodavatelů, smluvních partnerů a konzultantů </w:t>
            </w:r>
            <w:r w:rsidR="00B27F24">
              <w:rPr>
                <w:rFonts w:ascii="Times New Roman" w:hAnsi="Times New Roman"/>
                <w:sz w:val="24"/>
                <w:szCs w:val="24"/>
              </w:rPr>
              <w:t>Centra</w:t>
            </w:r>
            <w:r w:rsidRPr="00F55B7F">
              <w:rPr>
                <w:rFonts w:ascii="Times New Roman" w:hAnsi="Times New Roman"/>
                <w:sz w:val="24"/>
                <w:szCs w:val="24"/>
              </w:rPr>
              <w:t xml:space="preserve">, které </w:t>
            </w:r>
            <w:r w:rsidR="00B27F24">
              <w:rPr>
                <w:rFonts w:ascii="Times New Roman" w:hAnsi="Times New Roman"/>
                <w:sz w:val="24"/>
                <w:szCs w:val="24"/>
              </w:rPr>
              <w:t>Centrum</w:t>
            </w:r>
            <w:r w:rsidRPr="00F55B7F">
              <w:rPr>
                <w:rFonts w:ascii="Times New Roman" w:hAnsi="Times New Roman"/>
                <w:sz w:val="24"/>
                <w:szCs w:val="24"/>
              </w:rPr>
              <w:t xml:space="preserve"> obdrželo v souvislosti s touto smlouvou.</w:t>
            </w:r>
          </w:p>
        </w:tc>
        <w:tc>
          <w:tcPr>
            <w:tcW w:w="2500" w:type="pct"/>
          </w:tcPr>
          <w:p w14:paraId="3628D6D6" w14:textId="57C6B33F"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lang w:val="en-GB"/>
              </w:rPr>
              <w:t xml:space="preserve">Patients and </w:t>
            </w:r>
            <w:r w:rsidRPr="0031164B">
              <w:rPr>
                <w:b/>
                <w:bCs/>
                <w:lang w:val="en-GB"/>
              </w:rPr>
              <w:t>Center</w:t>
            </w:r>
            <w:r w:rsidRPr="0031164B">
              <w:rPr>
                <w:b/>
                <w:lang w:val="en-GB"/>
              </w:rPr>
              <w:t xml:space="preserve"> Personal Data</w:t>
            </w:r>
            <w:r w:rsidRPr="0031164B">
              <w:rPr>
                <w:lang w:val="en-GB"/>
              </w:rPr>
              <w:t>” means any Personal Data that relates to patients or Center’s employees, suppliers, contractors, consultants, received by the Center in the context of the Agreement.</w:t>
            </w:r>
          </w:p>
        </w:tc>
      </w:tr>
      <w:tr w:rsidR="00186A79" w:rsidRPr="0031164B" w14:paraId="54B65B40" w14:textId="7CD75A1D" w:rsidTr="00186A79">
        <w:tc>
          <w:tcPr>
            <w:tcW w:w="2500" w:type="pct"/>
          </w:tcPr>
          <w:p w14:paraId="4C397E7D"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bCs/>
                <w:sz w:val="24"/>
                <w:szCs w:val="24"/>
              </w:rPr>
              <w:t>Oblastí rovnocenné ochrany</w:t>
            </w:r>
            <w:r w:rsidRPr="00F55B7F">
              <w:rPr>
                <w:rFonts w:ascii="Times New Roman" w:hAnsi="Times New Roman"/>
                <w:sz w:val="24"/>
                <w:szCs w:val="24"/>
              </w:rPr>
              <w:t xml:space="preserve">“ se rozumí prostor, který zahrnuje a) země Evropské unie, včetně Islandu, Lichtenštejnska a Norska, a b) země, které Evropská komise může čas od času uznat za země zajišťující odpovídající úroveň ochrany podle článku 45 GDPR, což zahrnuje Švýcarsko. </w:t>
            </w:r>
          </w:p>
        </w:tc>
        <w:tc>
          <w:tcPr>
            <w:tcW w:w="2500" w:type="pct"/>
          </w:tcPr>
          <w:p w14:paraId="6CA90FC1" w14:textId="2CCE5DD2"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bCs/>
                <w:lang w:val="en-GB"/>
              </w:rPr>
              <w:t>Equivalent Protection Area</w:t>
            </w:r>
            <w:r w:rsidRPr="0031164B">
              <w:rPr>
                <w:lang w:val="en-GB"/>
              </w:rPr>
              <w:t xml:space="preserve">” means the area that comprises (a) countries within the European Union, including Iceland, Liechtenstein and Norway, and (b) countries that the European Commission may from time to time recognize as ensuring an adequate level of protection as provided for in article 45 of the GDPR, which includes Switzerland. </w:t>
            </w:r>
          </w:p>
        </w:tc>
      </w:tr>
      <w:tr w:rsidR="00186A79" w:rsidRPr="0031164B" w14:paraId="4F207220" w14:textId="03F1FAC3" w:rsidTr="00186A79">
        <w:tc>
          <w:tcPr>
            <w:tcW w:w="2500" w:type="pct"/>
          </w:tcPr>
          <w:p w14:paraId="72D777EB"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bCs/>
                <w:sz w:val="24"/>
                <w:szCs w:val="24"/>
              </w:rPr>
              <w:t>Standardními smluvními doložkami EU mezi správci</w:t>
            </w:r>
            <w:r w:rsidRPr="00F55B7F">
              <w:rPr>
                <w:rFonts w:ascii="Times New Roman" w:hAnsi="Times New Roman"/>
                <w:sz w:val="24"/>
                <w:szCs w:val="24"/>
              </w:rPr>
              <w:t>“ („vzorové doložky“) se rozumí standardní smluvní doložky o ochraně údajů mezi dvěma nezávislými správci údajů pro účely přeshraničního předávání údajů, které čas od času schvaluje Evropská komise nebo dozorový úřad v souladu s čl. 46 písm. c) a d) nařízení GDPR.</w:t>
            </w:r>
          </w:p>
        </w:tc>
        <w:tc>
          <w:tcPr>
            <w:tcW w:w="2500" w:type="pct"/>
          </w:tcPr>
          <w:p w14:paraId="752DCA87" w14:textId="78BF8604" w:rsidR="00186A79" w:rsidRPr="0031164B" w:rsidRDefault="00186A79" w:rsidP="00F35BB8">
            <w:pPr>
              <w:widowControl/>
              <w:autoSpaceDE/>
              <w:autoSpaceDN/>
              <w:adjustRightInd/>
              <w:spacing w:after="160" w:line="259" w:lineRule="auto"/>
              <w:jc w:val="both"/>
              <w:rPr>
                <w:lang w:val="en-GB"/>
              </w:rPr>
            </w:pPr>
            <w:r w:rsidRPr="0031164B">
              <w:rPr>
                <w:lang w:val="en-GB"/>
              </w:rPr>
              <w:t>“</w:t>
            </w:r>
            <w:r w:rsidRPr="0031164B">
              <w:rPr>
                <w:b/>
                <w:bCs/>
                <w:lang w:val="en-GB"/>
              </w:rPr>
              <w:t>EU Controller to controller standard contractual clauses</w:t>
            </w:r>
            <w:r w:rsidRPr="0031164B">
              <w:rPr>
                <w:lang w:val="en-GB"/>
              </w:rPr>
              <w:t>” (“Model clauses”) means standard data protection contractual clauses between two independent data Controllers for the purpose of cross-border data transfer as approved by the European Commission from time to time, or a supervisory authority in accordance with article 46 (c) and (d) of the GDPR.</w:t>
            </w:r>
          </w:p>
        </w:tc>
      </w:tr>
      <w:tr w:rsidR="00186A79" w:rsidRPr="0031164B" w14:paraId="2FEE6DD2" w14:textId="668533B9" w:rsidTr="00186A79">
        <w:tc>
          <w:tcPr>
            <w:tcW w:w="2500" w:type="pct"/>
          </w:tcPr>
          <w:p w14:paraId="2AC703ED" w14:textId="77777777" w:rsidR="00186A79" w:rsidRPr="00F55B7F" w:rsidRDefault="00186A79" w:rsidP="00186A79">
            <w:pPr>
              <w:pStyle w:val="Level2"/>
              <w:numPr>
                <w:ilvl w:val="0"/>
                <w:numId w:val="0"/>
              </w:numPr>
              <w:rPr>
                <w:rFonts w:ascii="Times New Roman" w:hAnsi="Times New Roman" w:cs="Times New Roman"/>
                <w:sz w:val="24"/>
                <w:szCs w:val="24"/>
              </w:rPr>
            </w:pPr>
            <w:r w:rsidRPr="00F55B7F">
              <w:rPr>
                <w:rFonts w:ascii="Times New Roman" w:hAnsi="Times New Roman"/>
                <w:sz w:val="24"/>
                <w:szCs w:val="24"/>
              </w:rPr>
              <w:t>„</w:t>
            </w:r>
            <w:r w:rsidRPr="00F55B7F">
              <w:rPr>
                <w:rFonts w:ascii="Times New Roman" w:hAnsi="Times New Roman"/>
                <w:b/>
                <w:bCs/>
                <w:sz w:val="24"/>
                <w:szCs w:val="24"/>
              </w:rPr>
              <w:t>Dozorovým úřadem</w:t>
            </w:r>
            <w:r w:rsidRPr="00F55B7F">
              <w:rPr>
                <w:rFonts w:ascii="Times New Roman" w:hAnsi="Times New Roman"/>
                <w:sz w:val="24"/>
                <w:szCs w:val="24"/>
              </w:rPr>
              <w:t>“ se rozumí orgán definovaný v čl.4 odst.21 GDPR, jakož i jakýkoli jiný zákonodárný, výkonný, správní nebo regulační subjekt, soudní orgán nebo jiná veřejná agentura či orgán jakékoli země, státu, území nebo politického útvaru země, státu nebo území, nebo osoba či subjekt jednající na základě udělení dozorové pravomoci od takové veřejné agentury nebo orgánu nebo na základě smlouvy s nimi, který je ze zákona oprávněn prosazovat práva jednotlivců v souvislosti s osobními údaji nebo dohlížet či monitorovat dodržování zákonů, pravidel, předpisů nebo jiných platných předpisů o ochraně soukromí, ochraně údajů nebo bezpečnosti údajů.</w:t>
            </w:r>
          </w:p>
        </w:tc>
        <w:tc>
          <w:tcPr>
            <w:tcW w:w="2500" w:type="pct"/>
          </w:tcPr>
          <w:p w14:paraId="1F1E2C2E" w14:textId="6391B0BC" w:rsidR="00186A79" w:rsidRPr="0031164B" w:rsidRDefault="00186A79" w:rsidP="00F35BB8">
            <w:pPr>
              <w:widowControl/>
              <w:autoSpaceDE/>
              <w:autoSpaceDN/>
              <w:adjustRightInd/>
              <w:spacing w:after="160" w:line="259" w:lineRule="auto"/>
              <w:jc w:val="both"/>
              <w:rPr>
                <w:b/>
                <w:caps/>
                <w:lang w:val="en-GB"/>
              </w:rPr>
            </w:pPr>
            <w:r w:rsidRPr="0031164B">
              <w:rPr>
                <w:lang w:val="en-GB"/>
              </w:rPr>
              <w:t>“</w:t>
            </w:r>
            <w:r w:rsidRPr="0031164B">
              <w:rPr>
                <w:b/>
                <w:bCs/>
                <w:lang w:val="en-GB"/>
              </w:rPr>
              <w:t>Supervisory Authority</w:t>
            </w:r>
            <w:r w:rsidRPr="0031164B">
              <w:rPr>
                <w:lang w:val="en-GB"/>
              </w:rPr>
              <w:t>” means an authority as defined in Article 4(21) of the GDPR as well as any other legislative, executive, administrative, or regulatory entity, judicial body, or other public agency or authority of any country, state, territory, or political subdivision of a country, state, or territory, or a person or entity acting under a grant of Supervisory Authority from or under contract with such public agency or authority, that is authorized by law to enforce individual rights with respect to Personal Data, or to oversee or monitor compliance with privacy, data protection, or data security laws, rules, regulations, or other Applicable.</w:t>
            </w:r>
          </w:p>
        </w:tc>
      </w:tr>
      <w:tr w:rsidR="00186A79" w:rsidRPr="0031164B" w14:paraId="075241B4" w14:textId="6735F5D6" w:rsidTr="00186A79">
        <w:tc>
          <w:tcPr>
            <w:tcW w:w="2500" w:type="pct"/>
          </w:tcPr>
          <w:p w14:paraId="68F7D925" w14:textId="77777777" w:rsidR="00186A79" w:rsidRPr="00F55B7F" w:rsidRDefault="00186A79" w:rsidP="00186A79">
            <w:pPr>
              <w:pStyle w:val="Level1"/>
              <w:keepNext/>
              <w:numPr>
                <w:ilvl w:val="0"/>
                <w:numId w:val="19"/>
              </w:numPr>
              <w:spacing w:before="360"/>
              <w:rPr>
                <w:rFonts w:ascii="Times New Roman" w:hAnsi="Times New Roman" w:cs="Times New Roman"/>
                <w:sz w:val="24"/>
                <w:szCs w:val="24"/>
              </w:rPr>
            </w:pPr>
            <w:r w:rsidRPr="00F55B7F">
              <w:rPr>
                <w:rFonts w:ascii="Times New Roman" w:hAnsi="Times New Roman"/>
                <w:sz w:val="24"/>
                <w:szCs w:val="24"/>
              </w:rPr>
              <w:lastRenderedPageBreak/>
              <w:t>PŘEDMĚT A SPRÁVA</w:t>
            </w:r>
          </w:p>
        </w:tc>
        <w:tc>
          <w:tcPr>
            <w:tcW w:w="2500" w:type="pct"/>
          </w:tcPr>
          <w:p w14:paraId="1C24EEE8" w14:textId="4FEDFDCA" w:rsidR="00186A79" w:rsidRPr="0031164B" w:rsidRDefault="00186A79" w:rsidP="00F35BB8">
            <w:pPr>
              <w:pStyle w:val="Level1"/>
              <w:keepNext/>
              <w:numPr>
                <w:ilvl w:val="0"/>
                <w:numId w:val="102"/>
              </w:numPr>
              <w:spacing w:before="360"/>
              <w:jc w:val="both"/>
              <w:rPr>
                <w:b w:val="0"/>
                <w:caps w:val="0"/>
                <w:lang w:val="en-GB"/>
              </w:rPr>
            </w:pPr>
            <w:r w:rsidRPr="00F55B7F">
              <w:rPr>
                <w:rFonts w:ascii="Times New Roman" w:hAnsi="Times New Roman"/>
                <w:sz w:val="24"/>
                <w:szCs w:val="24"/>
              </w:rPr>
              <w:t>SUBJECT MATTER AND GOVERNANCE</w:t>
            </w:r>
          </w:p>
        </w:tc>
      </w:tr>
      <w:tr w:rsidR="00186A79" w:rsidRPr="0031164B" w14:paraId="535E6A94" w14:textId="782E2178" w:rsidTr="00186A79">
        <w:tc>
          <w:tcPr>
            <w:tcW w:w="2500" w:type="pct"/>
          </w:tcPr>
          <w:p w14:paraId="79AF4106" w14:textId="77777777" w:rsidR="00186A79" w:rsidRPr="00F55B7F" w:rsidRDefault="00186A79" w:rsidP="00F55B7F">
            <w:pPr>
              <w:pStyle w:val="Level2"/>
              <w:numPr>
                <w:ilvl w:val="1"/>
                <w:numId w:val="102"/>
              </w:numPr>
              <w:ind w:left="567" w:hanging="567"/>
              <w:rPr>
                <w:rFonts w:ascii="Times New Roman" w:hAnsi="Times New Roman" w:cs="Times New Roman"/>
                <w:sz w:val="24"/>
                <w:szCs w:val="24"/>
              </w:rPr>
            </w:pPr>
            <w:r w:rsidRPr="00F55B7F">
              <w:rPr>
                <w:rFonts w:ascii="Times New Roman" w:hAnsi="Times New Roman"/>
                <w:sz w:val="24"/>
                <w:szCs w:val="24"/>
              </w:rPr>
              <w:t>Tento dodatek o ochraně osobních údajů stanoví zásady, pravidla a povinnosti, které se vztahují na strany při zpracování osobních údajů podle této smlouvy.</w:t>
            </w:r>
          </w:p>
        </w:tc>
        <w:tc>
          <w:tcPr>
            <w:tcW w:w="2500" w:type="pct"/>
          </w:tcPr>
          <w:p w14:paraId="1CC6F8CC" w14:textId="68373681" w:rsidR="00186A79" w:rsidRPr="0031164B" w:rsidRDefault="00F55B7F" w:rsidP="00F35BB8">
            <w:pPr>
              <w:widowControl/>
              <w:autoSpaceDE/>
              <w:autoSpaceDN/>
              <w:adjustRightInd/>
              <w:spacing w:after="160" w:line="259" w:lineRule="auto"/>
              <w:ind w:left="463" w:hanging="463"/>
              <w:jc w:val="both"/>
              <w:rPr>
                <w:lang w:val="en-GB"/>
              </w:rPr>
            </w:pPr>
            <w:r>
              <w:rPr>
                <w:lang w:val="en-GB"/>
              </w:rPr>
              <w:t>1.1</w:t>
            </w:r>
            <w:r>
              <w:rPr>
                <w:lang w:val="en-GB"/>
              </w:rPr>
              <w:tab/>
            </w:r>
            <w:r w:rsidR="00186A79" w:rsidRPr="0031164B">
              <w:rPr>
                <w:lang w:val="en-GB"/>
              </w:rPr>
              <w:t>This Data Privacy Addendum sets out the principles, rules and obligations that apply to the Parties for the Processing of Personal Data under this Agreement.</w:t>
            </w:r>
          </w:p>
        </w:tc>
      </w:tr>
      <w:tr w:rsidR="00186A79" w:rsidRPr="0031164B" w14:paraId="6D1C2502" w14:textId="6FF360EA" w:rsidTr="00186A79">
        <w:tc>
          <w:tcPr>
            <w:tcW w:w="2500" w:type="pct"/>
          </w:tcPr>
          <w:p w14:paraId="682BA314" w14:textId="77777777" w:rsidR="00186A79" w:rsidRPr="00F55B7F" w:rsidRDefault="00186A79" w:rsidP="00F55B7F">
            <w:pPr>
              <w:pStyle w:val="Level2"/>
              <w:numPr>
                <w:ilvl w:val="1"/>
                <w:numId w:val="102"/>
              </w:numPr>
              <w:ind w:left="567" w:hanging="567"/>
              <w:rPr>
                <w:rFonts w:ascii="Times New Roman" w:hAnsi="Times New Roman" w:cs="Times New Roman"/>
                <w:sz w:val="24"/>
                <w:szCs w:val="24"/>
              </w:rPr>
            </w:pPr>
            <w:r w:rsidRPr="00F55B7F">
              <w:rPr>
                <w:rFonts w:ascii="Times New Roman" w:hAnsi="Times New Roman"/>
                <w:sz w:val="24"/>
                <w:szCs w:val="24"/>
              </w:rPr>
              <w:t xml:space="preserve">Strany dodržují: (a) své příslušné povinnosti podle tohoto dodatku o ochraně osobních údajů, (b) všechny platné zákony o ochraně osobních údajů a (c) veškeré platné regulační požadavky. </w:t>
            </w:r>
          </w:p>
        </w:tc>
        <w:tc>
          <w:tcPr>
            <w:tcW w:w="2500" w:type="pct"/>
          </w:tcPr>
          <w:p w14:paraId="66D9E179" w14:textId="091CFC21" w:rsidR="00186A79" w:rsidRPr="0031164B" w:rsidRDefault="00F55B7F" w:rsidP="00F35BB8">
            <w:pPr>
              <w:widowControl/>
              <w:autoSpaceDE/>
              <w:autoSpaceDN/>
              <w:adjustRightInd/>
              <w:spacing w:after="160" w:line="259" w:lineRule="auto"/>
              <w:ind w:left="463" w:hanging="463"/>
              <w:jc w:val="both"/>
              <w:rPr>
                <w:lang w:val="en-GB"/>
              </w:rPr>
            </w:pPr>
            <w:r>
              <w:rPr>
                <w:lang w:val="en-GB"/>
              </w:rPr>
              <w:t>1.2</w:t>
            </w:r>
            <w:r>
              <w:rPr>
                <w:lang w:val="en-GB"/>
              </w:rPr>
              <w:tab/>
            </w:r>
            <w:r w:rsidR="00186A79" w:rsidRPr="0031164B">
              <w:rPr>
                <w:lang w:val="en-GB"/>
              </w:rPr>
              <w:t xml:space="preserve">The Parties shall comply with: (a) their respective obligations under this Data Privacy Addendum, (b) all Applicable Data Protection Laws; and (c) any applicable regulatory requirements. </w:t>
            </w:r>
          </w:p>
        </w:tc>
      </w:tr>
      <w:tr w:rsidR="00186A79" w:rsidRPr="0031164B" w14:paraId="72A388A4" w14:textId="0D91D11B" w:rsidTr="00186A79">
        <w:tc>
          <w:tcPr>
            <w:tcW w:w="2500" w:type="pct"/>
          </w:tcPr>
          <w:p w14:paraId="6BC4A965" w14:textId="77777777" w:rsidR="00186A79" w:rsidRPr="00F55B7F" w:rsidRDefault="00186A79" w:rsidP="00F55B7F">
            <w:pPr>
              <w:pStyle w:val="Level2"/>
              <w:numPr>
                <w:ilvl w:val="1"/>
                <w:numId w:val="102"/>
              </w:numPr>
              <w:ind w:left="567" w:hanging="567"/>
              <w:rPr>
                <w:rFonts w:ascii="Times New Roman" w:hAnsi="Times New Roman" w:cs="Times New Roman"/>
                <w:sz w:val="24"/>
                <w:szCs w:val="24"/>
              </w:rPr>
            </w:pPr>
            <w:r w:rsidRPr="00F55B7F">
              <w:rPr>
                <w:rFonts w:ascii="Times New Roman" w:hAnsi="Times New Roman"/>
                <w:sz w:val="24"/>
                <w:szCs w:val="24"/>
              </w:rPr>
              <w:t xml:space="preserve">V případě jakéhokoli rozporu mezi tímto dodatkem a jakýmkoli jiným ustanovením smlouvy týkajícím se zpracování osobních údajů mají přednost podmínky tohoto dodatku o ochraně osobních údajů. Tento dodatek o ochraně osobních údajů je součástí této smlouvy a je do ní začleněn odkazem. Povinnosti obsažené v tomto dodatku zůstávají v platnosti i po skončení platnosti nebo ukončení smlouvy. </w:t>
            </w:r>
          </w:p>
        </w:tc>
        <w:tc>
          <w:tcPr>
            <w:tcW w:w="2500" w:type="pct"/>
          </w:tcPr>
          <w:p w14:paraId="2E0FC0F7" w14:textId="7805302C" w:rsidR="00186A79" w:rsidRPr="0031164B" w:rsidRDefault="00F55B7F" w:rsidP="00F35BB8">
            <w:pPr>
              <w:widowControl/>
              <w:autoSpaceDE/>
              <w:autoSpaceDN/>
              <w:adjustRightInd/>
              <w:spacing w:after="160" w:line="259" w:lineRule="auto"/>
              <w:ind w:left="463" w:hanging="463"/>
              <w:jc w:val="both"/>
              <w:rPr>
                <w:b/>
                <w:caps/>
                <w:lang w:val="en-GB"/>
              </w:rPr>
            </w:pPr>
            <w:r>
              <w:rPr>
                <w:lang w:val="en-GB"/>
              </w:rPr>
              <w:t>1.3</w:t>
            </w:r>
            <w:r>
              <w:rPr>
                <w:lang w:val="en-GB"/>
              </w:rPr>
              <w:tab/>
            </w:r>
            <w:r w:rsidR="00186A79" w:rsidRPr="0031164B">
              <w:rPr>
                <w:lang w:val="en-GB"/>
              </w:rPr>
              <w:t xml:space="preserve">In the event of any inconsistence between this Addendum and any other provision of the Agreement with respect to Processing of Personal Data, the terms of this Data Privacy Addendum shall prevail. This Data Privacy Addendum is part of this Agreement and incorporated therein by reference. The obligations contained in this Addendum will survive the expiration or termination of the Agreement. </w:t>
            </w:r>
          </w:p>
        </w:tc>
      </w:tr>
      <w:tr w:rsidR="00186A79" w:rsidRPr="0031164B" w14:paraId="3F2C5387" w14:textId="6DB5E103" w:rsidTr="00186A79">
        <w:tc>
          <w:tcPr>
            <w:tcW w:w="2500" w:type="pct"/>
          </w:tcPr>
          <w:p w14:paraId="06BDECA6" w14:textId="77777777" w:rsidR="00186A79" w:rsidRPr="00F55B7F" w:rsidRDefault="00186A79" w:rsidP="00F55B7F">
            <w:pPr>
              <w:pStyle w:val="Level1"/>
              <w:keepNext/>
              <w:numPr>
                <w:ilvl w:val="0"/>
                <w:numId w:val="102"/>
              </w:numPr>
              <w:spacing w:before="360"/>
              <w:rPr>
                <w:rFonts w:ascii="Times New Roman" w:hAnsi="Times New Roman" w:cs="Times New Roman"/>
                <w:sz w:val="24"/>
                <w:szCs w:val="24"/>
              </w:rPr>
            </w:pPr>
            <w:bookmarkStart w:id="280" w:name="_Ref37261402"/>
            <w:r w:rsidRPr="00F55B7F">
              <w:rPr>
                <w:rFonts w:ascii="Times New Roman" w:hAnsi="Times New Roman"/>
                <w:sz w:val="24"/>
                <w:szCs w:val="24"/>
              </w:rPr>
              <w:t>ROLE A ODPOVĚDNOSTI STRAN</w:t>
            </w:r>
            <w:bookmarkEnd w:id="280"/>
          </w:p>
        </w:tc>
        <w:tc>
          <w:tcPr>
            <w:tcW w:w="2500" w:type="pct"/>
          </w:tcPr>
          <w:p w14:paraId="758618FD" w14:textId="34798724" w:rsidR="00186A79" w:rsidRPr="0031164B" w:rsidRDefault="00186A79" w:rsidP="00F35BB8">
            <w:pPr>
              <w:pStyle w:val="Level1"/>
              <w:keepNext/>
              <w:numPr>
                <w:ilvl w:val="0"/>
                <w:numId w:val="103"/>
              </w:numPr>
              <w:spacing w:before="360"/>
              <w:jc w:val="both"/>
              <w:rPr>
                <w:b w:val="0"/>
                <w:caps w:val="0"/>
                <w:lang w:val="en-GB"/>
              </w:rPr>
            </w:pPr>
            <w:r w:rsidRPr="00F55B7F">
              <w:rPr>
                <w:rFonts w:ascii="Times New Roman" w:hAnsi="Times New Roman"/>
                <w:sz w:val="24"/>
                <w:szCs w:val="24"/>
              </w:rPr>
              <w:t>ROLES AND RESPONSIBILITIES OF THE PARTIES</w:t>
            </w:r>
          </w:p>
        </w:tc>
      </w:tr>
      <w:tr w:rsidR="00186A79" w:rsidRPr="0031164B" w14:paraId="1E7E8771" w14:textId="354232D7" w:rsidTr="00186A79">
        <w:tc>
          <w:tcPr>
            <w:tcW w:w="2500" w:type="pct"/>
          </w:tcPr>
          <w:p w14:paraId="228D36DD" w14:textId="08409A2A" w:rsidR="00186A79" w:rsidRPr="00F55B7F" w:rsidRDefault="00186A79" w:rsidP="00F55B7F">
            <w:pPr>
              <w:pStyle w:val="Level2"/>
              <w:numPr>
                <w:ilvl w:val="1"/>
                <w:numId w:val="103"/>
              </w:numPr>
              <w:ind w:left="567" w:hanging="567"/>
              <w:rPr>
                <w:rFonts w:ascii="Times New Roman" w:hAnsi="Times New Roman" w:cs="Times New Roman"/>
                <w:sz w:val="24"/>
                <w:szCs w:val="24"/>
              </w:rPr>
            </w:pPr>
            <w:r w:rsidRPr="00F55B7F">
              <w:rPr>
                <w:rFonts w:ascii="Times New Roman" w:hAnsi="Times New Roman"/>
                <w:sz w:val="24"/>
                <w:szCs w:val="24"/>
              </w:rPr>
              <w:t>Každá strana bude jednat jako nezávislý správce, jak je uvedeno v</w:t>
            </w:r>
            <w:r w:rsidR="00C6023A">
              <w:rPr>
                <w:rFonts w:ascii="Times New Roman" w:hAnsi="Times New Roman"/>
                <w:sz w:val="24"/>
                <w:szCs w:val="24"/>
              </w:rPr>
              <w:t> </w:t>
            </w:r>
            <w:r w:rsidRPr="00F55B7F">
              <w:rPr>
                <w:rFonts w:ascii="Times New Roman" w:hAnsi="Times New Roman"/>
                <w:sz w:val="24"/>
                <w:szCs w:val="24"/>
              </w:rPr>
              <w:t>tomto</w:t>
            </w:r>
            <w:r w:rsidR="00C6023A">
              <w:rPr>
                <w:rFonts w:ascii="Times New Roman" w:hAnsi="Times New Roman"/>
                <w:sz w:val="24"/>
                <w:szCs w:val="24"/>
              </w:rPr>
              <w:t xml:space="preserve"> oddíle</w:t>
            </w:r>
            <w:r w:rsidRPr="00F55B7F">
              <w:rPr>
                <w:rFonts w:ascii="Times New Roman" w:hAnsi="Times New Roman"/>
                <w:sz w:val="24"/>
                <w:szCs w:val="24"/>
              </w:rPr>
              <w:t xml:space="preserve"> </w:t>
            </w:r>
            <w:r w:rsidRPr="00F55B7F">
              <w:rPr>
                <w:rFonts w:ascii="Times New Roman" w:hAnsi="Times New Roman" w:cs="Times New Roman"/>
                <w:sz w:val="24"/>
                <w:szCs w:val="24"/>
              </w:rPr>
              <w:fldChar w:fldCharType="begin" w:fldLock="1"/>
            </w:r>
            <w:r w:rsidRPr="00F55B7F">
              <w:rPr>
                <w:rFonts w:ascii="Times New Roman" w:hAnsi="Times New Roman" w:cs="Times New Roman"/>
                <w:sz w:val="24"/>
                <w:szCs w:val="24"/>
              </w:rPr>
              <w:instrText xml:space="preserve"> REF _Ref37261402 \r \h  \* MERGEFORMAT </w:instrText>
            </w:r>
            <w:r w:rsidRPr="00F55B7F">
              <w:rPr>
                <w:rFonts w:ascii="Times New Roman" w:hAnsi="Times New Roman" w:cs="Times New Roman"/>
                <w:sz w:val="24"/>
                <w:szCs w:val="24"/>
              </w:rPr>
            </w:r>
            <w:r w:rsidRPr="00F55B7F">
              <w:rPr>
                <w:rFonts w:ascii="Times New Roman" w:hAnsi="Times New Roman" w:cs="Times New Roman"/>
                <w:sz w:val="24"/>
                <w:szCs w:val="24"/>
              </w:rPr>
              <w:fldChar w:fldCharType="separate"/>
            </w:r>
            <w:r w:rsidR="00816D6D">
              <w:rPr>
                <w:rFonts w:ascii="Times New Roman" w:hAnsi="Times New Roman" w:cs="Times New Roman"/>
                <w:sz w:val="24"/>
                <w:szCs w:val="24"/>
              </w:rPr>
              <w:t>2</w:t>
            </w:r>
            <w:r w:rsidRPr="00F55B7F">
              <w:rPr>
                <w:rFonts w:ascii="Times New Roman" w:hAnsi="Times New Roman" w:cs="Times New Roman"/>
                <w:sz w:val="24"/>
                <w:szCs w:val="24"/>
              </w:rPr>
              <w:fldChar w:fldCharType="end"/>
            </w:r>
            <w:r w:rsidRPr="00F55B7F">
              <w:rPr>
                <w:rFonts w:ascii="Times New Roman" w:hAnsi="Times New Roman"/>
                <w:sz w:val="24"/>
                <w:szCs w:val="24"/>
              </w:rPr>
              <w:t xml:space="preserve">. </w:t>
            </w:r>
          </w:p>
        </w:tc>
        <w:tc>
          <w:tcPr>
            <w:tcW w:w="2500" w:type="pct"/>
          </w:tcPr>
          <w:p w14:paraId="47A535E0" w14:textId="5479161E" w:rsidR="00186A79" w:rsidRPr="0031164B" w:rsidRDefault="00F55B7F" w:rsidP="00F35BB8">
            <w:pPr>
              <w:widowControl/>
              <w:autoSpaceDE/>
              <w:autoSpaceDN/>
              <w:adjustRightInd/>
              <w:spacing w:after="160" w:line="259" w:lineRule="auto"/>
              <w:ind w:left="463" w:hanging="463"/>
              <w:jc w:val="both"/>
              <w:rPr>
                <w:lang w:val="en-GB"/>
              </w:rPr>
            </w:pPr>
            <w:r>
              <w:rPr>
                <w:lang w:val="en-GB"/>
              </w:rPr>
              <w:t>2.1</w:t>
            </w:r>
            <w:r>
              <w:rPr>
                <w:lang w:val="en-GB"/>
              </w:rPr>
              <w:tab/>
            </w:r>
            <w:r w:rsidR="00186A79" w:rsidRPr="0031164B">
              <w:rPr>
                <w:lang w:val="en-GB"/>
              </w:rPr>
              <w:t xml:space="preserve">Each Party will act as independent Controller as set out in this </w:t>
            </w:r>
            <w:r w:rsidR="00186A79" w:rsidRPr="0031164B">
              <w:rPr>
                <w:lang w:val="en-GB"/>
              </w:rPr>
              <w:fldChar w:fldCharType="begin" w:fldLock="1"/>
            </w:r>
            <w:r w:rsidR="00186A79" w:rsidRPr="0031164B">
              <w:rPr>
                <w:lang w:val="en-GB"/>
              </w:rPr>
              <w:instrText xml:space="preserve"> REF _Ref37261402 \r \h  \* MERGEFORMAT </w:instrText>
            </w:r>
            <w:r w:rsidR="00186A79" w:rsidRPr="0031164B">
              <w:rPr>
                <w:lang w:val="en-GB"/>
              </w:rPr>
            </w:r>
            <w:r w:rsidR="00186A79" w:rsidRPr="0031164B">
              <w:rPr>
                <w:lang w:val="en-GB"/>
              </w:rPr>
              <w:fldChar w:fldCharType="separate"/>
            </w:r>
            <w:r w:rsidR="00816D6D">
              <w:rPr>
                <w:lang w:val="en-GB"/>
              </w:rPr>
              <w:t>2</w:t>
            </w:r>
            <w:r w:rsidR="00186A79" w:rsidRPr="0031164B">
              <w:rPr>
                <w:lang w:val="en-GB"/>
              </w:rPr>
              <w:fldChar w:fldCharType="end"/>
            </w:r>
            <w:r w:rsidR="00186A79" w:rsidRPr="0031164B">
              <w:rPr>
                <w:lang w:val="en-GB"/>
              </w:rPr>
              <w:t xml:space="preserve">. </w:t>
            </w:r>
          </w:p>
        </w:tc>
      </w:tr>
      <w:tr w:rsidR="00186A79" w:rsidRPr="0031164B" w14:paraId="7004F96D" w14:textId="2318C6BD" w:rsidTr="00186A79">
        <w:tc>
          <w:tcPr>
            <w:tcW w:w="2500" w:type="pct"/>
          </w:tcPr>
          <w:p w14:paraId="771EB4A4" w14:textId="77777777" w:rsidR="00186A79" w:rsidRPr="00F55B7F" w:rsidRDefault="00186A79" w:rsidP="00186A79">
            <w:pPr>
              <w:pStyle w:val="Level2"/>
              <w:numPr>
                <w:ilvl w:val="0"/>
                <w:numId w:val="0"/>
              </w:numPr>
              <w:rPr>
                <w:rFonts w:ascii="Times New Roman" w:hAnsi="Times New Roman" w:cs="Times New Roman"/>
                <w:sz w:val="24"/>
                <w:szCs w:val="24"/>
                <w:u w:val="single"/>
              </w:rPr>
            </w:pPr>
            <w:r w:rsidRPr="00F55B7F">
              <w:rPr>
                <w:rFonts w:ascii="Times New Roman" w:hAnsi="Times New Roman"/>
                <w:sz w:val="24"/>
                <w:szCs w:val="24"/>
                <w:u w:val="single"/>
              </w:rPr>
              <w:t xml:space="preserve">Zpracovatelské operace </w:t>
            </w:r>
            <w:r w:rsidRPr="00F55B7F">
              <w:rPr>
                <w:rFonts w:ascii="Times New Roman" w:hAnsi="Times New Roman"/>
                <w:sz w:val="24"/>
                <w:u w:val="single"/>
              </w:rPr>
              <w:t>BMS</w:t>
            </w:r>
          </w:p>
        </w:tc>
        <w:tc>
          <w:tcPr>
            <w:tcW w:w="2500" w:type="pct"/>
          </w:tcPr>
          <w:p w14:paraId="088D16E8" w14:textId="27B47862" w:rsidR="00186A79" w:rsidRPr="0031164B" w:rsidRDefault="00186A79" w:rsidP="00F35BB8">
            <w:pPr>
              <w:widowControl/>
              <w:autoSpaceDE/>
              <w:autoSpaceDN/>
              <w:adjustRightInd/>
              <w:spacing w:after="160" w:line="259" w:lineRule="auto"/>
              <w:jc w:val="both"/>
              <w:rPr>
                <w:u w:val="single"/>
                <w:lang w:val="en-GB"/>
              </w:rPr>
            </w:pPr>
            <w:r w:rsidRPr="0031164B">
              <w:rPr>
                <w:u w:val="single"/>
                <w:lang w:val="en-GB"/>
              </w:rPr>
              <w:t>BMS Processing operations</w:t>
            </w:r>
          </w:p>
        </w:tc>
      </w:tr>
      <w:tr w:rsidR="00186A79" w:rsidRPr="0031164B" w14:paraId="34F1BA72" w14:textId="517B009F" w:rsidTr="00186A79">
        <w:tc>
          <w:tcPr>
            <w:tcW w:w="2500" w:type="pct"/>
          </w:tcPr>
          <w:p w14:paraId="09E1C290" w14:textId="0A683C2A" w:rsidR="00186A79" w:rsidRPr="00F55B7F" w:rsidRDefault="00186A79" w:rsidP="00F55B7F">
            <w:pPr>
              <w:pStyle w:val="Level2"/>
              <w:numPr>
                <w:ilvl w:val="1"/>
                <w:numId w:val="103"/>
              </w:numPr>
              <w:ind w:left="567" w:hanging="567"/>
              <w:rPr>
                <w:rFonts w:ascii="Times New Roman" w:hAnsi="Times New Roman" w:cs="Times New Roman"/>
                <w:sz w:val="24"/>
                <w:szCs w:val="24"/>
              </w:rPr>
            </w:pPr>
            <w:r w:rsidRPr="00F55B7F">
              <w:rPr>
                <w:rFonts w:ascii="Times New Roman" w:hAnsi="Times New Roman"/>
                <w:sz w:val="24"/>
              </w:rPr>
              <w:t xml:space="preserve">Společnost BMS </w:t>
            </w:r>
            <w:r w:rsidRPr="00F55B7F">
              <w:rPr>
                <w:rFonts w:ascii="Times New Roman" w:hAnsi="Times New Roman"/>
                <w:sz w:val="24"/>
                <w:szCs w:val="24"/>
              </w:rPr>
              <w:t xml:space="preserve">působí jako správce: (a) osobních údajů </w:t>
            </w:r>
            <w:r w:rsidR="00857642">
              <w:rPr>
                <w:rFonts w:ascii="Times New Roman" w:hAnsi="Times New Roman"/>
                <w:sz w:val="24"/>
                <w:szCs w:val="24"/>
              </w:rPr>
              <w:t>Centra</w:t>
            </w:r>
            <w:r w:rsidRPr="00F55B7F">
              <w:rPr>
                <w:rFonts w:ascii="Times New Roman" w:hAnsi="Times New Roman"/>
                <w:sz w:val="24"/>
                <w:szCs w:val="24"/>
              </w:rPr>
              <w:t xml:space="preserve"> a (b) osobních údajů souvisejících s objednávkou produktu. </w:t>
            </w:r>
          </w:p>
        </w:tc>
        <w:tc>
          <w:tcPr>
            <w:tcW w:w="2500" w:type="pct"/>
          </w:tcPr>
          <w:p w14:paraId="76D3B65D" w14:textId="650FEB94" w:rsidR="00186A79" w:rsidRPr="0031164B" w:rsidRDefault="00F55B7F" w:rsidP="00F35BB8">
            <w:pPr>
              <w:widowControl/>
              <w:autoSpaceDE/>
              <w:autoSpaceDN/>
              <w:adjustRightInd/>
              <w:spacing w:after="160" w:line="259" w:lineRule="auto"/>
              <w:ind w:left="463" w:hanging="463"/>
              <w:jc w:val="both"/>
              <w:rPr>
                <w:lang w:val="en-GB"/>
              </w:rPr>
            </w:pPr>
            <w:r>
              <w:rPr>
                <w:lang w:val="en-GB"/>
              </w:rPr>
              <w:t>2.2</w:t>
            </w:r>
            <w:r>
              <w:rPr>
                <w:lang w:val="en-GB"/>
              </w:rPr>
              <w:tab/>
            </w:r>
            <w:r w:rsidR="00186A79" w:rsidRPr="0031164B">
              <w:rPr>
                <w:lang w:val="en-GB"/>
              </w:rPr>
              <w:t xml:space="preserve">BMS shall act as Controller of: (a) Center Personal Data; and (b) Product Order related Personal Data. </w:t>
            </w:r>
          </w:p>
        </w:tc>
      </w:tr>
      <w:tr w:rsidR="00186A79" w:rsidRPr="0031164B" w14:paraId="34794D31" w14:textId="5746F212" w:rsidTr="00186A79">
        <w:tc>
          <w:tcPr>
            <w:tcW w:w="2500" w:type="pct"/>
          </w:tcPr>
          <w:p w14:paraId="388A80BB" w14:textId="3F65533E" w:rsidR="00186A79" w:rsidRPr="00F55B7F" w:rsidRDefault="00857642" w:rsidP="00F55B7F">
            <w:pPr>
              <w:pStyle w:val="Level2"/>
              <w:numPr>
                <w:ilvl w:val="1"/>
                <w:numId w:val="103"/>
              </w:numPr>
              <w:ind w:left="567" w:hanging="567"/>
              <w:rPr>
                <w:rFonts w:ascii="Times New Roman" w:hAnsi="Times New Roman" w:cs="Times New Roman"/>
                <w:sz w:val="24"/>
                <w:szCs w:val="24"/>
              </w:rPr>
            </w:pPr>
            <w:r>
              <w:rPr>
                <w:rFonts w:ascii="Times New Roman" w:hAnsi="Times New Roman"/>
                <w:sz w:val="24"/>
                <w:szCs w:val="24"/>
              </w:rPr>
              <w:t>Centrum</w:t>
            </w:r>
            <w:r w:rsidR="00186A79" w:rsidRPr="00F55B7F">
              <w:rPr>
                <w:rFonts w:ascii="Times New Roman" w:hAnsi="Times New Roman"/>
                <w:sz w:val="24"/>
                <w:szCs w:val="24"/>
              </w:rPr>
              <w:t xml:space="preserve"> bere na vědomí a souhlasí s tím, že určité osobní údaje zaměstnanců </w:t>
            </w:r>
            <w:r w:rsidR="00AD3C29">
              <w:rPr>
                <w:rFonts w:ascii="Times New Roman" w:hAnsi="Times New Roman"/>
                <w:sz w:val="24"/>
                <w:szCs w:val="24"/>
              </w:rPr>
              <w:t>Centra</w:t>
            </w:r>
            <w:r w:rsidR="00186A79" w:rsidRPr="00F55B7F">
              <w:rPr>
                <w:rFonts w:ascii="Times New Roman" w:hAnsi="Times New Roman"/>
                <w:sz w:val="24"/>
                <w:szCs w:val="24"/>
              </w:rPr>
              <w:t xml:space="preserve"> („osobní údaje </w:t>
            </w:r>
            <w:r w:rsidR="00AD3C29">
              <w:rPr>
                <w:rFonts w:ascii="Times New Roman" w:hAnsi="Times New Roman"/>
                <w:sz w:val="24"/>
                <w:szCs w:val="24"/>
              </w:rPr>
              <w:t>Centra</w:t>
            </w:r>
            <w:r w:rsidR="00186A79" w:rsidRPr="00F55B7F">
              <w:rPr>
                <w:rFonts w:ascii="Times New Roman" w:hAnsi="Times New Roman"/>
                <w:sz w:val="24"/>
                <w:szCs w:val="24"/>
              </w:rPr>
              <w:t xml:space="preserve">“) mohou být zpřístupněny, </w:t>
            </w:r>
            <w:r w:rsidR="00186A79" w:rsidRPr="00F55B7F">
              <w:rPr>
                <w:rFonts w:ascii="Times New Roman" w:hAnsi="Times New Roman"/>
                <w:sz w:val="24"/>
                <w:szCs w:val="24"/>
              </w:rPr>
              <w:lastRenderedPageBreak/>
              <w:t xml:space="preserve">předány nebo uloženy společností </w:t>
            </w:r>
            <w:r w:rsidR="00186A79" w:rsidRPr="00F55B7F">
              <w:rPr>
                <w:rFonts w:ascii="Times New Roman" w:hAnsi="Times New Roman"/>
                <w:sz w:val="24"/>
              </w:rPr>
              <w:t>BMS</w:t>
            </w:r>
            <w:r w:rsidR="00186A79" w:rsidRPr="00F55B7F">
              <w:rPr>
                <w:rFonts w:ascii="Times New Roman" w:hAnsi="Times New Roman"/>
                <w:sz w:val="24"/>
                <w:szCs w:val="24"/>
              </w:rPr>
              <w:t xml:space="preserve">, společnostmi její skupiny nebo třetími stranami v rozsahu, který je přiměřeně nezbytný nebo povolený podle platných zákonů o ochraně údajů. </w:t>
            </w:r>
          </w:p>
        </w:tc>
        <w:tc>
          <w:tcPr>
            <w:tcW w:w="2500" w:type="pct"/>
          </w:tcPr>
          <w:p w14:paraId="57C17733" w14:textId="1F700804" w:rsidR="00186A79" w:rsidRPr="0031164B" w:rsidRDefault="00F55B7F" w:rsidP="00F35BB8">
            <w:pPr>
              <w:widowControl/>
              <w:autoSpaceDE/>
              <w:autoSpaceDN/>
              <w:adjustRightInd/>
              <w:spacing w:after="160" w:line="259" w:lineRule="auto"/>
              <w:ind w:left="463" w:hanging="463"/>
              <w:jc w:val="both"/>
              <w:rPr>
                <w:lang w:val="en-GB"/>
              </w:rPr>
            </w:pPr>
            <w:r>
              <w:rPr>
                <w:lang w:val="en-GB"/>
              </w:rPr>
              <w:lastRenderedPageBreak/>
              <w:t>2.3</w:t>
            </w:r>
            <w:r>
              <w:rPr>
                <w:lang w:val="en-GB"/>
              </w:rPr>
              <w:tab/>
            </w:r>
            <w:r w:rsidR="00186A79" w:rsidRPr="0031164B">
              <w:rPr>
                <w:lang w:val="en-GB"/>
              </w:rPr>
              <w:t xml:space="preserve">Center acknowledges and agrees that certain Personal Data of Center’s personnel (Center Personal Data) may be disclosed, transferred to, or stored by </w:t>
            </w:r>
            <w:r w:rsidR="00186A79" w:rsidRPr="0031164B">
              <w:rPr>
                <w:lang w:val="en-GB"/>
              </w:rPr>
              <w:lastRenderedPageBreak/>
              <w:t xml:space="preserve">BMS, its group companies, or third parties to the extent reasonably necessary or permitted under Applicable Data Protection Laws. </w:t>
            </w:r>
          </w:p>
        </w:tc>
      </w:tr>
      <w:tr w:rsidR="00186A79" w:rsidRPr="0031164B" w14:paraId="23595874" w14:textId="0585A8D6" w:rsidTr="00186A79">
        <w:tc>
          <w:tcPr>
            <w:tcW w:w="2500" w:type="pct"/>
          </w:tcPr>
          <w:p w14:paraId="2C9320AD" w14:textId="2D3734F6" w:rsidR="00186A79" w:rsidRPr="00F55B7F" w:rsidRDefault="00186A79" w:rsidP="00F55B7F">
            <w:pPr>
              <w:pStyle w:val="Level2"/>
              <w:numPr>
                <w:ilvl w:val="1"/>
                <w:numId w:val="103"/>
              </w:numPr>
              <w:ind w:left="567" w:hanging="567"/>
              <w:rPr>
                <w:rFonts w:ascii="Times New Roman" w:hAnsi="Times New Roman" w:cs="Times New Roman"/>
                <w:sz w:val="24"/>
                <w:szCs w:val="24"/>
              </w:rPr>
            </w:pPr>
            <w:r w:rsidRPr="00F55B7F">
              <w:rPr>
                <w:rFonts w:ascii="Times New Roman" w:hAnsi="Times New Roman"/>
                <w:sz w:val="24"/>
                <w:szCs w:val="24"/>
              </w:rPr>
              <w:lastRenderedPageBreak/>
              <w:t xml:space="preserve">Pokud společnost </w:t>
            </w:r>
            <w:r w:rsidRPr="00F55B7F">
              <w:rPr>
                <w:rFonts w:ascii="Times New Roman" w:hAnsi="Times New Roman"/>
                <w:sz w:val="24"/>
              </w:rPr>
              <w:t>BMS</w:t>
            </w:r>
            <w:r w:rsidRPr="00F55B7F">
              <w:rPr>
                <w:rFonts w:ascii="Times New Roman" w:hAnsi="Times New Roman"/>
                <w:sz w:val="24"/>
                <w:szCs w:val="24"/>
              </w:rPr>
              <w:t xml:space="preserve"> v souvislosti s touto smlouvou zpracovává osobní údaje </w:t>
            </w:r>
            <w:r w:rsidR="007B21F8">
              <w:rPr>
                <w:rFonts w:ascii="Times New Roman" w:hAnsi="Times New Roman"/>
                <w:sz w:val="24"/>
                <w:szCs w:val="24"/>
              </w:rPr>
              <w:t>Centra</w:t>
            </w:r>
            <w:r w:rsidRPr="00F55B7F">
              <w:rPr>
                <w:rFonts w:ascii="Times New Roman" w:hAnsi="Times New Roman"/>
                <w:sz w:val="24"/>
                <w:szCs w:val="24"/>
              </w:rPr>
              <w:t xml:space="preserve">, činí tak v souladu se svým oznámením o ochraně osobních údajů, které je k dispozici na adrese: </w:t>
            </w:r>
            <w:hyperlink r:id="rId14" w:history="1">
              <w:r w:rsidRPr="00F55B7F">
                <w:rPr>
                  <w:rStyle w:val="Hypertextovodkaz"/>
                  <w:rFonts w:ascii="Times New Roman" w:hAnsi="Times New Roman"/>
                  <w:sz w:val="24"/>
                  <w:szCs w:val="24"/>
                </w:rPr>
                <w:t>https://www.bms.com/CZ/privacy-policy.html</w:t>
              </w:r>
            </w:hyperlink>
            <w:r w:rsidRPr="00F55B7F">
              <w:rPr>
                <w:rFonts w:ascii="Times New Roman" w:hAnsi="Times New Roman"/>
                <w:sz w:val="24"/>
                <w:szCs w:val="24"/>
              </w:rPr>
              <w:t xml:space="preserve"> (v aktuálním znění). </w:t>
            </w:r>
          </w:p>
        </w:tc>
        <w:tc>
          <w:tcPr>
            <w:tcW w:w="2500" w:type="pct"/>
          </w:tcPr>
          <w:p w14:paraId="319B7709" w14:textId="70F0BF09" w:rsidR="00F55B7F" w:rsidRPr="00270111" w:rsidRDefault="00F55B7F" w:rsidP="00F35BB8">
            <w:pPr>
              <w:pStyle w:val="Level2"/>
              <w:numPr>
                <w:ilvl w:val="0"/>
                <w:numId w:val="0"/>
              </w:numPr>
              <w:ind w:left="450" w:hanging="360"/>
              <w:rPr>
                <w:rFonts w:ascii="Times New Roman" w:hAnsi="Times New Roman" w:cs="Times New Roman"/>
                <w:sz w:val="24"/>
                <w:szCs w:val="24"/>
                <w:lang w:val="en-US"/>
              </w:rPr>
            </w:pPr>
            <w:r>
              <w:rPr>
                <w:rFonts w:ascii="Times New Roman" w:hAnsi="Times New Roman" w:cs="Times New Roman"/>
                <w:sz w:val="24"/>
                <w:szCs w:val="24"/>
                <w:lang w:val="en-GB"/>
              </w:rPr>
              <w:t>2.4</w:t>
            </w:r>
            <w:r>
              <w:rPr>
                <w:rFonts w:ascii="Times New Roman" w:hAnsi="Times New Roman" w:cs="Times New Roman"/>
                <w:sz w:val="24"/>
                <w:szCs w:val="24"/>
                <w:lang w:val="en-GB"/>
              </w:rPr>
              <w:tab/>
            </w:r>
            <w:r w:rsidRPr="00240FF9">
              <w:rPr>
                <w:rFonts w:ascii="Times New Roman" w:hAnsi="Times New Roman" w:cs="Times New Roman"/>
                <w:sz w:val="24"/>
                <w:szCs w:val="24"/>
                <w:lang w:val="en-GB"/>
              </w:rPr>
              <w:t xml:space="preserve">Where, in </w:t>
            </w:r>
            <w:r w:rsidRPr="005615AB">
              <w:rPr>
                <w:rFonts w:ascii="Times New Roman" w:hAnsi="Times New Roman" w:cs="Times New Roman"/>
                <w:sz w:val="24"/>
                <w:szCs w:val="24"/>
                <w:lang w:val="en-GB"/>
              </w:rPr>
              <w:t xml:space="preserve">relation to this Agreement, </w:t>
            </w:r>
            <w:r>
              <w:rPr>
                <w:rFonts w:ascii="Times New Roman" w:hAnsi="Times New Roman"/>
                <w:sz w:val="24"/>
                <w:lang w:val="en-US"/>
              </w:rPr>
              <w:t>BMS</w:t>
            </w:r>
            <w:r w:rsidRPr="005615AB">
              <w:rPr>
                <w:rFonts w:ascii="Times New Roman" w:hAnsi="Times New Roman" w:cs="Times New Roman"/>
                <w:sz w:val="24"/>
                <w:szCs w:val="24"/>
                <w:lang w:val="en-US"/>
              </w:rPr>
              <w:t xml:space="preserve"> Processes</w:t>
            </w:r>
            <w:r w:rsidRPr="005615AB">
              <w:rPr>
                <w:rFonts w:ascii="Times New Roman" w:hAnsi="Times New Roman" w:cs="Times New Roman"/>
                <w:sz w:val="24"/>
                <w:szCs w:val="24"/>
                <w:lang w:val="en-GB"/>
              </w:rPr>
              <w:t xml:space="preserve"> </w:t>
            </w:r>
            <w:r w:rsidRPr="00914898">
              <w:rPr>
                <w:rFonts w:ascii="Times New Roman" w:hAnsi="Times New Roman" w:cs="Times New Roman"/>
                <w:sz w:val="24"/>
                <w:szCs w:val="24"/>
                <w:lang w:val="en-GB"/>
              </w:rPr>
              <w:t>Center</w:t>
            </w:r>
            <w:r w:rsidRPr="005615AB">
              <w:rPr>
                <w:rFonts w:ascii="Times New Roman" w:hAnsi="Times New Roman" w:cs="Times New Roman"/>
                <w:sz w:val="24"/>
                <w:szCs w:val="24"/>
                <w:lang w:val="en-GB"/>
              </w:rPr>
              <w:t xml:space="preserve"> Personal Data, it shall do so in accordance </w:t>
            </w:r>
            <w:r w:rsidRPr="00270111">
              <w:rPr>
                <w:rFonts w:ascii="Times New Roman" w:hAnsi="Times New Roman" w:cs="Times New Roman"/>
                <w:sz w:val="24"/>
                <w:szCs w:val="24"/>
                <w:lang w:val="en-GB"/>
              </w:rPr>
              <w:t xml:space="preserve">with its privacy </w:t>
            </w:r>
            <w:r>
              <w:rPr>
                <w:rFonts w:ascii="Times New Roman" w:hAnsi="Times New Roman" w:cs="Times New Roman"/>
                <w:sz w:val="24"/>
                <w:szCs w:val="24"/>
                <w:lang w:val="en-GB"/>
              </w:rPr>
              <w:t>notice</w:t>
            </w:r>
            <w:r w:rsidRPr="00270111">
              <w:rPr>
                <w:rFonts w:ascii="Times New Roman" w:hAnsi="Times New Roman" w:cs="Times New Roman"/>
                <w:sz w:val="24"/>
                <w:szCs w:val="24"/>
                <w:lang w:val="en-GB"/>
              </w:rPr>
              <w:t xml:space="preserve"> available at: </w:t>
            </w:r>
            <w:hyperlink r:id="rId15" w:history="1">
              <w:r w:rsidRPr="00AC5EE7">
                <w:rPr>
                  <w:rStyle w:val="Hypertextovodkaz"/>
                  <w:rFonts w:ascii="Times New Roman" w:hAnsi="Times New Roman" w:cs="Times New Roman"/>
                  <w:sz w:val="24"/>
                  <w:szCs w:val="24"/>
                  <w:lang w:val="en-US"/>
                </w:rPr>
                <w:t>https://www.bms.com/CZ/privacy-policy.html</w:t>
              </w:r>
            </w:hyperlink>
            <w:r w:rsidRPr="00270111">
              <w:rPr>
                <w:rFonts w:ascii="Times New Roman" w:hAnsi="Times New Roman" w:cs="Times New Roman"/>
                <w:sz w:val="24"/>
                <w:szCs w:val="24"/>
                <w:lang w:val="en-GB"/>
              </w:rPr>
              <w:t xml:space="preserve"> (as amended from time to time). </w:t>
            </w:r>
          </w:p>
          <w:p w14:paraId="73AAC5B9" w14:textId="79703BF2" w:rsidR="00186A79" w:rsidRPr="00F55B7F" w:rsidRDefault="00186A79" w:rsidP="00F35BB8">
            <w:pPr>
              <w:widowControl/>
              <w:autoSpaceDE/>
              <w:autoSpaceDN/>
              <w:adjustRightInd/>
              <w:spacing w:after="160" w:line="259" w:lineRule="auto"/>
              <w:jc w:val="both"/>
              <w:rPr>
                <w:lang w:val="en-US"/>
              </w:rPr>
            </w:pPr>
          </w:p>
        </w:tc>
      </w:tr>
      <w:tr w:rsidR="00186A79" w:rsidRPr="0031164B" w14:paraId="4CE385D6" w14:textId="61B8A8ED" w:rsidTr="00186A79">
        <w:tc>
          <w:tcPr>
            <w:tcW w:w="2500" w:type="pct"/>
          </w:tcPr>
          <w:p w14:paraId="35A3182F" w14:textId="39F78720" w:rsidR="00186A79" w:rsidRPr="00F55B7F" w:rsidRDefault="00186A79" w:rsidP="00186A79">
            <w:pPr>
              <w:pStyle w:val="Level2"/>
              <w:numPr>
                <w:ilvl w:val="0"/>
                <w:numId w:val="0"/>
              </w:numPr>
              <w:rPr>
                <w:rFonts w:ascii="Times New Roman" w:hAnsi="Times New Roman" w:cs="Times New Roman"/>
                <w:sz w:val="24"/>
                <w:szCs w:val="24"/>
                <w:u w:val="single"/>
              </w:rPr>
            </w:pPr>
            <w:r w:rsidRPr="00F55B7F">
              <w:rPr>
                <w:rFonts w:ascii="Times New Roman" w:hAnsi="Times New Roman"/>
                <w:sz w:val="24"/>
                <w:szCs w:val="24"/>
                <w:u w:val="single"/>
              </w:rPr>
              <w:t xml:space="preserve">Zpracovatelské operace </w:t>
            </w:r>
            <w:r w:rsidR="007B21F8">
              <w:rPr>
                <w:rFonts w:ascii="Times New Roman" w:hAnsi="Times New Roman"/>
                <w:sz w:val="24"/>
                <w:szCs w:val="24"/>
                <w:u w:val="single"/>
              </w:rPr>
              <w:t>Centra</w:t>
            </w:r>
          </w:p>
        </w:tc>
        <w:tc>
          <w:tcPr>
            <w:tcW w:w="2500" w:type="pct"/>
          </w:tcPr>
          <w:p w14:paraId="0435693D" w14:textId="1012F42C" w:rsidR="00186A79" w:rsidRPr="0031164B" w:rsidRDefault="00186A79" w:rsidP="00F35BB8">
            <w:pPr>
              <w:widowControl/>
              <w:autoSpaceDE/>
              <w:autoSpaceDN/>
              <w:adjustRightInd/>
              <w:spacing w:after="160" w:line="259" w:lineRule="auto"/>
              <w:jc w:val="both"/>
              <w:rPr>
                <w:u w:val="single"/>
                <w:lang w:val="en-GB"/>
              </w:rPr>
            </w:pPr>
            <w:r w:rsidRPr="0031164B">
              <w:rPr>
                <w:u w:val="single"/>
                <w:lang w:val="en-GB"/>
              </w:rPr>
              <w:t>Center Processing operations</w:t>
            </w:r>
          </w:p>
        </w:tc>
      </w:tr>
      <w:tr w:rsidR="00186A79" w:rsidRPr="0031164B" w14:paraId="37421C47" w14:textId="422DF980" w:rsidTr="00186A79">
        <w:tc>
          <w:tcPr>
            <w:tcW w:w="2500" w:type="pct"/>
          </w:tcPr>
          <w:p w14:paraId="4F923683" w14:textId="5E0FB54B" w:rsidR="00186A79" w:rsidRPr="00F55B7F" w:rsidRDefault="0070693C" w:rsidP="00F55B7F">
            <w:pPr>
              <w:pStyle w:val="Level2"/>
              <w:numPr>
                <w:ilvl w:val="1"/>
                <w:numId w:val="103"/>
              </w:numPr>
              <w:ind w:left="567" w:hanging="567"/>
              <w:rPr>
                <w:rFonts w:ascii="Times New Roman" w:hAnsi="Times New Roman" w:cs="Times New Roman"/>
                <w:sz w:val="24"/>
                <w:szCs w:val="24"/>
              </w:rPr>
            </w:pPr>
            <w:r>
              <w:rPr>
                <w:rFonts w:ascii="Times New Roman" w:hAnsi="Times New Roman"/>
                <w:sz w:val="24"/>
                <w:szCs w:val="24"/>
              </w:rPr>
              <w:t>Centrum</w:t>
            </w:r>
            <w:r w:rsidR="00186A79" w:rsidRPr="00F55B7F">
              <w:rPr>
                <w:rFonts w:ascii="Times New Roman" w:hAnsi="Times New Roman"/>
                <w:sz w:val="24"/>
                <w:szCs w:val="24"/>
              </w:rPr>
              <w:t xml:space="preserve"> působí jako správce operací zpracování týkajících se: (a) služby aferézy, jak je uvedeno v této smlouvě, včetně osobních údajů souvisejících se službou aferézy; (b) osobních údajů pacientů a </w:t>
            </w:r>
            <w:r>
              <w:rPr>
                <w:rFonts w:ascii="Times New Roman" w:hAnsi="Times New Roman"/>
                <w:sz w:val="24"/>
                <w:szCs w:val="24"/>
              </w:rPr>
              <w:t>Centra</w:t>
            </w:r>
            <w:r w:rsidR="00186A79" w:rsidRPr="00F55B7F">
              <w:rPr>
                <w:rFonts w:ascii="Times New Roman" w:hAnsi="Times New Roman"/>
                <w:sz w:val="24"/>
                <w:szCs w:val="24"/>
              </w:rPr>
              <w:t xml:space="preserve"> a (c) osobních údajů společnosti BMS, které zahrnují kontaktní údaje pracovníků společnosti </w:t>
            </w:r>
            <w:r w:rsidR="00186A79" w:rsidRPr="00F55B7F">
              <w:rPr>
                <w:rFonts w:ascii="Times New Roman" w:hAnsi="Times New Roman"/>
                <w:sz w:val="24"/>
              </w:rPr>
              <w:t>BMS</w:t>
            </w:r>
            <w:r w:rsidR="00186A79" w:rsidRPr="00F55B7F">
              <w:rPr>
                <w:rFonts w:ascii="Times New Roman" w:hAnsi="Times New Roman"/>
                <w:sz w:val="24"/>
                <w:szCs w:val="24"/>
              </w:rPr>
              <w:t>.</w:t>
            </w:r>
          </w:p>
        </w:tc>
        <w:tc>
          <w:tcPr>
            <w:tcW w:w="2500" w:type="pct"/>
          </w:tcPr>
          <w:p w14:paraId="78C98235" w14:textId="6BEB83F1" w:rsidR="00186A79" w:rsidRPr="0031164B" w:rsidRDefault="00F55B7F" w:rsidP="00F35BB8">
            <w:pPr>
              <w:widowControl/>
              <w:autoSpaceDE/>
              <w:autoSpaceDN/>
              <w:adjustRightInd/>
              <w:spacing w:after="160" w:line="259" w:lineRule="auto"/>
              <w:ind w:left="463" w:hanging="463"/>
              <w:jc w:val="both"/>
              <w:rPr>
                <w:lang w:val="en-GB"/>
              </w:rPr>
            </w:pPr>
            <w:r>
              <w:rPr>
                <w:lang w:val="en-GB"/>
              </w:rPr>
              <w:t>2.5</w:t>
            </w:r>
            <w:r>
              <w:rPr>
                <w:lang w:val="en-GB"/>
              </w:rPr>
              <w:tab/>
            </w:r>
            <w:r w:rsidR="00186A79" w:rsidRPr="0031164B">
              <w:rPr>
                <w:lang w:val="en-GB"/>
              </w:rPr>
              <w:t>Center shall act as Controller for the Processing operations relating to: (a) the Apheresis Services as set out in this Agreement including Apheresis Services Personal Data; (b) Patients and Center Personal Data and (c) BMS Personal data, which includes contact details of BMS’ personnel.</w:t>
            </w:r>
          </w:p>
        </w:tc>
      </w:tr>
      <w:tr w:rsidR="00186A79" w:rsidRPr="0031164B" w14:paraId="03067217" w14:textId="245B1427" w:rsidTr="00186A79">
        <w:tc>
          <w:tcPr>
            <w:tcW w:w="2500" w:type="pct"/>
          </w:tcPr>
          <w:p w14:paraId="7E439DB7" w14:textId="05898626" w:rsidR="00186A79" w:rsidRPr="00F55B7F" w:rsidRDefault="00186A79" w:rsidP="00F55B7F">
            <w:pPr>
              <w:pStyle w:val="Level2"/>
              <w:numPr>
                <w:ilvl w:val="1"/>
                <w:numId w:val="103"/>
              </w:numPr>
              <w:ind w:left="567" w:hanging="567"/>
              <w:rPr>
                <w:rFonts w:ascii="Times New Roman" w:hAnsi="Times New Roman"/>
                <w:sz w:val="24"/>
              </w:rPr>
            </w:pPr>
            <w:r w:rsidRPr="00F55B7F">
              <w:rPr>
                <w:rFonts w:ascii="Times New Roman" w:hAnsi="Times New Roman"/>
                <w:sz w:val="24"/>
                <w:szCs w:val="24"/>
              </w:rPr>
              <w:t xml:space="preserve">Pokud </w:t>
            </w:r>
            <w:r w:rsidR="005C52EF">
              <w:rPr>
                <w:rFonts w:ascii="Times New Roman" w:hAnsi="Times New Roman"/>
                <w:sz w:val="24"/>
                <w:szCs w:val="24"/>
              </w:rPr>
              <w:t>Centrum</w:t>
            </w:r>
            <w:r w:rsidRPr="00F55B7F">
              <w:rPr>
                <w:rFonts w:ascii="Times New Roman" w:hAnsi="Times New Roman"/>
                <w:sz w:val="24"/>
                <w:szCs w:val="24"/>
              </w:rPr>
              <w:t xml:space="preserve"> zpracovává osobní údaje </w:t>
            </w:r>
            <w:r w:rsidRPr="00F55B7F">
              <w:rPr>
                <w:rFonts w:ascii="Times New Roman" w:hAnsi="Times New Roman"/>
                <w:sz w:val="24"/>
              </w:rPr>
              <w:t>BMS</w:t>
            </w:r>
            <w:r w:rsidRPr="00F55B7F">
              <w:rPr>
                <w:rFonts w:ascii="Times New Roman" w:hAnsi="Times New Roman"/>
                <w:sz w:val="24"/>
                <w:szCs w:val="24"/>
              </w:rPr>
              <w:t>, činí tak v souladu se svým oznámením o ochraně osobních údajů.</w:t>
            </w:r>
            <w:r w:rsidR="005C52EF">
              <w:rPr>
                <w:rFonts w:ascii="Times New Roman" w:hAnsi="Times New Roman"/>
                <w:sz w:val="24"/>
                <w:szCs w:val="24"/>
              </w:rPr>
              <w:t xml:space="preserve"> Centrum</w:t>
            </w:r>
            <w:r w:rsidRPr="00F55B7F">
              <w:rPr>
                <w:rFonts w:ascii="Times New Roman" w:hAnsi="Times New Roman"/>
                <w:sz w:val="24"/>
                <w:szCs w:val="24"/>
              </w:rPr>
              <w:t xml:space="preserve"> bude </w:t>
            </w:r>
            <w:r w:rsidRPr="00F55B7F">
              <w:rPr>
                <w:rFonts w:ascii="Times New Roman" w:hAnsi="Times New Roman"/>
                <w:sz w:val="24"/>
              </w:rPr>
              <w:t>zpracovávat</w:t>
            </w:r>
            <w:r w:rsidRPr="00F55B7F">
              <w:rPr>
                <w:rFonts w:ascii="Times New Roman" w:hAnsi="Times New Roman"/>
                <w:sz w:val="24"/>
                <w:szCs w:val="24"/>
              </w:rPr>
              <w:t xml:space="preserve"> osobní údaje pouze pro účely leukaferézních procedur, léčby pacientů produktem a plnění této smlouvy, jak je uvedeno v doplňku 1 této </w:t>
            </w:r>
            <w:r w:rsidRPr="00F55B7F">
              <w:rPr>
                <w:rFonts w:ascii="Times New Roman" w:hAnsi="Times New Roman"/>
                <w:sz w:val="24"/>
              </w:rPr>
              <w:t>přílohy</w:t>
            </w:r>
            <w:r w:rsidRPr="00F55B7F">
              <w:rPr>
                <w:rFonts w:ascii="Times New Roman" w:hAnsi="Times New Roman"/>
                <w:sz w:val="24"/>
                <w:szCs w:val="24"/>
              </w:rPr>
              <w:t xml:space="preserve"> D</w:t>
            </w:r>
            <w:r w:rsidRPr="00F55B7F">
              <w:rPr>
                <w:rFonts w:ascii="Times New Roman" w:hAnsi="Times New Roman"/>
                <w:sz w:val="24"/>
              </w:rPr>
              <w:t>.</w:t>
            </w:r>
          </w:p>
        </w:tc>
        <w:tc>
          <w:tcPr>
            <w:tcW w:w="2500" w:type="pct"/>
          </w:tcPr>
          <w:p w14:paraId="5520E359" w14:textId="79E43A6B" w:rsidR="00186A79" w:rsidRPr="0031164B" w:rsidRDefault="00F55B7F" w:rsidP="00F35BB8">
            <w:pPr>
              <w:widowControl/>
              <w:autoSpaceDE/>
              <w:autoSpaceDN/>
              <w:adjustRightInd/>
              <w:spacing w:after="160" w:line="259" w:lineRule="auto"/>
              <w:ind w:left="463" w:hanging="463"/>
              <w:jc w:val="both"/>
              <w:rPr>
                <w:rFonts w:eastAsiaTheme="minorHAnsi" w:cstheme="minorBidi"/>
                <w:szCs w:val="22"/>
                <w:lang w:val="en-GB"/>
              </w:rPr>
            </w:pPr>
            <w:r>
              <w:rPr>
                <w:lang w:val="en-GB"/>
              </w:rPr>
              <w:t>2.6</w:t>
            </w:r>
            <w:r>
              <w:rPr>
                <w:lang w:val="en-GB"/>
              </w:rPr>
              <w:tab/>
            </w:r>
            <w:r w:rsidR="00186A79" w:rsidRPr="0031164B">
              <w:rPr>
                <w:lang w:val="en-GB"/>
              </w:rPr>
              <w:t>Where Center Processes BMS Personal Data, it shall do so in accordance with its privacy notice. The Center shall only Process Personal Data for the purpose of the leukapheresis procedures, the treatment of the patients with the Product and the performance of this Agreement, as set out in Schedule 1 to this Attachment D.</w:t>
            </w:r>
          </w:p>
        </w:tc>
      </w:tr>
      <w:tr w:rsidR="00186A79" w:rsidRPr="0031164B" w14:paraId="14476A45" w14:textId="10A6487D" w:rsidTr="00186A79">
        <w:tc>
          <w:tcPr>
            <w:tcW w:w="2500" w:type="pct"/>
          </w:tcPr>
          <w:p w14:paraId="71097E83" w14:textId="77777777" w:rsidR="00186A79" w:rsidRPr="00F55B7F" w:rsidRDefault="00186A79" w:rsidP="00F55B7F">
            <w:pPr>
              <w:pStyle w:val="Level1"/>
              <w:keepNext/>
              <w:numPr>
                <w:ilvl w:val="0"/>
                <w:numId w:val="103"/>
              </w:numPr>
              <w:spacing w:before="360"/>
              <w:rPr>
                <w:rFonts w:ascii="Times New Roman" w:hAnsi="Times New Roman" w:cs="Times New Roman"/>
                <w:sz w:val="24"/>
                <w:szCs w:val="24"/>
              </w:rPr>
            </w:pPr>
            <w:r w:rsidRPr="00F55B7F">
              <w:rPr>
                <w:rFonts w:ascii="Times New Roman" w:hAnsi="Times New Roman"/>
                <w:sz w:val="24"/>
                <w:szCs w:val="24"/>
              </w:rPr>
              <w:t>POŽADAVKY NA OCHRANU ÚDAJŮ</w:t>
            </w:r>
          </w:p>
        </w:tc>
        <w:tc>
          <w:tcPr>
            <w:tcW w:w="2500" w:type="pct"/>
          </w:tcPr>
          <w:p w14:paraId="56379982" w14:textId="2E08EF9D" w:rsidR="00186A79" w:rsidRPr="0031164B" w:rsidRDefault="00186A79" w:rsidP="00F35BB8">
            <w:pPr>
              <w:pStyle w:val="Level1"/>
              <w:keepNext/>
              <w:numPr>
                <w:ilvl w:val="0"/>
                <w:numId w:val="104"/>
              </w:numPr>
              <w:spacing w:before="360"/>
              <w:jc w:val="both"/>
              <w:rPr>
                <w:b w:val="0"/>
                <w:caps w:val="0"/>
                <w:lang w:val="en-GB"/>
              </w:rPr>
            </w:pPr>
            <w:r w:rsidRPr="00F55B7F">
              <w:rPr>
                <w:rFonts w:ascii="Times New Roman" w:hAnsi="Times New Roman"/>
                <w:sz w:val="24"/>
                <w:szCs w:val="24"/>
              </w:rPr>
              <w:t>DATA PROTECTION REQUIREMENTS</w:t>
            </w:r>
          </w:p>
        </w:tc>
      </w:tr>
      <w:tr w:rsidR="00186A79" w:rsidRPr="0031164B" w14:paraId="180E90A8" w14:textId="27DD1648" w:rsidTr="00186A79">
        <w:tc>
          <w:tcPr>
            <w:tcW w:w="2500" w:type="pct"/>
          </w:tcPr>
          <w:p w14:paraId="12C48427" w14:textId="073C3C5E" w:rsidR="00186A79" w:rsidRPr="00F55B7F" w:rsidRDefault="00186A79" w:rsidP="00186A79">
            <w:pPr>
              <w:pStyle w:val="Level2"/>
              <w:numPr>
                <w:ilvl w:val="1"/>
                <w:numId w:val="20"/>
              </w:numPr>
              <w:rPr>
                <w:rFonts w:ascii="Times New Roman" w:hAnsi="Times New Roman" w:cs="Times New Roman"/>
                <w:sz w:val="24"/>
                <w:szCs w:val="24"/>
              </w:rPr>
            </w:pPr>
            <w:r w:rsidRPr="00F55B7F">
              <w:rPr>
                <w:rFonts w:ascii="Times New Roman" w:hAnsi="Times New Roman"/>
                <w:b/>
                <w:sz w:val="24"/>
                <w:szCs w:val="24"/>
              </w:rPr>
              <w:t>Informační povinnosti:</w:t>
            </w:r>
            <w:r w:rsidRPr="00F55B7F">
              <w:rPr>
                <w:rFonts w:ascii="Times New Roman" w:hAnsi="Times New Roman"/>
                <w:sz w:val="24"/>
                <w:szCs w:val="24"/>
              </w:rPr>
              <w:t xml:space="preserve"> Každá strana je odpovědná za poskytnutí příslušných informací o zpracování osobních údajů druhé straně. </w:t>
            </w:r>
            <w:r w:rsidR="006476BF">
              <w:rPr>
                <w:rFonts w:ascii="Times New Roman" w:hAnsi="Times New Roman"/>
                <w:sz w:val="24"/>
                <w:szCs w:val="24"/>
              </w:rPr>
              <w:t>Centrum</w:t>
            </w:r>
            <w:r w:rsidRPr="00F55B7F">
              <w:rPr>
                <w:rFonts w:ascii="Times New Roman" w:hAnsi="Times New Roman"/>
                <w:sz w:val="24"/>
                <w:szCs w:val="24"/>
              </w:rPr>
              <w:t xml:space="preserve"> poskytne své oznámení o ochraně osobních údajů přímo pacientům, včetně informací </w:t>
            </w:r>
            <w:r w:rsidRPr="00F55B7F">
              <w:rPr>
                <w:rFonts w:ascii="Times New Roman" w:hAnsi="Times New Roman"/>
                <w:sz w:val="24"/>
                <w:szCs w:val="24"/>
              </w:rPr>
              <w:lastRenderedPageBreak/>
              <w:t xml:space="preserve">poskytnutých společností </w:t>
            </w:r>
            <w:r w:rsidRPr="00F55B7F">
              <w:rPr>
                <w:rFonts w:ascii="Times New Roman" w:hAnsi="Times New Roman"/>
                <w:sz w:val="24"/>
              </w:rPr>
              <w:t>BMS</w:t>
            </w:r>
            <w:r w:rsidRPr="00F55B7F">
              <w:rPr>
                <w:rFonts w:ascii="Times New Roman" w:hAnsi="Times New Roman"/>
                <w:sz w:val="24"/>
                <w:szCs w:val="24"/>
              </w:rPr>
              <w:t xml:space="preserve"> o činnostech zpracování.</w:t>
            </w:r>
          </w:p>
        </w:tc>
        <w:tc>
          <w:tcPr>
            <w:tcW w:w="2500" w:type="pct"/>
          </w:tcPr>
          <w:p w14:paraId="67AC7D21" w14:textId="067980AE"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lastRenderedPageBreak/>
              <w:t>1.</w:t>
            </w:r>
            <w:r w:rsidRPr="00F55B7F">
              <w:rPr>
                <w:b/>
                <w:lang w:val="en-GB"/>
              </w:rPr>
              <w:tab/>
            </w:r>
            <w:r w:rsidR="00186A79" w:rsidRPr="0031164B">
              <w:rPr>
                <w:b/>
                <w:lang w:val="en-GB"/>
              </w:rPr>
              <w:t>Information Duties:</w:t>
            </w:r>
            <w:r w:rsidR="00186A79" w:rsidRPr="0031164B">
              <w:rPr>
                <w:lang w:val="en-GB"/>
              </w:rPr>
              <w:t xml:space="preserve"> Each party is responsible for providing the other Party with the appropriate information on the Processing of Personal Data. Center shall provide its privacy notice directly to the patients, including information provided by BMS on its Processing activities.</w:t>
            </w:r>
          </w:p>
        </w:tc>
      </w:tr>
      <w:tr w:rsidR="00186A79" w:rsidRPr="0031164B" w14:paraId="2AFE7B9B" w14:textId="18E67EE3" w:rsidTr="00186A79">
        <w:tc>
          <w:tcPr>
            <w:tcW w:w="2500" w:type="pct"/>
          </w:tcPr>
          <w:p w14:paraId="01D03143" w14:textId="77777777"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sz w:val="24"/>
                <w:szCs w:val="24"/>
              </w:rPr>
              <w:t>Práva subjektů údajů:</w:t>
            </w:r>
            <w:r w:rsidRPr="00F55B7F">
              <w:rPr>
                <w:rFonts w:ascii="Times New Roman" w:hAnsi="Times New Roman"/>
                <w:sz w:val="24"/>
                <w:szCs w:val="24"/>
              </w:rPr>
              <w:t xml:space="preserve"> Každá strana je nadále odpovědná za to, že subjektům údajů umožní uplatnit jejich práva. </w:t>
            </w:r>
          </w:p>
        </w:tc>
        <w:tc>
          <w:tcPr>
            <w:tcW w:w="2500" w:type="pct"/>
          </w:tcPr>
          <w:p w14:paraId="5D9E79D1" w14:textId="2CFA575D"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t>3.1</w:t>
            </w:r>
            <w:r w:rsidRPr="00F55B7F">
              <w:rPr>
                <w:bCs/>
                <w:lang w:val="en-GB"/>
              </w:rPr>
              <w:tab/>
            </w:r>
            <w:r w:rsidR="00186A79" w:rsidRPr="0031164B">
              <w:rPr>
                <w:b/>
                <w:lang w:val="en-GB"/>
              </w:rPr>
              <w:t>Data Subjects Rights</w:t>
            </w:r>
            <w:r w:rsidR="00186A79" w:rsidRPr="0031164B">
              <w:rPr>
                <w:lang w:val="en-GB"/>
              </w:rPr>
              <w:t xml:space="preserve">: Each Party remains responsible for enabling Data Subjects to exercise their rights. </w:t>
            </w:r>
          </w:p>
        </w:tc>
      </w:tr>
      <w:tr w:rsidR="00186A79" w:rsidRPr="0031164B" w14:paraId="3944F72C" w14:textId="54EE9C1C" w:rsidTr="00186A79">
        <w:tc>
          <w:tcPr>
            <w:tcW w:w="2500" w:type="pct"/>
          </w:tcPr>
          <w:p w14:paraId="7FD8BFD9" w14:textId="77777777"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sz w:val="24"/>
                <w:szCs w:val="24"/>
              </w:rPr>
              <w:t>Technická a organizační opatření:</w:t>
            </w:r>
            <w:r w:rsidRPr="00F55B7F">
              <w:rPr>
                <w:rFonts w:ascii="Times New Roman" w:hAnsi="Times New Roman"/>
                <w:sz w:val="24"/>
                <w:szCs w:val="24"/>
              </w:rPr>
              <w:t xml:space="preserve"> Každá strana zavede vhodná technická a organizační opatření, aby zajistila úroveň bezpečnosti odpovídající rizikům, která vznikají při operacích zpracování v rámci jejich odpovědnosti. </w:t>
            </w:r>
          </w:p>
        </w:tc>
        <w:tc>
          <w:tcPr>
            <w:tcW w:w="2500" w:type="pct"/>
          </w:tcPr>
          <w:p w14:paraId="60E7BE27" w14:textId="75DED6B1"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t>3.2</w:t>
            </w:r>
            <w:r w:rsidRPr="00F55B7F">
              <w:rPr>
                <w:bCs/>
                <w:lang w:val="en-GB"/>
              </w:rPr>
              <w:tab/>
            </w:r>
            <w:r w:rsidR="00186A79" w:rsidRPr="0031164B">
              <w:rPr>
                <w:b/>
                <w:lang w:val="en-GB"/>
              </w:rPr>
              <w:t>Technical and Organizational Measures</w:t>
            </w:r>
            <w:r w:rsidR="00186A79" w:rsidRPr="0031164B">
              <w:rPr>
                <w:lang w:val="en-GB"/>
              </w:rPr>
              <w:t xml:space="preserve">: Each Party will implement appropriate technical and organizational measures to ensure a level of security appropriate to the risks incurred by the Processing operations under their respective responsibilities. </w:t>
            </w:r>
          </w:p>
        </w:tc>
      </w:tr>
      <w:tr w:rsidR="00186A79" w:rsidRPr="0031164B" w14:paraId="7B86CEB9" w14:textId="2A692944" w:rsidTr="00186A79">
        <w:tc>
          <w:tcPr>
            <w:tcW w:w="2500" w:type="pct"/>
          </w:tcPr>
          <w:p w14:paraId="25CB18E5" w14:textId="77777777"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sz w:val="24"/>
                <w:szCs w:val="24"/>
              </w:rPr>
              <w:t>Pomoc a spolupráce:</w:t>
            </w:r>
            <w:r w:rsidRPr="00F55B7F">
              <w:rPr>
                <w:rFonts w:ascii="Times New Roman" w:hAnsi="Times New Roman"/>
                <w:sz w:val="24"/>
                <w:szCs w:val="24"/>
              </w:rPr>
              <w:t xml:space="preserve"> Každá strana poskytne druhé straně přiměřenou pomoc a bude s ní spolupracovat v přiměřeném rozsahu, aby vyhověla žádostem nebo stížnostem obdrženým od subjektů údajů nebo dozorových úřadů („žádosti“). Pokud některá strana obdržela žádost, písemně a bez zbytečného odkladu informuje druhou stranu o těchto žádostech, které mohou zahrnovat šetření, monitorovací činnosti a podobná opatření prováděná dozorovým úřadem v souvislosti s operacemi zpracování podle této smlouvy. Přijímající strana oznámí druhé straně jakékoli skutečné nebo potenciální chyby, nesrovnalosti, opomenutí nebo podezření na porušení ustanovení týkajících se ochrany osobních údajů v rámci tohoto dodatku o ochraně osobních údajů. </w:t>
            </w:r>
          </w:p>
        </w:tc>
        <w:tc>
          <w:tcPr>
            <w:tcW w:w="2500" w:type="pct"/>
          </w:tcPr>
          <w:p w14:paraId="1F60DC4A" w14:textId="634D1275"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t>3.3</w:t>
            </w:r>
            <w:r w:rsidRPr="00F55B7F">
              <w:rPr>
                <w:bCs/>
                <w:lang w:val="en-GB"/>
              </w:rPr>
              <w:tab/>
            </w:r>
            <w:r w:rsidR="00186A79" w:rsidRPr="0031164B">
              <w:rPr>
                <w:b/>
                <w:lang w:val="en-GB"/>
              </w:rPr>
              <w:t>Assistance and Cooperation</w:t>
            </w:r>
            <w:r w:rsidR="00186A79" w:rsidRPr="0031164B">
              <w:rPr>
                <w:lang w:val="en-GB"/>
              </w:rPr>
              <w:t xml:space="preserve">: Each Party will provide reasonable assistance and shall cooperate with the other Party to the extent reasonably appropriate to comply with requests or complaints received from Data Subjects or Supervisory Authorities (“Requests”). Where a Party received a Request, it shall notify the other Party in writing without undue delay of such Requests, which may include enquiries, monitoring activities and similar measures undertaken by a Supervisory Authority regarding the Processing operations applicable under this Agreement. The receiving Party shall notify the other Party of any actual or potential errors, irregularities, omissions or suspected infringements of provisions relating to the protection of Personal Data under the scope of this Data Privacy Addendum. </w:t>
            </w:r>
          </w:p>
        </w:tc>
      </w:tr>
      <w:tr w:rsidR="00186A79" w:rsidRPr="0031164B" w14:paraId="36C79DDC" w14:textId="44CEF21C" w:rsidTr="00186A79">
        <w:tc>
          <w:tcPr>
            <w:tcW w:w="2500" w:type="pct"/>
          </w:tcPr>
          <w:p w14:paraId="7DB57E9F" w14:textId="4207DDE2"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sz w:val="24"/>
                <w:szCs w:val="24"/>
              </w:rPr>
              <w:t>Incidenty a porušení zabezpečení osobních údajů.</w:t>
            </w:r>
            <w:r w:rsidRPr="00F55B7F">
              <w:rPr>
                <w:rFonts w:ascii="Times New Roman" w:hAnsi="Times New Roman"/>
                <w:sz w:val="24"/>
                <w:szCs w:val="24"/>
              </w:rPr>
              <w:t xml:space="preserve"> V případě, že dojde k incidentu nebo porušení zabezpečení osobních údajů, které se týká osobních údajů druhé strany (dále jen „událost“) v souvislosti s touto smlouvou, strana, která událost</w:t>
            </w:r>
            <w:r w:rsidR="00BD4B3C">
              <w:rPr>
                <w:rFonts w:ascii="Times New Roman" w:hAnsi="Times New Roman"/>
                <w:sz w:val="24"/>
                <w:szCs w:val="24"/>
              </w:rPr>
              <w:t xml:space="preserve">í </w:t>
            </w:r>
            <w:r w:rsidR="0015223A">
              <w:rPr>
                <w:rFonts w:ascii="Times New Roman" w:hAnsi="Times New Roman"/>
                <w:sz w:val="24"/>
                <w:szCs w:val="24"/>
              </w:rPr>
              <w:t>utrpěla újmu</w:t>
            </w:r>
            <w:r w:rsidRPr="00F55B7F">
              <w:rPr>
                <w:rFonts w:ascii="Times New Roman" w:hAnsi="Times New Roman"/>
                <w:sz w:val="24"/>
                <w:szCs w:val="24"/>
              </w:rPr>
              <w:t>, to písemně oznámí druhé straně bez zbytečného odkladu</w:t>
            </w:r>
            <w:r w:rsidR="00E47CBA">
              <w:rPr>
                <w:rFonts w:ascii="Times New Roman" w:hAnsi="Times New Roman"/>
                <w:sz w:val="24"/>
                <w:szCs w:val="24"/>
              </w:rPr>
              <w:t>, nejpozději do 24</w:t>
            </w:r>
            <w:r w:rsidR="00B114DE">
              <w:rPr>
                <w:rFonts w:ascii="Times New Roman" w:hAnsi="Times New Roman"/>
                <w:sz w:val="24"/>
                <w:szCs w:val="24"/>
              </w:rPr>
              <w:t xml:space="preserve"> hodin</w:t>
            </w:r>
            <w:r w:rsidR="0086225F">
              <w:rPr>
                <w:rFonts w:ascii="Times New Roman" w:hAnsi="Times New Roman"/>
                <w:sz w:val="24"/>
                <w:szCs w:val="24"/>
              </w:rPr>
              <w:t xml:space="preserve"> </w:t>
            </w:r>
            <w:r w:rsidRPr="00F55B7F">
              <w:rPr>
                <w:rFonts w:ascii="Times New Roman" w:hAnsi="Times New Roman"/>
                <w:sz w:val="24"/>
                <w:szCs w:val="24"/>
              </w:rPr>
              <w:t xml:space="preserve">poté, co se o takové události dozvěděla, aby </w:t>
            </w:r>
            <w:r w:rsidRPr="00F55B7F">
              <w:rPr>
                <w:rFonts w:ascii="Times New Roman" w:hAnsi="Times New Roman"/>
                <w:sz w:val="24"/>
                <w:szCs w:val="24"/>
              </w:rPr>
              <w:lastRenderedPageBreak/>
              <w:t>strany mohly posoudit riziko s ní spojené. Strany si vzájemně poskytnou přiměřenou spolupráci a pomoc při zmírňování rizik spojených s událostí, včetně výměny informací.</w:t>
            </w:r>
            <w:r w:rsidRPr="00F55B7F">
              <w:rPr>
                <w:rFonts w:ascii="Times New Roman" w:hAnsi="Times New Roman"/>
                <w:sz w:val="24"/>
                <w:highlight w:val="yellow"/>
              </w:rPr>
              <w:t xml:space="preserve"> </w:t>
            </w:r>
          </w:p>
        </w:tc>
        <w:tc>
          <w:tcPr>
            <w:tcW w:w="2500" w:type="pct"/>
          </w:tcPr>
          <w:p w14:paraId="522AFD34" w14:textId="3FE96DC2"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lastRenderedPageBreak/>
              <w:t>3.4</w:t>
            </w:r>
            <w:r w:rsidRPr="00F55B7F">
              <w:rPr>
                <w:bCs/>
                <w:lang w:val="en-GB"/>
              </w:rPr>
              <w:tab/>
            </w:r>
            <w:r w:rsidR="00186A79" w:rsidRPr="0031164B">
              <w:rPr>
                <w:b/>
                <w:lang w:val="en-GB"/>
              </w:rPr>
              <w:t>Incidents and Personal Data Breach</w:t>
            </w:r>
            <w:r w:rsidR="00186A79" w:rsidRPr="0031164B">
              <w:rPr>
                <w:lang w:val="en-GB"/>
              </w:rPr>
              <w:t>. In the event a Party suffers an incident or a Personal Data Breach which involves Personal Data of the other Party (“Event”) in the context of this Agreement, the Party suffering the Event shall notify the other Party in writing without undue delay</w:t>
            </w:r>
            <w:r w:rsidR="00B114DE">
              <w:rPr>
                <w:lang w:val="en-GB"/>
              </w:rPr>
              <w:t>, no later than</w:t>
            </w:r>
            <w:r w:rsidR="00F479DD">
              <w:rPr>
                <w:lang w:val="en-GB"/>
              </w:rPr>
              <w:t xml:space="preserve"> 24 hours</w:t>
            </w:r>
            <w:r w:rsidR="00186A79" w:rsidRPr="0031164B">
              <w:rPr>
                <w:lang w:val="en-GB"/>
              </w:rPr>
              <w:t xml:space="preserve"> after becoming aware of such Event in order for the Parties to assess the risk associated to it. The Parties </w:t>
            </w:r>
            <w:r w:rsidR="00186A79" w:rsidRPr="0031164B">
              <w:rPr>
                <w:lang w:val="en-GB"/>
              </w:rPr>
              <w:lastRenderedPageBreak/>
              <w:t>shall provide reasonable cooperation and assistance to each other to mitigate any risks associated to the Event, including exchanging information.</w:t>
            </w:r>
            <w:r w:rsidR="00186A79" w:rsidRPr="0031164B">
              <w:rPr>
                <w:highlight w:val="yellow"/>
                <w:lang w:val="en-GB"/>
              </w:rPr>
              <w:t xml:space="preserve"> </w:t>
            </w:r>
          </w:p>
        </w:tc>
      </w:tr>
      <w:tr w:rsidR="00186A79" w:rsidRPr="0031164B" w14:paraId="4DD12CFE" w14:textId="06D4A1BD" w:rsidTr="00186A79">
        <w:tc>
          <w:tcPr>
            <w:tcW w:w="2500" w:type="pct"/>
          </w:tcPr>
          <w:p w14:paraId="22FFE3C1" w14:textId="77777777"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sz w:val="24"/>
                <w:szCs w:val="24"/>
              </w:rPr>
              <w:lastRenderedPageBreak/>
              <w:t>Požadavky na dokumentaci:</w:t>
            </w:r>
            <w:r w:rsidRPr="00F55B7F">
              <w:rPr>
                <w:rFonts w:ascii="Times New Roman" w:hAnsi="Times New Roman"/>
                <w:sz w:val="24"/>
                <w:szCs w:val="24"/>
              </w:rPr>
              <w:t xml:space="preserve"> Každá ze stran zpracovávajících osobní údaje je odpovědná za splnění požadavků, které spadají do její odpovědnosti jako správce a jejichž podrobnosti jsou uvedeny v doplňku 1. Pokud to povolují nebo vyžadují platné právní předpisy o ochraně údajů, může kterákoli strana na žádost druhé strany požadovat, aby druhá strana předložila důkaz o dodržování tohoto dodatku a platných právních předpisů o ochraně údajů.</w:t>
            </w:r>
          </w:p>
        </w:tc>
        <w:tc>
          <w:tcPr>
            <w:tcW w:w="2500" w:type="pct"/>
          </w:tcPr>
          <w:p w14:paraId="264D7520" w14:textId="2BB7AA2F" w:rsidR="00186A79" w:rsidRPr="0031164B" w:rsidRDefault="00F55B7F" w:rsidP="00F35BB8">
            <w:pPr>
              <w:widowControl/>
              <w:autoSpaceDE/>
              <w:autoSpaceDN/>
              <w:adjustRightInd/>
              <w:spacing w:after="160" w:line="259" w:lineRule="auto"/>
              <w:ind w:left="322" w:hanging="322"/>
              <w:jc w:val="both"/>
              <w:rPr>
                <w:lang w:val="en-GB"/>
              </w:rPr>
            </w:pPr>
            <w:r w:rsidRPr="00F55B7F">
              <w:rPr>
                <w:bCs/>
                <w:lang w:val="en-GB"/>
              </w:rPr>
              <w:t>3.5</w:t>
            </w:r>
            <w:r w:rsidRPr="00F55B7F">
              <w:rPr>
                <w:bCs/>
                <w:lang w:val="en-GB"/>
              </w:rPr>
              <w:tab/>
            </w:r>
            <w:r w:rsidR="00186A79" w:rsidRPr="0031164B">
              <w:rPr>
                <w:b/>
                <w:lang w:val="en-GB"/>
              </w:rPr>
              <w:t>Documentation Requirements:</w:t>
            </w:r>
            <w:r w:rsidR="00186A79" w:rsidRPr="0031164B">
              <w:rPr>
                <w:lang w:val="en-GB"/>
              </w:rPr>
              <w:t xml:space="preserve"> Either Party Processing Personal Data is responsible for fulfilling the requirements falling under its responsibility as Controller, the details of which are set out in Schedule 1. Where permitted or required by Applicable Data Protection Law, either Party may, upon request of the other Party, require the other Party to provide evidence of compliance with this Addendum and Applicable Data Protection Law.</w:t>
            </w:r>
          </w:p>
        </w:tc>
      </w:tr>
      <w:tr w:rsidR="00186A79" w:rsidRPr="0031164B" w14:paraId="669371BD" w14:textId="1B2F00CE" w:rsidTr="00186A79">
        <w:tc>
          <w:tcPr>
            <w:tcW w:w="2500" w:type="pct"/>
          </w:tcPr>
          <w:p w14:paraId="6CB7E9DB" w14:textId="2C3C14EE"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b/>
                <w:bCs/>
                <w:sz w:val="24"/>
                <w:szCs w:val="24"/>
              </w:rPr>
              <w:t>Přeshraniční</w:t>
            </w:r>
            <w:r w:rsidRPr="00F55B7F">
              <w:rPr>
                <w:rFonts w:ascii="Times New Roman" w:hAnsi="Times New Roman"/>
                <w:sz w:val="24"/>
                <w:szCs w:val="24"/>
              </w:rPr>
              <w:t xml:space="preserve"> </w:t>
            </w:r>
            <w:r w:rsidRPr="00F55B7F">
              <w:rPr>
                <w:rFonts w:ascii="Times New Roman" w:hAnsi="Times New Roman"/>
                <w:b/>
                <w:bCs/>
                <w:sz w:val="24"/>
                <w:szCs w:val="24"/>
              </w:rPr>
              <w:t>přenos dat:</w:t>
            </w:r>
            <w:r w:rsidRPr="00F55B7F">
              <w:rPr>
                <w:rFonts w:ascii="Times New Roman" w:hAnsi="Times New Roman"/>
                <w:sz w:val="24"/>
                <w:szCs w:val="24"/>
              </w:rPr>
              <w:t xml:space="preserve"> </w:t>
            </w:r>
            <w:r w:rsidR="00043153">
              <w:rPr>
                <w:rFonts w:ascii="Times New Roman" w:hAnsi="Times New Roman"/>
                <w:sz w:val="24"/>
                <w:szCs w:val="24"/>
              </w:rPr>
              <w:t>Centrum</w:t>
            </w:r>
            <w:r w:rsidRPr="00F55B7F">
              <w:rPr>
                <w:rFonts w:ascii="Times New Roman" w:hAnsi="Times New Roman"/>
                <w:sz w:val="24"/>
                <w:szCs w:val="24"/>
              </w:rPr>
              <w:t xml:space="preserve"> bere na vědomí a souhlasí s tím, že společnost </w:t>
            </w:r>
            <w:r w:rsidRPr="00F55B7F">
              <w:rPr>
                <w:rFonts w:ascii="Times New Roman" w:hAnsi="Times New Roman"/>
                <w:sz w:val="24"/>
              </w:rPr>
              <w:t>BMS</w:t>
            </w:r>
            <w:r w:rsidRPr="00F55B7F">
              <w:rPr>
                <w:rFonts w:ascii="Times New Roman" w:hAnsi="Times New Roman"/>
                <w:sz w:val="24"/>
                <w:szCs w:val="24"/>
              </w:rPr>
              <w:t xml:space="preserve"> může v rámci této smlouvy předávat, používat a uchovávat osobní údaje svým přidruženým společnostem a subdodavatelům v jiné zemi, než je země, ve které byly osobní údaje poprvé shromážděny, což zahrnuje Evropský hospodářský prostor, Spojené království, Švýcarsko, Indii a Spojené státy americké. </w:t>
            </w:r>
            <w:r w:rsidRPr="00F55B7F">
              <w:rPr>
                <w:rFonts w:ascii="Times New Roman" w:hAnsi="Times New Roman"/>
                <w:sz w:val="24"/>
              </w:rPr>
              <w:t>Společnost BMS</w:t>
            </w:r>
            <w:r w:rsidRPr="00F55B7F">
              <w:rPr>
                <w:rFonts w:ascii="Times New Roman" w:hAnsi="Times New Roman"/>
                <w:sz w:val="24"/>
                <w:szCs w:val="24"/>
              </w:rPr>
              <w:t xml:space="preserve"> tak učiní pouze v souladu s platnými zákony o ochraně osobních údajů.</w:t>
            </w:r>
          </w:p>
        </w:tc>
        <w:tc>
          <w:tcPr>
            <w:tcW w:w="2500" w:type="pct"/>
          </w:tcPr>
          <w:p w14:paraId="753E8D5D" w14:textId="086D29DF" w:rsidR="00186A79" w:rsidRPr="0031164B" w:rsidRDefault="00F55B7F" w:rsidP="00F35BB8">
            <w:pPr>
              <w:widowControl/>
              <w:autoSpaceDE/>
              <w:autoSpaceDN/>
              <w:adjustRightInd/>
              <w:spacing w:after="160" w:line="259" w:lineRule="auto"/>
              <w:ind w:left="322" w:hanging="322"/>
              <w:jc w:val="both"/>
              <w:rPr>
                <w:lang w:val="en-GB"/>
              </w:rPr>
            </w:pPr>
            <w:r w:rsidRPr="00F55B7F">
              <w:rPr>
                <w:lang w:val="en-GB"/>
              </w:rPr>
              <w:t>3.6</w:t>
            </w:r>
            <w:r w:rsidRPr="00F55B7F">
              <w:rPr>
                <w:lang w:val="en-GB"/>
              </w:rPr>
              <w:tab/>
            </w:r>
            <w:r w:rsidR="00186A79" w:rsidRPr="0031164B">
              <w:rPr>
                <w:b/>
                <w:bCs/>
                <w:lang w:val="en-GB"/>
              </w:rPr>
              <w:t>Cross-border</w:t>
            </w:r>
            <w:r w:rsidR="00186A79" w:rsidRPr="0031164B">
              <w:rPr>
                <w:lang w:val="en-GB"/>
              </w:rPr>
              <w:t xml:space="preserve"> </w:t>
            </w:r>
            <w:r w:rsidR="00186A79" w:rsidRPr="0031164B">
              <w:rPr>
                <w:b/>
                <w:bCs/>
                <w:lang w:val="en-GB"/>
              </w:rPr>
              <w:t>data transfer</w:t>
            </w:r>
            <w:r w:rsidR="00186A79" w:rsidRPr="0031164B">
              <w:rPr>
                <w:lang w:val="en-GB"/>
              </w:rPr>
              <w:t>: Center acknowledges and agrees that BMS may transfer, use and store Personal Data as part of this Agreement to its Affiliates and sub-contractors in a country other than the country in which the Personal Data was first collected, which includes the European Economic Area, the United Kingdom, Switzerland, India and the United States of America. BMS will only do so in accordance with applicable data protection laws.</w:t>
            </w:r>
          </w:p>
        </w:tc>
      </w:tr>
      <w:tr w:rsidR="00186A79" w:rsidRPr="0031164B" w14:paraId="4C5A0C4E" w14:textId="618330E7" w:rsidTr="00186A79">
        <w:tc>
          <w:tcPr>
            <w:tcW w:w="2500" w:type="pct"/>
          </w:tcPr>
          <w:p w14:paraId="417F512D" w14:textId="17FBBFFC" w:rsidR="00186A79" w:rsidRPr="00F55B7F" w:rsidRDefault="00186A79" w:rsidP="00F55B7F">
            <w:pPr>
              <w:pStyle w:val="Level2"/>
              <w:numPr>
                <w:ilvl w:val="1"/>
                <w:numId w:val="104"/>
              </w:numPr>
              <w:ind w:left="567" w:hanging="567"/>
              <w:rPr>
                <w:rFonts w:ascii="Times New Roman" w:hAnsi="Times New Roman" w:cs="Times New Roman"/>
                <w:sz w:val="24"/>
                <w:szCs w:val="24"/>
              </w:rPr>
            </w:pPr>
            <w:r w:rsidRPr="00F55B7F">
              <w:rPr>
                <w:rFonts w:ascii="Times New Roman" w:hAnsi="Times New Roman"/>
                <w:sz w:val="24"/>
                <w:szCs w:val="24"/>
              </w:rPr>
              <w:t xml:space="preserve">Pokud společnost </w:t>
            </w:r>
            <w:r w:rsidRPr="00F55B7F">
              <w:rPr>
                <w:rFonts w:ascii="Times New Roman" w:hAnsi="Times New Roman"/>
                <w:sz w:val="24"/>
              </w:rPr>
              <w:t>BMS</w:t>
            </w:r>
            <w:r w:rsidRPr="00F55B7F">
              <w:rPr>
                <w:rFonts w:ascii="Times New Roman" w:hAnsi="Times New Roman"/>
                <w:sz w:val="24"/>
                <w:szCs w:val="24"/>
              </w:rPr>
              <w:t xml:space="preserve"> přistoupí k jakémukoli takovému předání osobních údajů </w:t>
            </w:r>
            <w:r w:rsidR="00BA4987">
              <w:rPr>
                <w:rFonts w:ascii="Times New Roman" w:hAnsi="Times New Roman"/>
                <w:sz w:val="24"/>
                <w:szCs w:val="24"/>
              </w:rPr>
              <w:t>Centra</w:t>
            </w:r>
            <w:r w:rsidRPr="00F55B7F">
              <w:rPr>
                <w:rFonts w:ascii="Times New Roman" w:hAnsi="Times New Roman"/>
                <w:sz w:val="24"/>
                <w:szCs w:val="24"/>
              </w:rPr>
              <w:t xml:space="preserve"> pro jakéhokoli příjemce, který se nachází mimo oblast rovnocenné ochrany, společnost </w:t>
            </w:r>
            <w:r w:rsidRPr="00F55B7F">
              <w:rPr>
                <w:rFonts w:ascii="Times New Roman" w:hAnsi="Times New Roman"/>
                <w:sz w:val="24"/>
              </w:rPr>
              <w:t>BMS</w:t>
            </w:r>
            <w:r w:rsidRPr="00F55B7F">
              <w:rPr>
                <w:rFonts w:ascii="Times New Roman" w:hAnsi="Times New Roman"/>
                <w:sz w:val="24"/>
                <w:szCs w:val="24"/>
              </w:rPr>
              <w:t xml:space="preserve"> potvrzuje, že: </w:t>
            </w:r>
          </w:p>
        </w:tc>
        <w:tc>
          <w:tcPr>
            <w:tcW w:w="2500" w:type="pct"/>
          </w:tcPr>
          <w:p w14:paraId="00F7E9DC" w14:textId="547D7A09" w:rsidR="00186A79" w:rsidRPr="0031164B" w:rsidRDefault="00F55B7F" w:rsidP="00F35BB8">
            <w:pPr>
              <w:widowControl/>
              <w:autoSpaceDE/>
              <w:autoSpaceDN/>
              <w:adjustRightInd/>
              <w:spacing w:after="160" w:line="259" w:lineRule="auto"/>
              <w:ind w:left="322" w:hanging="322"/>
              <w:jc w:val="both"/>
              <w:rPr>
                <w:lang w:val="en-GB"/>
              </w:rPr>
            </w:pPr>
            <w:r>
              <w:rPr>
                <w:lang w:val="en-GB"/>
              </w:rPr>
              <w:t>3.7</w:t>
            </w:r>
            <w:r>
              <w:rPr>
                <w:lang w:val="en-GB"/>
              </w:rPr>
              <w:tab/>
            </w:r>
            <w:r w:rsidR="00186A79" w:rsidRPr="0031164B">
              <w:rPr>
                <w:lang w:val="en-GB"/>
              </w:rPr>
              <w:t xml:space="preserve">Where BMS proceeds to any such transfer of Center Personal Data, for any recipient located outside the Equivalent Protection Area, BMS confirms that it has: </w:t>
            </w:r>
          </w:p>
        </w:tc>
      </w:tr>
      <w:tr w:rsidR="00F55B7F" w:rsidRPr="0031164B" w14:paraId="79485B2C" w14:textId="62055322" w:rsidTr="00D23897">
        <w:trPr>
          <w:trHeight w:val="4787"/>
        </w:trPr>
        <w:tc>
          <w:tcPr>
            <w:tcW w:w="2500" w:type="pct"/>
          </w:tcPr>
          <w:p w14:paraId="0A4E782E" w14:textId="77777777" w:rsidR="00F55B7F" w:rsidRPr="00F55B7F" w:rsidRDefault="00F55B7F" w:rsidP="00186A79">
            <w:pPr>
              <w:pStyle w:val="Level2"/>
              <w:numPr>
                <w:ilvl w:val="0"/>
                <w:numId w:val="7"/>
              </w:numPr>
              <w:rPr>
                <w:rFonts w:ascii="Times New Roman" w:hAnsi="Times New Roman" w:cs="Times New Roman"/>
                <w:sz w:val="24"/>
                <w:szCs w:val="24"/>
              </w:rPr>
            </w:pPr>
            <w:r w:rsidRPr="00F55B7F">
              <w:rPr>
                <w:rFonts w:ascii="Times New Roman" w:hAnsi="Times New Roman"/>
                <w:sz w:val="24"/>
                <w:szCs w:val="24"/>
              </w:rPr>
              <w:lastRenderedPageBreak/>
              <w:t xml:space="preserve">zavedla vhodné mechanismy předávání údajů v rámci skupiny, které jsou v souladu se všemi zákony na ochranu údajů, a </w:t>
            </w:r>
          </w:p>
          <w:p w14:paraId="3596E7D3" w14:textId="3000F200" w:rsidR="00F55B7F" w:rsidRPr="00F55B7F" w:rsidRDefault="00F55B7F" w:rsidP="00186A79">
            <w:pPr>
              <w:pStyle w:val="Level2"/>
              <w:numPr>
                <w:ilvl w:val="0"/>
                <w:numId w:val="7"/>
              </w:numPr>
              <w:rPr>
                <w:rFonts w:ascii="Times New Roman" w:hAnsi="Times New Roman" w:cs="Times New Roman"/>
                <w:sz w:val="24"/>
                <w:szCs w:val="24"/>
              </w:rPr>
            </w:pPr>
            <w:r w:rsidRPr="00F55B7F">
              <w:rPr>
                <w:rFonts w:ascii="Times New Roman" w:hAnsi="Times New Roman"/>
                <w:sz w:val="24"/>
                <w:szCs w:val="24"/>
              </w:rPr>
              <w:t xml:space="preserve">uzavřela vhodné smlouvy s třetími stranami, které zahrnují mechanismy předávání údajů založené buď na (i) standardních smluvních doložkách EU schválených Evropskou komisí, aby byla zajištěna odpovídající úroveň ochrany předávání osobních údajů </w:t>
            </w:r>
            <w:r w:rsidR="00851E90">
              <w:rPr>
                <w:rFonts w:ascii="Times New Roman" w:hAnsi="Times New Roman"/>
                <w:sz w:val="24"/>
                <w:szCs w:val="24"/>
              </w:rPr>
              <w:t>Centra</w:t>
            </w:r>
            <w:r w:rsidRPr="00F55B7F">
              <w:rPr>
                <w:rFonts w:ascii="Times New Roman" w:hAnsi="Times New Roman"/>
                <w:sz w:val="24"/>
                <w:szCs w:val="24"/>
              </w:rPr>
              <w:t xml:space="preserve">, nebo (ii) případně na jakémkoli jiném vhodném mechanismu předávání údajů. </w:t>
            </w:r>
          </w:p>
        </w:tc>
        <w:tc>
          <w:tcPr>
            <w:tcW w:w="2500" w:type="pct"/>
          </w:tcPr>
          <w:p w14:paraId="0041ED7C" w14:textId="77777777" w:rsidR="00F55B7F" w:rsidRPr="00F55B7F" w:rsidRDefault="00F55B7F" w:rsidP="00F35BB8">
            <w:pPr>
              <w:pStyle w:val="Odstavecseseznamem"/>
              <w:widowControl/>
              <w:numPr>
                <w:ilvl w:val="0"/>
                <w:numId w:val="105"/>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implemented appropriate intra-group data transfer mechanisms that comply with all data protection laws; and </w:t>
            </w:r>
          </w:p>
          <w:p w14:paraId="01532389" w14:textId="7C405D06" w:rsidR="00F55B7F" w:rsidRPr="00F55B7F" w:rsidRDefault="00F55B7F" w:rsidP="00F35BB8">
            <w:pPr>
              <w:pStyle w:val="Odstavecseseznamem"/>
              <w:numPr>
                <w:ilvl w:val="0"/>
                <w:numId w:val="105"/>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entered into appropriate contracts with third parties, which includes data transfer mechanisms based on either (i) EU standard contractual clauses as approved by the European Commission to ensure an adequate level of protection for the transfer of Center Personal Data; or (ii) where appropriate, any other appropriate data transfer mechanism. </w:t>
            </w:r>
          </w:p>
        </w:tc>
      </w:tr>
      <w:tr w:rsidR="00186A79" w:rsidRPr="0031164B" w14:paraId="51BE427F" w14:textId="79DD5161" w:rsidTr="00186A79">
        <w:tc>
          <w:tcPr>
            <w:tcW w:w="2500" w:type="pct"/>
          </w:tcPr>
          <w:p w14:paraId="3D17B66D" w14:textId="47F48699" w:rsidR="00186A79" w:rsidRPr="00F55B7F" w:rsidRDefault="00186A79" w:rsidP="00F55B7F">
            <w:pPr>
              <w:pStyle w:val="Level1"/>
              <w:keepNext/>
              <w:numPr>
                <w:ilvl w:val="0"/>
                <w:numId w:val="104"/>
              </w:numPr>
              <w:spacing w:before="360"/>
              <w:rPr>
                <w:rFonts w:ascii="Times New Roman" w:hAnsi="Times New Roman" w:cs="Times New Roman"/>
                <w:sz w:val="24"/>
                <w:szCs w:val="24"/>
              </w:rPr>
            </w:pPr>
            <w:r w:rsidRPr="00F55B7F">
              <w:rPr>
                <w:rFonts w:ascii="Times New Roman" w:hAnsi="Times New Roman"/>
                <w:sz w:val="24"/>
                <w:szCs w:val="24"/>
              </w:rPr>
              <w:t xml:space="preserve">ORGANIZAČNÍ OPATŘENÍ </w:t>
            </w:r>
            <w:r w:rsidR="00096442">
              <w:rPr>
                <w:rFonts w:ascii="Times New Roman" w:hAnsi="Times New Roman"/>
                <w:sz w:val="24"/>
                <w:szCs w:val="24"/>
              </w:rPr>
              <w:t>CENTRA</w:t>
            </w:r>
            <w:r w:rsidRPr="00F55B7F">
              <w:rPr>
                <w:rFonts w:ascii="Times New Roman" w:hAnsi="Times New Roman"/>
                <w:sz w:val="24"/>
                <w:szCs w:val="24"/>
              </w:rPr>
              <w:t xml:space="preserve"> PRO PŘÍSTUP K SYSTÉMŮM BMS</w:t>
            </w:r>
          </w:p>
        </w:tc>
        <w:tc>
          <w:tcPr>
            <w:tcW w:w="2500" w:type="pct"/>
          </w:tcPr>
          <w:p w14:paraId="3A87DCAA" w14:textId="09294B4A" w:rsidR="00186A79" w:rsidRPr="0031164B" w:rsidRDefault="00186A79" w:rsidP="00F35BB8">
            <w:pPr>
              <w:pStyle w:val="Level1"/>
              <w:keepNext/>
              <w:numPr>
                <w:ilvl w:val="0"/>
                <w:numId w:val="106"/>
              </w:numPr>
              <w:spacing w:before="360"/>
              <w:jc w:val="both"/>
              <w:rPr>
                <w:b w:val="0"/>
                <w:caps w:val="0"/>
                <w:lang w:val="en-GB"/>
              </w:rPr>
            </w:pPr>
            <w:r w:rsidRPr="00F55B7F">
              <w:rPr>
                <w:rFonts w:ascii="Times New Roman" w:hAnsi="Times New Roman"/>
                <w:sz w:val="24"/>
                <w:szCs w:val="24"/>
              </w:rPr>
              <w:t>CENTER ORGANIZATIONAL MEASURES FOR ACCESSING BMS SYSTEMS</w:t>
            </w:r>
          </w:p>
        </w:tc>
      </w:tr>
      <w:tr w:rsidR="00186A79" w:rsidRPr="0031164B" w14:paraId="15D2A5C7" w14:textId="103A0E15" w:rsidTr="00186A79">
        <w:tc>
          <w:tcPr>
            <w:tcW w:w="2500" w:type="pct"/>
          </w:tcPr>
          <w:p w14:paraId="0B09E63F" w14:textId="0ADC6E9B" w:rsidR="00186A79" w:rsidRPr="00F55B7F" w:rsidRDefault="00186A79" w:rsidP="00F55B7F">
            <w:pPr>
              <w:pStyle w:val="Level2"/>
              <w:numPr>
                <w:ilvl w:val="1"/>
                <w:numId w:val="106"/>
              </w:numPr>
              <w:ind w:left="567" w:hanging="567"/>
              <w:rPr>
                <w:rFonts w:ascii="Times New Roman" w:hAnsi="Times New Roman" w:cs="Times New Roman"/>
                <w:sz w:val="24"/>
                <w:szCs w:val="24"/>
              </w:rPr>
            </w:pPr>
            <w:r w:rsidRPr="00F55B7F">
              <w:rPr>
                <w:rFonts w:ascii="Times New Roman" w:hAnsi="Times New Roman"/>
                <w:sz w:val="24"/>
              </w:rPr>
              <w:t xml:space="preserve">Společnost </w:t>
            </w:r>
            <w:r w:rsidRPr="00F55B7F">
              <w:rPr>
                <w:rFonts w:ascii="Times New Roman" w:hAnsi="Times New Roman"/>
                <w:sz w:val="24"/>
                <w:szCs w:val="24"/>
              </w:rPr>
              <w:t xml:space="preserve">BMS může </w:t>
            </w:r>
            <w:r w:rsidR="00096442">
              <w:rPr>
                <w:rFonts w:ascii="Times New Roman" w:hAnsi="Times New Roman"/>
                <w:sz w:val="24"/>
                <w:szCs w:val="24"/>
              </w:rPr>
              <w:t>Centru</w:t>
            </w:r>
            <w:r w:rsidRPr="00F55B7F">
              <w:rPr>
                <w:rFonts w:ascii="Times New Roman" w:hAnsi="Times New Roman"/>
                <w:sz w:val="24"/>
                <w:szCs w:val="24"/>
              </w:rPr>
              <w:t xml:space="preserve"> umožnit přístup k systémům společnosti </w:t>
            </w:r>
            <w:r w:rsidRPr="00F55B7F">
              <w:rPr>
                <w:rFonts w:ascii="Times New Roman" w:hAnsi="Times New Roman"/>
                <w:sz w:val="24"/>
              </w:rPr>
              <w:t>BMS</w:t>
            </w:r>
            <w:r w:rsidRPr="00F55B7F">
              <w:rPr>
                <w:rFonts w:ascii="Times New Roman" w:hAnsi="Times New Roman"/>
                <w:sz w:val="24"/>
                <w:szCs w:val="24"/>
              </w:rPr>
              <w:t xml:space="preserve"> a jejich používání za účelem organizace leukaferézních procedur, schůzek, výroby a léčby subjektu údajů produktem společnosti </w:t>
            </w:r>
            <w:r w:rsidRPr="00F55B7F">
              <w:rPr>
                <w:rFonts w:ascii="Times New Roman" w:hAnsi="Times New Roman"/>
                <w:sz w:val="24"/>
              </w:rPr>
              <w:t>BMS</w:t>
            </w:r>
            <w:r w:rsidRPr="00F55B7F">
              <w:rPr>
                <w:rFonts w:ascii="Times New Roman" w:hAnsi="Times New Roman"/>
                <w:sz w:val="24"/>
                <w:szCs w:val="24"/>
              </w:rPr>
              <w:t xml:space="preserve">. </w:t>
            </w:r>
          </w:p>
        </w:tc>
        <w:tc>
          <w:tcPr>
            <w:tcW w:w="2500" w:type="pct"/>
          </w:tcPr>
          <w:p w14:paraId="1E3AF7F3" w14:textId="40133D14" w:rsidR="00186A79" w:rsidRPr="0031164B" w:rsidRDefault="00F55B7F" w:rsidP="00F35BB8">
            <w:pPr>
              <w:widowControl/>
              <w:autoSpaceDE/>
              <w:autoSpaceDN/>
              <w:adjustRightInd/>
              <w:spacing w:after="160" w:line="259" w:lineRule="auto"/>
              <w:ind w:left="322" w:hanging="322"/>
              <w:jc w:val="both"/>
              <w:rPr>
                <w:lang w:val="en-GB"/>
              </w:rPr>
            </w:pPr>
            <w:r>
              <w:rPr>
                <w:lang w:val="en-GB"/>
              </w:rPr>
              <w:t>4.1</w:t>
            </w:r>
            <w:r>
              <w:rPr>
                <w:lang w:val="en-GB"/>
              </w:rPr>
              <w:tab/>
            </w:r>
            <w:r w:rsidR="00186A79" w:rsidRPr="0031164B">
              <w:rPr>
                <w:lang w:val="en-GB"/>
              </w:rPr>
              <w:t xml:space="preserve">BMS may allow Center to access and use BMS’ systems for the purpose of organizing the leukapheresis procedures, appointments, manufacturing and treatment of the Data Subject with the BMS Product. </w:t>
            </w:r>
          </w:p>
        </w:tc>
      </w:tr>
      <w:tr w:rsidR="00186A79" w:rsidRPr="0031164B" w14:paraId="0C1EC344" w14:textId="553B072C" w:rsidTr="00186A79">
        <w:tc>
          <w:tcPr>
            <w:tcW w:w="2500" w:type="pct"/>
          </w:tcPr>
          <w:p w14:paraId="4D2E812F" w14:textId="2429D69F" w:rsidR="00186A79" w:rsidRPr="00F55B7F" w:rsidRDefault="00186A79" w:rsidP="00F55B7F">
            <w:pPr>
              <w:pStyle w:val="Level2"/>
              <w:numPr>
                <w:ilvl w:val="1"/>
                <w:numId w:val="106"/>
              </w:numPr>
              <w:ind w:left="567" w:hanging="567"/>
              <w:rPr>
                <w:rFonts w:ascii="Times New Roman" w:hAnsi="Times New Roman" w:cs="Times New Roman"/>
                <w:sz w:val="24"/>
                <w:szCs w:val="24"/>
              </w:rPr>
            </w:pPr>
            <w:r w:rsidRPr="00F55B7F">
              <w:rPr>
                <w:rFonts w:ascii="Times New Roman" w:hAnsi="Times New Roman"/>
                <w:sz w:val="24"/>
                <w:szCs w:val="24"/>
              </w:rPr>
              <w:t xml:space="preserve">Pokud společnost </w:t>
            </w:r>
            <w:r w:rsidRPr="00F55B7F">
              <w:rPr>
                <w:rFonts w:ascii="Times New Roman" w:hAnsi="Times New Roman"/>
                <w:sz w:val="24"/>
              </w:rPr>
              <w:t>BMS</w:t>
            </w:r>
            <w:r w:rsidRPr="00F55B7F">
              <w:rPr>
                <w:rFonts w:ascii="Times New Roman" w:hAnsi="Times New Roman"/>
                <w:sz w:val="24"/>
                <w:szCs w:val="24"/>
              </w:rPr>
              <w:t xml:space="preserve"> umožní </w:t>
            </w:r>
            <w:r w:rsidR="00E67F5E">
              <w:rPr>
                <w:rFonts w:ascii="Times New Roman" w:hAnsi="Times New Roman"/>
                <w:sz w:val="24"/>
                <w:szCs w:val="24"/>
              </w:rPr>
              <w:t>Centru</w:t>
            </w:r>
            <w:r w:rsidRPr="00F55B7F">
              <w:rPr>
                <w:rFonts w:ascii="Times New Roman" w:hAnsi="Times New Roman"/>
                <w:sz w:val="24"/>
                <w:szCs w:val="24"/>
              </w:rPr>
              <w:t xml:space="preserve"> přístup k systémům </w:t>
            </w:r>
            <w:r w:rsidRPr="00F55B7F">
              <w:rPr>
                <w:rFonts w:ascii="Times New Roman" w:hAnsi="Times New Roman"/>
                <w:sz w:val="24"/>
              </w:rPr>
              <w:t>BMS</w:t>
            </w:r>
            <w:r w:rsidRPr="00F55B7F">
              <w:rPr>
                <w:rFonts w:ascii="Times New Roman" w:hAnsi="Times New Roman"/>
                <w:sz w:val="24"/>
                <w:szCs w:val="24"/>
              </w:rPr>
              <w:t xml:space="preserve"> a jejich používání, musí </w:t>
            </w:r>
            <w:r w:rsidR="005C6EC5">
              <w:rPr>
                <w:rFonts w:ascii="Times New Roman" w:hAnsi="Times New Roman"/>
                <w:sz w:val="24"/>
                <w:szCs w:val="24"/>
              </w:rPr>
              <w:t>Centrum</w:t>
            </w:r>
            <w:r w:rsidRPr="00F55B7F">
              <w:rPr>
                <w:rFonts w:ascii="Times New Roman" w:hAnsi="Times New Roman"/>
                <w:sz w:val="24"/>
                <w:szCs w:val="24"/>
              </w:rPr>
              <w:t xml:space="preserve"> dodržovat všechny příslušné osvědčené postupy v oblasti bezpečnosti informací a školení zaměstnanců, jak je uvedeno v tomto oddíle a jak vyžadují platné právní předpisy o ochraně údajů.</w:t>
            </w:r>
          </w:p>
        </w:tc>
        <w:tc>
          <w:tcPr>
            <w:tcW w:w="2500" w:type="pct"/>
          </w:tcPr>
          <w:p w14:paraId="548EF70E" w14:textId="129E870A" w:rsidR="00186A79" w:rsidRPr="0031164B" w:rsidRDefault="00F55B7F" w:rsidP="00F35BB8">
            <w:pPr>
              <w:widowControl/>
              <w:autoSpaceDE/>
              <w:autoSpaceDN/>
              <w:adjustRightInd/>
              <w:spacing w:after="160" w:line="259" w:lineRule="auto"/>
              <w:ind w:left="322" w:hanging="322"/>
              <w:jc w:val="both"/>
              <w:rPr>
                <w:lang w:val="en-GB"/>
              </w:rPr>
            </w:pPr>
            <w:r>
              <w:rPr>
                <w:lang w:val="en-GB"/>
              </w:rPr>
              <w:t>4.2</w:t>
            </w:r>
            <w:r>
              <w:rPr>
                <w:lang w:val="en-GB"/>
              </w:rPr>
              <w:tab/>
            </w:r>
            <w:r w:rsidR="00186A79" w:rsidRPr="0031164B">
              <w:rPr>
                <w:lang w:val="en-GB"/>
              </w:rPr>
              <w:t>Where BMS allows Center to access and use BMS Systems, Center shall comply with all appropriate information security best practices and staff training as set out in this section and as required by Applicable Data Protection Laws.</w:t>
            </w:r>
          </w:p>
        </w:tc>
      </w:tr>
      <w:tr w:rsidR="00186A79" w:rsidRPr="0031164B" w14:paraId="0FAE01A3" w14:textId="5FFFFBF6" w:rsidTr="00186A79">
        <w:tc>
          <w:tcPr>
            <w:tcW w:w="2500" w:type="pct"/>
          </w:tcPr>
          <w:p w14:paraId="1335BD5B" w14:textId="741B6441" w:rsidR="00186A79" w:rsidRPr="00F55B7F" w:rsidRDefault="005C6EC5" w:rsidP="00F55B7F">
            <w:pPr>
              <w:pStyle w:val="Level2"/>
              <w:numPr>
                <w:ilvl w:val="1"/>
                <w:numId w:val="106"/>
              </w:numPr>
              <w:ind w:left="567" w:hanging="567"/>
              <w:rPr>
                <w:rFonts w:ascii="Times New Roman" w:hAnsi="Times New Roman" w:cs="Times New Roman"/>
                <w:sz w:val="24"/>
                <w:szCs w:val="24"/>
              </w:rPr>
            </w:pPr>
            <w:r>
              <w:rPr>
                <w:rFonts w:ascii="Times New Roman" w:hAnsi="Times New Roman"/>
                <w:sz w:val="24"/>
                <w:szCs w:val="24"/>
              </w:rPr>
              <w:t>Centrum</w:t>
            </w:r>
            <w:r w:rsidR="00186A79" w:rsidRPr="00F55B7F">
              <w:rPr>
                <w:rFonts w:ascii="Times New Roman" w:hAnsi="Times New Roman"/>
                <w:sz w:val="24"/>
                <w:szCs w:val="24"/>
              </w:rPr>
              <w:t xml:space="preserve"> zavede a bude udržovat vhodná technická, administrativní a bezpečnostní ochranná opatření („</w:t>
            </w:r>
            <w:r w:rsidR="00186A79" w:rsidRPr="00F55B7F">
              <w:rPr>
                <w:rFonts w:ascii="Times New Roman" w:hAnsi="Times New Roman"/>
                <w:b/>
                <w:bCs/>
                <w:sz w:val="24"/>
                <w:szCs w:val="24"/>
              </w:rPr>
              <w:t>bezpečnostní ochranná opatření</w:t>
            </w:r>
            <w:r w:rsidR="00186A79" w:rsidRPr="00F55B7F">
              <w:rPr>
                <w:rFonts w:ascii="Times New Roman" w:hAnsi="Times New Roman"/>
                <w:sz w:val="24"/>
                <w:szCs w:val="24"/>
              </w:rPr>
              <w:t xml:space="preserve">“), aby podpořilo svůj povolený přístup k systémům </w:t>
            </w:r>
            <w:r w:rsidR="00186A79" w:rsidRPr="00F55B7F">
              <w:rPr>
                <w:rFonts w:ascii="Times New Roman" w:hAnsi="Times New Roman"/>
                <w:sz w:val="24"/>
              </w:rPr>
              <w:t>BMS</w:t>
            </w:r>
            <w:r w:rsidR="00186A79" w:rsidRPr="00F55B7F">
              <w:rPr>
                <w:rFonts w:ascii="Times New Roman" w:hAnsi="Times New Roman"/>
                <w:sz w:val="24"/>
                <w:szCs w:val="24"/>
              </w:rPr>
              <w:t xml:space="preserve"> a jejich používání a své související povinnosti uložené platnými zákony o ochraně údajů a jakýmikoliv příslušnými postupy pro </w:t>
            </w:r>
            <w:r w:rsidR="00186A79" w:rsidRPr="00F55B7F">
              <w:rPr>
                <w:rFonts w:ascii="Times New Roman" w:hAnsi="Times New Roman"/>
                <w:sz w:val="24"/>
                <w:szCs w:val="24"/>
              </w:rPr>
              <w:lastRenderedPageBreak/>
              <w:t xml:space="preserve">zabezpečení informací schválenými ve farmaceutickém průmyslu a v oblasti věd o živé přírodě. </w:t>
            </w:r>
          </w:p>
        </w:tc>
        <w:tc>
          <w:tcPr>
            <w:tcW w:w="2500" w:type="pct"/>
          </w:tcPr>
          <w:p w14:paraId="7A71E41B" w14:textId="50FFA102" w:rsidR="00186A79" w:rsidRPr="0031164B" w:rsidRDefault="00F55B7F" w:rsidP="00F35BB8">
            <w:pPr>
              <w:widowControl/>
              <w:autoSpaceDE/>
              <w:autoSpaceDN/>
              <w:adjustRightInd/>
              <w:spacing w:after="160" w:line="259" w:lineRule="auto"/>
              <w:ind w:left="322" w:hanging="322"/>
              <w:jc w:val="both"/>
              <w:rPr>
                <w:lang w:val="en-GB"/>
              </w:rPr>
            </w:pPr>
            <w:r>
              <w:rPr>
                <w:lang w:val="en-GB"/>
              </w:rPr>
              <w:lastRenderedPageBreak/>
              <w:t>4.3</w:t>
            </w:r>
            <w:r>
              <w:rPr>
                <w:lang w:val="en-GB"/>
              </w:rPr>
              <w:tab/>
            </w:r>
            <w:r w:rsidR="00186A79" w:rsidRPr="0031164B">
              <w:rPr>
                <w:lang w:val="en-GB"/>
              </w:rPr>
              <w:t>Center shall implement and maintain appropriate technical, administrative, and security safeguards (“</w:t>
            </w:r>
            <w:r w:rsidR="00186A79" w:rsidRPr="0031164B">
              <w:rPr>
                <w:b/>
                <w:bCs/>
                <w:lang w:val="en-GB"/>
              </w:rPr>
              <w:t>Security Safeguards</w:t>
            </w:r>
            <w:r w:rsidR="00186A79" w:rsidRPr="0031164B">
              <w:rPr>
                <w:lang w:val="en-GB"/>
              </w:rPr>
              <w:t xml:space="preserve">”) to support its permitted access to, and use of, BMS Systems, and its related obligations as imposed by Applicable Data Protection Laws and any relevant information security practices as </w:t>
            </w:r>
            <w:r w:rsidR="00186A79" w:rsidRPr="0031164B">
              <w:rPr>
                <w:lang w:val="en-GB"/>
              </w:rPr>
              <w:lastRenderedPageBreak/>
              <w:t xml:space="preserve">approved in the pharmaceutical and life sciences industry. </w:t>
            </w:r>
          </w:p>
        </w:tc>
      </w:tr>
      <w:tr w:rsidR="00186A79" w:rsidRPr="0031164B" w14:paraId="7F04E960" w14:textId="4B0ED8B3" w:rsidTr="00186A79">
        <w:tc>
          <w:tcPr>
            <w:tcW w:w="2500" w:type="pct"/>
          </w:tcPr>
          <w:p w14:paraId="218178D3" w14:textId="59E2114A" w:rsidR="00186A79" w:rsidRPr="00F55B7F" w:rsidRDefault="007D56B2" w:rsidP="00F55B7F">
            <w:pPr>
              <w:pStyle w:val="Level2"/>
              <w:numPr>
                <w:ilvl w:val="1"/>
                <w:numId w:val="106"/>
              </w:numPr>
              <w:ind w:left="567" w:hanging="567"/>
              <w:rPr>
                <w:rFonts w:ascii="Times New Roman" w:hAnsi="Times New Roman" w:cs="Times New Roman"/>
                <w:sz w:val="24"/>
                <w:szCs w:val="24"/>
              </w:rPr>
            </w:pPr>
            <w:r>
              <w:rPr>
                <w:rFonts w:ascii="Times New Roman" w:hAnsi="Times New Roman"/>
                <w:sz w:val="24"/>
                <w:szCs w:val="24"/>
              </w:rPr>
              <w:lastRenderedPageBreak/>
              <w:t>Centrum</w:t>
            </w:r>
            <w:r w:rsidR="00186A79" w:rsidRPr="00F55B7F">
              <w:rPr>
                <w:rFonts w:ascii="Times New Roman" w:hAnsi="Times New Roman"/>
                <w:sz w:val="24"/>
                <w:szCs w:val="24"/>
              </w:rPr>
              <w:t xml:space="preserve"> zavede minimálně taková bezpečnostní opatření, aby:</w:t>
            </w:r>
          </w:p>
        </w:tc>
        <w:tc>
          <w:tcPr>
            <w:tcW w:w="2500" w:type="pct"/>
          </w:tcPr>
          <w:p w14:paraId="139C1CC7" w14:textId="21005050" w:rsidR="00186A79" w:rsidRPr="0031164B" w:rsidRDefault="00F55B7F" w:rsidP="00F35BB8">
            <w:pPr>
              <w:widowControl/>
              <w:autoSpaceDE/>
              <w:autoSpaceDN/>
              <w:adjustRightInd/>
              <w:spacing w:after="160" w:line="259" w:lineRule="auto"/>
              <w:ind w:left="322" w:hanging="322"/>
              <w:jc w:val="both"/>
              <w:rPr>
                <w:lang w:val="en-GB"/>
              </w:rPr>
            </w:pPr>
            <w:r>
              <w:rPr>
                <w:lang w:val="en-GB"/>
              </w:rPr>
              <w:t>4.4</w:t>
            </w:r>
            <w:r>
              <w:rPr>
                <w:lang w:val="en-GB"/>
              </w:rPr>
              <w:tab/>
            </w:r>
            <w:r w:rsidR="00186A79" w:rsidRPr="0031164B">
              <w:rPr>
                <w:lang w:val="en-GB"/>
              </w:rPr>
              <w:t>At a minimum, Center shall implement such Security Safeguards to, at least:</w:t>
            </w:r>
          </w:p>
        </w:tc>
      </w:tr>
      <w:tr w:rsidR="00F55B7F" w:rsidRPr="0031164B" w14:paraId="36699AE1" w14:textId="5492B8FC" w:rsidTr="00D23897">
        <w:trPr>
          <w:trHeight w:val="6299"/>
        </w:trPr>
        <w:tc>
          <w:tcPr>
            <w:tcW w:w="2500" w:type="pct"/>
          </w:tcPr>
          <w:p w14:paraId="04DDEC52" w14:textId="50BE3181" w:rsidR="00F55B7F" w:rsidRPr="00F55B7F" w:rsidRDefault="00F55B7F" w:rsidP="00186A79">
            <w:pPr>
              <w:pStyle w:val="Level2"/>
              <w:numPr>
                <w:ilvl w:val="0"/>
                <w:numId w:val="5"/>
              </w:numPr>
              <w:rPr>
                <w:rFonts w:ascii="Times New Roman" w:hAnsi="Times New Roman" w:cs="Times New Roman"/>
                <w:sz w:val="24"/>
                <w:szCs w:val="24"/>
              </w:rPr>
            </w:pPr>
            <w:r w:rsidRPr="00F55B7F">
              <w:rPr>
                <w:rFonts w:ascii="Times New Roman" w:hAnsi="Times New Roman"/>
                <w:sz w:val="24"/>
                <w:szCs w:val="24"/>
              </w:rPr>
              <w:t xml:space="preserve">zajistilo omezení autorizovaného přístupu a používání systémů </w:t>
            </w:r>
            <w:r w:rsidRPr="00F55B7F">
              <w:rPr>
                <w:rFonts w:ascii="Times New Roman" w:hAnsi="Times New Roman"/>
                <w:sz w:val="24"/>
              </w:rPr>
              <w:t>BMS</w:t>
            </w:r>
            <w:r w:rsidRPr="00F55B7F">
              <w:rPr>
                <w:rFonts w:ascii="Times New Roman" w:hAnsi="Times New Roman"/>
                <w:sz w:val="24"/>
                <w:szCs w:val="24"/>
              </w:rPr>
              <w:t xml:space="preserve"> zaměstnanci </w:t>
            </w:r>
            <w:r w:rsidR="00853F62">
              <w:rPr>
                <w:rFonts w:ascii="Times New Roman" w:hAnsi="Times New Roman"/>
                <w:sz w:val="24"/>
                <w:szCs w:val="24"/>
              </w:rPr>
              <w:t>Centra</w:t>
            </w:r>
            <w:r w:rsidRPr="00F55B7F">
              <w:rPr>
                <w:rFonts w:ascii="Times New Roman" w:hAnsi="Times New Roman"/>
                <w:sz w:val="24"/>
                <w:szCs w:val="24"/>
              </w:rPr>
              <w:t xml:space="preserve">, aby se zabránilo jakémukoli porušení ochrany osobních údajů; </w:t>
            </w:r>
          </w:p>
          <w:p w14:paraId="50BFAAA7" w14:textId="2B7DF1BD" w:rsidR="00F55B7F" w:rsidRPr="00F55B7F" w:rsidRDefault="00F55B7F" w:rsidP="00186A79">
            <w:pPr>
              <w:pStyle w:val="Level2"/>
              <w:numPr>
                <w:ilvl w:val="0"/>
                <w:numId w:val="5"/>
              </w:numPr>
              <w:rPr>
                <w:rFonts w:ascii="Times New Roman" w:hAnsi="Times New Roman" w:cs="Times New Roman"/>
                <w:sz w:val="24"/>
                <w:szCs w:val="24"/>
              </w:rPr>
            </w:pPr>
            <w:r w:rsidRPr="00F55B7F">
              <w:rPr>
                <w:rFonts w:ascii="Times New Roman" w:hAnsi="Times New Roman"/>
                <w:sz w:val="24"/>
                <w:szCs w:val="24"/>
              </w:rPr>
              <w:t xml:space="preserve">zakázalo sdílení uživatelských jmen a hesel mezi zaměstnanci </w:t>
            </w:r>
            <w:r w:rsidR="001A5CD6">
              <w:rPr>
                <w:rFonts w:ascii="Times New Roman" w:hAnsi="Times New Roman"/>
                <w:sz w:val="24"/>
                <w:szCs w:val="24"/>
              </w:rPr>
              <w:t>Centra</w:t>
            </w:r>
            <w:r w:rsidRPr="00F55B7F">
              <w:rPr>
                <w:rFonts w:ascii="Times New Roman" w:hAnsi="Times New Roman"/>
                <w:sz w:val="24"/>
                <w:szCs w:val="24"/>
              </w:rPr>
              <w:t>;</w:t>
            </w:r>
          </w:p>
          <w:p w14:paraId="6402B097" w14:textId="19AFAB44" w:rsidR="00F55B7F" w:rsidRPr="00F55B7F" w:rsidRDefault="00F55B7F" w:rsidP="00186A79">
            <w:pPr>
              <w:pStyle w:val="Level2"/>
              <w:numPr>
                <w:ilvl w:val="0"/>
                <w:numId w:val="5"/>
              </w:numPr>
              <w:rPr>
                <w:rFonts w:ascii="Times New Roman" w:hAnsi="Times New Roman" w:cs="Times New Roman"/>
                <w:sz w:val="24"/>
                <w:szCs w:val="24"/>
              </w:rPr>
            </w:pPr>
            <w:r w:rsidRPr="00F55B7F">
              <w:rPr>
                <w:rFonts w:ascii="Times New Roman" w:hAnsi="Times New Roman"/>
                <w:sz w:val="24"/>
                <w:szCs w:val="24"/>
              </w:rPr>
              <w:t xml:space="preserve">zajistilo, aby byla společnost </w:t>
            </w:r>
            <w:r w:rsidRPr="00F55B7F">
              <w:rPr>
                <w:rFonts w:ascii="Times New Roman" w:hAnsi="Times New Roman"/>
                <w:sz w:val="24"/>
              </w:rPr>
              <w:t>BMS</w:t>
            </w:r>
            <w:r w:rsidRPr="00F55B7F">
              <w:rPr>
                <w:rFonts w:ascii="Times New Roman" w:hAnsi="Times New Roman"/>
                <w:sz w:val="24"/>
                <w:szCs w:val="24"/>
              </w:rPr>
              <w:t xml:space="preserve"> informována o tom, že je třeba deaktivovat jakýkoli dříve přidělený uživatelský účet nebo účty pracovníků </w:t>
            </w:r>
            <w:r w:rsidR="00D519BD">
              <w:rPr>
                <w:rFonts w:ascii="Times New Roman" w:hAnsi="Times New Roman"/>
                <w:sz w:val="24"/>
                <w:szCs w:val="24"/>
              </w:rPr>
              <w:t>Centra</w:t>
            </w:r>
            <w:r w:rsidRPr="00F55B7F">
              <w:rPr>
                <w:rFonts w:ascii="Times New Roman" w:hAnsi="Times New Roman"/>
                <w:sz w:val="24"/>
                <w:szCs w:val="24"/>
              </w:rPr>
              <w:t xml:space="preserve">, a </w:t>
            </w:r>
          </w:p>
          <w:p w14:paraId="7A7A06F3" w14:textId="034A0DBF" w:rsidR="00F55B7F" w:rsidRPr="00F55B7F" w:rsidRDefault="00F55B7F" w:rsidP="00186A79">
            <w:pPr>
              <w:pStyle w:val="Level2"/>
              <w:numPr>
                <w:ilvl w:val="0"/>
                <w:numId w:val="5"/>
              </w:numPr>
              <w:rPr>
                <w:rFonts w:ascii="Times New Roman" w:hAnsi="Times New Roman" w:cs="Times New Roman"/>
                <w:sz w:val="24"/>
                <w:szCs w:val="24"/>
              </w:rPr>
            </w:pPr>
            <w:r w:rsidRPr="00F55B7F">
              <w:rPr>
                <w:rFonts w:ascii="Times New Roman" w:hAnsi="Times New Roman"/>
                <w:sz w:val="24"/>
                <w:szCs w:val="24"/>
              </w:rPr>
              <w:t xml:space="preserve">zajistilo, aby se pro přístup k portálu a jeho používání používala pouze zařízení schválená </w:t>
            </w:r>
            <w:r w:rsidR="00D519BD">
              <w:rPr>
                <w:rFonts w:ascii="Times New Roman" w:hAnsi="Times New Roman"/>
                <w:sz w:val="24"/>
                <w:szCs w:val="24"/>
              </w:rPr>
              <w:t>Centrem</w:t>
            </w:r>
            <w:r w:rsidRPr="00F55B7F">
              <w:rPr>
                <w:rFonts w:ascii="Times New Roman" w:hAnsi="Times New Roman"/>
                <w:sz w:val="24"/>
                <w:szCs w:val="24"/>
              </w:rPr>
              <w:t xml:space="preserve"> a využívající šifrované připojení. </w:t>
            </w:r>
          </w:p>
        </w:tc>
        <w:tc>
          <w:tcPr>
            <w:tcW w:w="2500" w:type="pct"/>
          </w:tcPr>
          <w:p w14:paraId="44107880" w14:textId="77777777" w:rsidR="00F55B7F" w:rsidRPr="00F55B7F" w:rsidRDefault="00F55B7F" w:rsidP="00F35BB8">
            <w:pPr>
              <w:pStyle w:val="Odstavecseseznamem"/>
              <w:widowControl/>
              <w:numPr>
                <w:ilvl w:val="0"/>
                <w:numId w:val="107"/>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ensure limitation of authorized access and use of BMS Systems by Center personnel in order to prevent any Personal Data Breach; </w:t>
            </w:r>
          </w:p>
          <w:p w14:paraId="46EB9061" w14:textId="77777777" w:rsidR="00F55B7F" w:rsidRPr="00F55B7F" w:rsidRDefault="00F55B7F" w:rsidP="00F35BB8">
            <w:pPr>
              <w:pStyle w:val="Odstavecseseznamem"/>
              <w:widowControl/>
              <w:numPr>
                <w:ilvl w:val="0"/>
                <w:numId w:val="107"/>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prohibit sharing of usernames and passwords between Center personnel;</w:t>
            </w:r>
          </w:p>
          <w:p w14:paraId="560EB6D3" w14:textId="77777777" w:rsidR="00F55B7F" w:rsidRPr="00F55B7F" w:rsidRDefault="00F55B7F" w:rsidP="00F35BB8">
            <w:pPr>
              <w:pStyle w:val="Odstavecseseznamem"/>
              <w:widowControl/>
              <w:numPr>
                <w:ilvl w:val="0"/>
                <w:numId w:val="107"/>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ensure to notify BMS when any previously granted user account(s) of Center personnel require deactivation; and </w:t>
            </w:r>
          </w:p>
          <w:p w14:paraId="1BCF8E0A" w14:textId="0D889179" w:rsidR="00F55B7F" w:rsidRPr="00F55B7F" w:rsidRDefault="00F55B7F" w:rsidP="00F35BB8">
            <w:pPr>
              <w:pStyle w:val="Odstavecseseznamem"/>
              <w:numPr>
                <w:ilvl w:val="0"/>
                <w:numId w:val="107"/>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ensure that only Center approved devices are used for access to and use of the Portal utilizing an encrypted connection. </w:t>
            </w:r>
          </w:p>
        </w:tc>
      </w:tr>
      <w:tr w:rsidR="00186A79" w:rsidRPr="0031164B" w14:paraId="042BAF9B" w14:textId="4AAC5909" w:rsidTr="00186A79">
        <w:tc>
          <w:tcPr>
            <w:tcW w:w="2500" w:type="pct"/>
          </w:tcPr>
          <w:p w14:paraId="377E5265" w14:textId="4AFE1B26" w:rsidR="00186A79" w:rsidRPr="00F55B7F" w:rsidRDefault="00186A79" w:rsidP="00F55B7F">
            <w:pPr>
              <w:pStyle w:val="Level2"/>
              <w:numPr>
                <w:ilvl w:val="1"/>
                <w:numId w:val="106"/>
              </w:numPr>
              <w:ind w:left="567" w:hanging="567"/>
              <w:rPr>
                <w:rFonts w:ascii="Times New Roman" w:hAnsi="Times New Roman" w:cs="Times New Roman"/>
                <w:sz w:val="24"/>
                <w:szCs w:val="24"/>
              </w:rPr>
            </w:pPr>
            <w:r w:rsidRPr="00F55B7F">
              <w:rPr>
                <w:rFonts w:ascii="Times New Roman" w:hAnsi="Times New Roman"/>
                <w:sz w:val="24"/>
                <w:szCs w:val="24"/>
              </w:rPr>
              <w:t xml:space="preserve">Kromě toho, pokud se </w:t>
            </w:r>
            <w:r w:rsidR="004B7162">
              <w:rPr>
                <w:rFonts w:ascii="Times New Roman" w:hAnsi="Times New Roman"/>
                <w:sz w:val="24"/>
                <w:szCs w:val="24"/>
              </w:rPr>
              <w:t>Centrum</w:t>
            </w:r>
            <w:r w:rsidRPr="00F55B7F">
              <w:rPr>
                <w:rFonts w:ascii="Times New Roman" w:hAnsi="Times New Roman"/>
                <w:sz w:val="24"/>
                <w:szCs w:val="24"/>
              </w:rPr>
              <w:t xml:space="preserve"> dozví o incidentu nebo porušení zabezpečení osobních údajů v systémech společnosti </w:t>
            </w:r>
            <w:r w:rsidRPr="00F55B7F">
              <w:rPr>
                <w:rFonts w:ascii="Times New Roman" w:hAnsi="Times New Roman"/>
                <w:sz w:val="24"/>
              </w:rPr>
              <w:t>BMS</w:t>
            </w:r>
            <w:r w:rsidRPr="00F55B7F">
              <w:rPr>
                <w:rFonts w:ascii="Times New Roman" w:hAnsi="Times New Roman"/>
                <w:sz w:val="24"/>
                <w:szCs w:val="24"/>
              </w:rPr>
              <w:t xml:space="preserve"> nebo o nedodržení výše uvedených bezpečnostních opatření („porušení bezpečnostních opatření“), oznámí to společnosti </w:t>
            </w:r>
            <w:r w:rsidRPr="00F55B7F">
              <w:rPr>
                <w:rFonts w:ascii="Times New Roman" w:hAnsi="Times New Roman"/>
                <w:sz w:val="24"/>
              </w:rPr>
              <w:t>BMS</w:t>
            </w:r>
            <w:r w:rsidRPr="00F55B7F">
              <w:rPr>
                <w:rFonts w:ascii="Times New Roman" w:hAnsi="Times New Roman"/>
                <w:sz w:val="24"/>
                <w:szCs w:val="24"/>
              </w:rPr>
              <w:t xml:space="preserve"> bez zbytečného odkladu poté, co se dozví o: </w:t>
            </w:r>
          </w:p>
        </w:tc>
        <w:tc>
          <w:tcPr>
            <w:tcW w:w="2500" w:type="pct"/>
          </w:tcPr>
          <w:p w14:paraId="50E07F91" w14:textId="652A8BF5" w:rsidR="00186A79" w:rsidRPr="0031164B" w:rsidRDefault="00F55B7F" w:rsidP="00F35BB8">
            <w:pPr>
              <w:widowControl/>
              <w:autoSpaceDE/>
              <w:autoSpaceDN/>
              <w:adjustRightInd/>
              <w:spacing w:after="160" w:line="259" w:lineRule="auto"/>
              <w:ind w:left="322" w:hanging="322"/>
              <w:jc w:val="both"/>
              <w:rPr>
                <w:lang w:val="en-GB"/>
              </w:rPr>
            </w:pPr>
            <w:r>
              <w:rPr>
                <w:lang w:val="en-GB"/>
              </w:rPr>
              <w:t>4.5</w:t>
            </w:r>
            <w:r>
              <w:rPr>
                <w:lang w:val="en-GB"/>
              </w:rPr>
              <w:tab/>
            </w:r>
            <w:r w:rsidR="00186A79" w:rsidRPr="0031164B">
              <w:rPr>
                <w:lang w:val="en-GB"/>
              </w:rPr>
              <w:t xml:space="preserve">In addition, where Center becomes aware of an incident, or a Personal Data Breach in BMS Systems or a failure to adhere to the Security Safeguards (“Security Safeguards Failure”) identified above, Center shall notify BMS without undue delay after becoming aware of: </w:t>
            </w:r>
          </w:p>
        </w:tc>
      </w:tr>
      <w:tr w:rsidR="00F55B7F" w:rsidRPr="0031164B" w14:paraId="6513431C" w14:textId="1824EF53" w:rsidTr="00D23897">
        <w:trPr>
          <w:trHeight w:val="3894"/>
        </w:trPr>
        <w:tc>
          <w:tcPr>
            <w:tcW w:w="2500" w:type="pct"/>
          </w:tcPr>
          <w:p w14:paraId="2A7402DF" w14:textId="510D7F17" w:rsidR="00F55B7F" w:rsidRPr="00F55B7F" w:rsidRDefault="00F55B7F" w:rsidP="00186A79">
            <w:pPr>
              <w:pStyle w:val="Level2"/>
              <w:numPr>
                <w:ilvl w:val="0"/>
                <w:numId w:val="6"/>
              </w:numPr>
              <w:rPr>
                <w:rFonts w:ascii="Times New Roman" w:hAnsi="Times New Roman" w:cs="Times New Roman"/>
                <w:sz w:val="24"/>
                <w:szCs w:val="24"/>
              </w:rPr>
            </w:pPr>
            <w:r w:rsidRPr="00F55B7F">
              <w:rPr>
                <w:rFonts w:ascii="Times New Roman" w:hAnsi="Times New Roman"/>
                <w:sz w:val="24"/>
                <w:szCs w:val="24"/>
              </w:rPr>
              <w:lastRenderedPageBreak/>
              <w:t xml:space="preserve">bezpečnostním incidentu nebo narušení bezpečnosti osobních údajů týkající se sítě a systémů </w:t>
            </w:r>
            <w:r w:rsidR="004B7162">
              <w:rPr>
                <w:rFonts w:ascii="Times New Roman" w:hAnsi="Times New Roman"/>
                <w:sz w:val="24"/>
                <w:szCs w:val="24"/>
              </w:rPr>
              <w:t>Centra</w:t>
            </w:r>
            <w:r w:rsidRPr="00F55B7F">
              <w:rPr>
                <w:rFonts w:ascii="Times New Roman" w:hAnsi="Times New Roman"/>
                <w:sz w:val="24"/>
                <w:szCs w:val="24"/>
              </w:rPr>
              <w:t xml:space="preserve">, které by mohly významně ohrozit schopnost </w:t>
            </w:r>
            <w:r w:rsidR="002D1013">
              <w:rPr>
                <w:rFonts w:ascii="Times New Roman" w:hAnsi="Times New Roman"/>
                <w:sz w:val="24"/>
                <w:szCs w:val="24"/>
              </w:rPr>
              <w:t>Centra</w:t>
            </w:r>
            <w:r w:rsidRPr="00F55B7F">
              <w:rPr>
                <w:rFonts w:ascii="Times New Roman" w:hAnsi="Times New Roman"/>
                <w:sz w:val="24"/>
                <w:szCs w:val="24"/>
              </w:rPr>
              <w:t xml:space="preserve"> přistupovat k systémům </w:t>
            </w:r>
            <w:r w:rsidRPr="00F55B7F">
              <w:rPr>
                <w:rFonts w:ascii="Times New Roman" w:hAnsi="Times New Roman"/>
                <w:sz w:val="24"/>
              </w:rPr>
              <w:t>BMS</w:t>
            </w:r>
            <w:r w:rsidRPr="00F55B7F">
              <w:rPr>
                <w:rFonts w:ascii="Times New Roman" w:hAnsi="Times New Roman"/>
                <w:sz w:val="24"/>
                <w:szCs w:val="24"/>
              </w:rPr>
              <w:t xml:space="preserve"> a používat je pro účely této smlouvy; a </w:t>
            </w:r>
          </w:p>
          <w:p w14:paraId="1AFC88A8" w14:textId="3F9EF5C9" w:rsidR="00F55B7F" w:rsidRPr="00F55B7F" w:rsidRDefault="00F55B7F" w:rsidP="00186A79">
            <w:pPr>
              <w:pStyle w:val="Level2"/>
              <w:numPr>
                <w:ilvl w:val="0"/>
                <w:numId w:val="6"/>
              </w:numPr>
              <w:rPr>
                <w:rFonts w:ascii="Times New Roman" w:hAnsi="Times New Roman" w:cs="Times New Roman"/>
                <w:sz w:val="24"/>
                <w:szCs w:val="24"/>
              </w:rPr>
            </w:pPr>
            <w:r w:rsidRPr="00F55B7F">
              <w:rPr>
                <w:rFonts w:ascii="Times New Roman" w:hAnsi="Times New Roman"/>
                <w:sz w:val="24"/>
                <w:szCs w:val="24"/>
              </w:rPr>
              <w:t xml:space="preserve">jakémkoli neoprávněném přístupu, získání, odstranění nebo ohrožení osobních údajů sdílených podle této smlouvy. </w:t>
            </w:r>
          </w:p>
        </w:tc>
        <w:tc>
          <w:tcPr>
            <w:tcW w:w="2500" w:type="pct"/>
          </w:tcPr>
          <w:p w14:paraId="10F9E0A0" w14:textId="77777777" w:rsidR="00F55B7F" w:rsidRPr="00F55B7F" w:rsidRDefault="00F55B7F" w:rsidP="00F35BB8">
            <w:pPr>
              <w:pStyle w:val="Odstavecseseznamem"/>
              <w:widowControl/>
              <w:numPr>
                <w:ilvl w:val="0"/>
                <w:numId w:val="108"/>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a security incident or a Personal Data Breach involving Center’s network and systems which could materially compromise Center’s ability to access and use of BMS Systems for the purposes of this Agreement; and </w:t>
            </w:r>
          </w:p>
          <w:p w14:paraId="5BFE0D08" w14:textId="5D2B1ED5" w:rsidR="00F55B7F" w:rsidRPr="00F55B7F" w:rsidRDefault="00F55B7F" w:rsidP="00F35BB8">
            <w:pPr>
              <w:pStyle w:val="Odstavecseseznamem"/>
              <w:numPr>
                <w:ilvl w:val="0"/>
                <w:numId w:val="108"/>
              </w:numPr>
              <w:spacing w:after="160" w:line="259" w:lineRule="auto"/>
              <w:jc w:val="both"/>
              <w:rPr>
                <w:rFonts w:ascii="Times New Roman" w:hAnsi="Times New Roman" w:cs="Times New Roman"/>
                <w:sz w:val="24"/>
                <w:szCs w:val="24"/>
                <w:lang w:val="en-GB"/>
              </w:rPr>
            </w:pPr>
            <w:r w:rsidRPr="00F55B7F">
              <w:rPr>
                <w:rFonts w:ascii="Times New Roman" w:hAnsi="Times New Roman" w:cs="Times New Roman"/>
                <w:sz w:val="24"/>
                <w:szCs w:val="24"/>
                <w:lang w:val="en-GB"/>
              </w:rPr>
              <w:t xml:space="preserve">any unauthorized access, acquisition, removal or compromise of Personal Data shared pursuant to this Agreement. </w:t>
            </w:r>
          </w:p>
        </w:tc>
      </w:tr>
      <w:tr w:rsidR="00186A79" w:rsidRPr="0031164B" w14:paraId="0B423C44" w14:textId="1A75C016" w:rsidTr="00186A79">
        <w:tc>
          <w:tcPr>
            <w:tcW w:w="2500" w:type="pct"/>
          </w:tcPr>
          <w:p w14:paraId="4DE2A78A" w14:textId="77777777" w:rsidR="00186A79" w:rsidRPr="00F55B7F" w:rsidRDefault="00186A79" w:rsidP="00F55B7F">
            <w:pPr>
              <w:pStyle w:val="Level1"/>
              <w:keepNext/>
              <w:numPr>
                <w:ilvl w:val="0"/>
                <w:numId w:val="106"/>
              </w:numPr>
              <w:spacing w:before="360"/>
              <w:rPr>
                <w:rFonts w:ascii="Times New Roman" w:hAnsi="Times New Roman" w:cs="Times New Roman"/>
                <w:sz w:val="24"/>
                <w:szCs w:val="24"/>
              </w:rPr>
            </w:pPr>
            <w:r w:rsidRPr="00F55B7F">
              <w:rPr>
                <w:rFonts w:ascii="Times New Roman" w:hAnsi="Times New Roman"/>
                <w:sz w:val="24"/>
                <w:szCs w:val="24"/>
              </w:rPr>
              <w:t>ZPRACOVATELÉ</w:t>
            </w:r>
          </w:p>
        </w:tc>
        <w:tc>
          <w:tcPr>
            <w:tcW w:w="2500" w:type="pct"/>
          </w:tcPr>
          <w:p w14:paraId="3256D473" w14:textId="48210C0E" w:rsidR="00186A79" w:rsidRPr="0031164B" w:rsidRDefault="00186A79" w:rsidP="00F35BB8">
            <w:pPr>
              <w:pStyle w:val="Level1"/>
              <w:keepNext/>
              <w:numPr>
                <w:ilvl w:val="0"/>
                <w:numId w:val="109"/>
              </w:numPr>
              <w:spacing w:before="360"/>
              <w:jc w:val="both"/>
              <w:rPr>
                <w:b w:val="0"/>
                <w:caps w:val="0"/>
                <w:lang w:val="en-GB"/>
              </w:rPr>
            </w:pPr>
            <w:r w:rsidRPr="00F55B7F">
              <w:rPr>
                <w:rFonts w:ascii="Times New Roman" w:hAnsi="Times New Roman"/>
                <w:sz w:val="24"/>
                <w:szCs w:val="24"/>
              </w:rPr>
              <w:t>PROCESSORS</w:t>
            </w:r>
          </w:p>
        </w:tc>
      </w:tr>
      <w:tr w:rsidR="00186A79" w:rsidRPr="0031164B" w14:paraId="444E8FBB" w14:textId="77777777" w:rsidTr="00186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14:paraId="2326F071" w14:textId="6B6C5CCD" w:rsidR="00186A79" w:rsidRPr="00F55B7F" w:rsidRDefault="00186A79" w:rsidP="00F55B7F">
            <w:pPr>
              <w:pStyle w:val="Level2"/>
              <w:numPr>
                <w:ilvl w:val="1"/>
                <w:numId w:val="109"/>
              </w:numPr>
              <w:ind w:left="567" w:hanging="567"/>
              <w:rPr>
                <w:rFonts w:ascii="Times New Roman" w:hAnsi="Times New Roman"/>
                <w:sz w:val="24"/>
              </w:rPr>
            </w:pPr>
            <w:r w:rsidRPr="00F55B7F">
              <w:rPr>
                <w:rFonts w:ascii="Times New Roman" w:hAnsi="Times New Roman"/>
                <w:sz w:val="24"/>
                <w:szCs w:val="24"/>
              </w:rPr>
              <w:t>Každá strana může uzavírat další dohody o zpracování údajů se zpracovateli údajů, kteří zpracovávají osobní údaje jejím jménem a na její vlastní odpovědnost.</w:t>
            </w:r>
          </w:p>
        </w:tc>
        <w:tc>
          <w:tcPr>
            <w:tcW w:w="2500" w:type="pct"/>
            <w:tcBorders>
              <w:top w:val="nil"/>
              <w:left w:val="nil"/>
              <w:bottom w:val="nil"/>
              <w:right w:val="nil"/>
            </w:tcBorders>
          </w:tcPr>
          <w:p w14:paraId="27E2D693" w14:textId="666167FE" w:rsidR="00186A79" w:rsidRPr="0031164B" w:rsidRDefault="00F55B7F" w:rsidP="00F35BB8">
            <w:pPr>
              <w:pStyle w:val="Level2"/>
              <w:numPr>
                <w:ilvl w:val="0"/>
                <w:numId w:val="0"/>
              </w:numPr>
              <w:ind w:left="463" w:hanging="463"/>
              <w:rPr>
                <w:rFonts w:ascii="Times New Roman" w:hAnsi="Times New Roman"/>
                <w:sz w:val="24"/>
                <w:lang w:val="en-GB"/>
              </w:rPr>
            </w:pPr>
            <w:r>
              <w:rPr>
                <w:rFonts w:ascii="Times New Roman" w:hAnsi="Times New Roman"/>
                <w:sz w:val="24"/>
                <w:szCs w:val="24"/>
                <w:lang w:val="en-GB"/>
              </w:rPr>
              <w:t>5.1</w:t>
            </w:r>
            <w:r>
              <w:rPr>
                <w:rFonts w:ascii="Times New Roman" w:hAnsi="Times New Roman"/>
                <w:sz w:val="24"/>
                <w:szCs w:val="24"/>
                <w:lang w:val="en-GB"/>
              </w:rPr>
              <w:tab/>
            </w:r>
            <w:r w:rsidR="00186A79" w:rsidRPr="0031164B">
              <w:rPr>
                <w:rFonts w:ascii="Times New Roman" w:hAnsi="Times New Roman"/>
                <w:sz w:val="24"/>
                <w:szCs w:val="24"/>
                <w:lang w:val="en-GB"/>
              </w:rPr>
              <w:t>Each Party may enter into further data processing agreements with Data Processors for the Processing of Personal Data on its behalf and under its own responsibility.</w:t>
            </w:r>
          </w:p>
        </w:tc>
      </w:tr>
    </w:tbl>
    <w:p w14:paraId="63E34D8A" w14:textId="60DC9912" w:rsidR="00363F02" w:rsidRPr="0031164B" w:rsidRDefault="00363F02" w:rsidP="00186A79">
      <w:pPr>
        <w:pStyle w:val="Level2"/>
        <w:numPr>
          <w:ilvl w:val="0"/>
          <w:numId w:val="0"/>
        </w:numPr>
        <w:ind w:left="450" w:hanging="360"/>
        <w:rPr>
          <w:rFonts w:ascii="Times New Roman" w:hAnsi="Times New Roman"/>
          <w:sz w:val="24"/>
          <w:lang w:val="en-GB"/>
        </w:rPr>
      </w:pPr>
    </w:p>
    <w:p w14:paraId="63E34D8B" w14:textId="77777777" w:rsidR="00917A7E" w:rsidRPr="0031164B" w:rsidRDefault="00917A7E" w:rsidP="00917A7E">
      <w:pPr>
        <w:pStyle w:val="Level2"/>
        <w:numPr>
          <w:ilvl w:val="0"/>
          <w:numId w:val="0"/>
        </w:numPr>
        <w:ind w:left="567"/>
        <w:rPr>
          <w:rFonts w:ascii="Times New Roman" w:hAnsi="Times New Roman"/>
          <w:sz w:val="24"/>
          <w:lang w:val="en-GB"/>
        </w:rPr>
        <w:sectPr w:rsidR="00917A7E" w:rsidRPr="0031164B" w:rsidSect="00847AA9">
          <w:footerReference w:type="default" r:id="rId16"/>
          <w:pgSz w:w="11906" w:h="16838"/>
          <w:pgMar w:top="1276" w:right="1417" w:bottom="1620" w:left="1417" w:header="708" w:footer="163" w:gutter="0"/>
          <w:cols w:space="708"/>
          <w:docGrid w:linePitch="360"/>
        </w:sect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1"/>
        <w:gridCol w:w="6971"/>
      </w:tblGrid>
      <w:tr w:rsidR="00186A79" w:rsidRPr="0031164B" w14:paraId="7E3058C0" w14:textId="688FDA08" w:rsidTr="00186A79">
        <w:tc>
          <w:tcPr>
            <w:tcW w:w="2500" w:type="pct"/>
          </w:tcPr>
          <w:p w14:paraId="3F60C347" w14:textId="77777777" w:rsidR="00186A79" w:rsidRPr="0031164B" w:rsidRDefault="00186A79" w:rsidP="00186A79">
            <w:pPr>
              <w:jc w:val="center"/>
              <w:rPr>
                <w:b/>
                <w:szCs w:val="22"/>
                <w:lang w:val="en-GB"/>
              </w:rPr>
            </w:pPr>
            <w:r w:rsidRPr="0031164B">
              <w:rPr>
                <w:b/>
                <w:lang w:val="en-GB"/>
              </w:rPr>
              <w:lastRenderedPageBreak/>
              <w:t>DOPLNĚK 1 K PŘÍLOZE D (DODATEK O OCHRANĚ OSOBNÍCH ÚDAJŮ) SMLOUVY</w:t>
            </w:r>
          </w:p>
        </w:tc>
        <w:tc>
          <w:tcPr>
            <w:tcW w:w="2500" w:type="pct"/>
            <w:vAlign w:val="center"/>
          </w:tcPr>
          <w:p w14:paraId="71AC4D6E" w14:textId="7A235DB5" w:rsidR="00186A79" w:rsidRPr="0031164B" w:rsidRDefault="00186A79" w:rsidP="00186A79">
            <w:pPr>
              <w:widowControl/>
              <w:autoSpaceDE/>
              <w:autoSpaceDN/>
              <w:adjustRightInd/>
              <w:spacing w:after="160" w:line="259" w:lineRule="auto"/>
              <w:jc w:val="center"/>
              <w:rPr>
                <w:b/>
                <w:szCs w:val="22"/>
                <w:lang w:val="en-GB"/>
              </w:rPr>
            </w:pPr>
            <w:r w:rsidRPr="0031164B">
              <w:rPr>
                <w:b/>
                <w:lang w:val="en-GB"/>
              </w:rPr>
              <w:t>SCHEDULE 1 TO ATTACHMENT D (DATA PRIVACY ADDENDUM) TO THE AGREEMENT</w:t>
            </w:r>
          </w:p>
        </w:tc>
      </w:tr>
      <w:tr w:rsidR="00186A79" w:rsidRPr="0031164B" w14:paraId="18415A22" w14:textId="39CEE68F" w:rsidTr="00186A79">
        <w:tc>
          <w:tcPr>
            <w:tcW w:w="2500" w:type="pct"/>
          </w:tcPr>
          <w:p w14:paraId="1FC9B56A" w14:textId="77777777" w:rsidR="00186A79" w:rsidRPr="001314E7" w:rsidRDefault="00186A79" w:rsidP="00186A79">
            <w:pPr>
              <w:jc w:val="center"/>
              <w:rPr>
                <w:b/>
                <w:lang w:val="pt-BR"/>
              </w:rPr>
            </w:pPr>
            <w:r w:rsidRPr="001314E7">
              <w:rPr>
                <w:b/>
                <w:lang w:val="pt-BR"/>
              </w:rPr>
              <w:t>PODROBNOSTI O ČINNOSTECH ZPRACOVÁNÍ ÚDAJŮ</w:t>
            </w:r>
          </w:p>
        </w:tc>
        <w:tc>
          <w:tcPr>
            <w:tcW w:w="2500" w:type="pct"/>
            <w:vAlign w:val="center"/>
          </w:tcPr>
          <w:p w14:paraId="516FD4E3" w14:textId="4A46F99B" w:rsidR="00186A79" w:rsidRPr="0031164B" w:rsidRDefault="00186A79" w:rsidP="00186A79">
            <w:pPr>
              <w:widowControl/>
              <w:autoSpaceDE/>
              <w:autoSpaceDN/>
              <w:adjustRightInd/>
              <w:spacing w:after="160" w:line="259" w:lineRule="auto"/>
              <w:jc w:val="center"/>
              <w:rPr>
                <w:b/>
                <w:lang w:val="en-GB"/>
              </w:rPr>
            </w:pPr>
            <w:r w:rsidRPr="0031164B">
              <w:rPr>
                <w:b/>
                <w:lang w:val="en-GB"/>
              </w:rPr>
              <w:t>DETAILS OF THE DATA PROCESSING ACTIVITIES</w:t>
            </w:r>
          </w:p>
        </w:tc>
      </w:tr>
      <w:tr w:rsidR="00186A79" w:rsidRPr="0031164B" w14:paraId="07EB4425" w14:textId="1FE293CA" w:rsidTr="00186A79">
        <w:tc>
          <w:tcPr>
            <w:tcW w:w="2500" w:type="pct"/>
          </w:tcPr>
          <w:p w14:paraId="1E2B8DCA" w14:textId="0DD18095" w:rsidR="00186A79" w:rsidRPr="001314E7" w:rsidRDefault="00186A79" w:rsidP="00186A79">
            <w:pPr>
              <w:spacing w:after="240" w:line="280" w:lineRule="exact"/>
              <w:jc w:val="both"/>
            </w:pPr>
            <w:r w:rsidRPr="001314E7">
              <w:t xml:space="preserve">Strany se podílejí na zpracování osobních údajů, jak je popsáno níže, v souvislosti s žádostí </w:t>
            </w:r>
            <w:r w:rsidR="006145E3">
              <w:t>Centra</w:t>
            </w:r>
            <w:r w:rsidRPr="001314E7">
              <w:t xml:space="preserve"> vůči společnosti BMS o terapii CAR T, kterou mohou pacienti obdržet. </w:t>
            </w:r>
            <w:bookmarkStart w:id="281" w:name="_Hlk51071950"/>
            <w:r w:rsidRPr="001314E7">
              <w:t xml:space="preserve">Produkt vyžaduje specifickou výrobu pro každého pacienta a odběr mononukleárních buněk (biologických vzorků). </w:t>
            </w:r>
            <w:bookmarkEnd w:id="281"/>
            <w:r w:rsidRPr="001314E7">
              <w:t>Tento doplněk příloha 1 obsahuje podrobnosti o činnostech zpracování prováděných stranami a o typech informací požadovaných během celého procesu.</w:t>
            </w:r>
          </w:p>
        </w:tc>
        <w:tc>
          <w:tcPr>
            <w:tcW w:w="2500" w:type="pct"/>
          </w:tcPr>
          <w:p w14:paraId="524C761D" w14:textId="5A5C062F" w:rsidR="00186A79" w:rsidRPr="0031164B" w:rsidRDefault="00186A79" w:rsidP="00F35BB8">
            <w:pPr>
              <w:widowControl/>
              <w:autoSpaceDE/>
              <w:autoSpaceDN/>
              <w:adjustRightInd/>
              <w:spacing w:after="160" w:line="259" w:lineRule="auto"/>
              <w:jc w:val="both"/>
              <w:rPr>
                <w:lang w:val="en-GB"/>
              </w:rPr>
            </w:pPr>
            <w:r w:rsidRPr="0031164B">
              <w:rPr>
                <w:lang w:val="en-GB"/>
              </w:rPr>
              <w:t>The Parties are involved in the Processing of Personal Data, as described below, in the context of a request by the Center to BMS for a CAR T therapy that patients may receive. The Product requires specific manufacturing for each patient and collection of mononuclear cells (biosamples). This Schedule 1 provides details of the Processing activities conducted by the Parties and the types of information required during the entire process.</w:t>
            </w:r>
          </w:p>
        </w:tc>
      </w:tr>
    </w:tbl>
    <w:p w14:paraId="7F1512C5" w14:textId="77777777" w:rsidR="00186A79" w:rsidRPr="0031164B" w:rsidRDefault="00186A79" w:rsidP="00917A7E">
      <w:pPr>
        <w:spacing w:after="240" w:line="280" w:lineRule="exact"/>
        <w:jc w:val="both"/>
        <w:rPr>
          <w:lang w:val="en-GB"/>
        </w:rPr>
      </w:pPr>
    </w:p>
    <w:tbl>
      <w:tblPr>
        <w:tblStyle w:val="Mkatabulky"/>
        <w:tblW w:w="14310" w:type="dxa"/>
        <w:tblInd w:w="-147" w:type="dxa"/>
        <w:tblLayout w:type="fixed"/>
        <w:tblLook w:val="04A0" w:firstRow="1" w:lastRow="0" w:firstColumn="1" w:lastColumn="0" w:noHBand="0" w:noVBand="1"/>
      </w:tblPr>
      <w:tblGrid>
        <w:gridCol w:w="2260"/>
        <w:gridCol w:w="5245"/>
        <w:gridCol w:w="6805"/>
      </w:tblGrid>
      <w:tr w:rsidR="00205626" w:rsidRPr="0031164B" w14:paraId="63E34D92" w14:textId="77777777" w:rsidTr="00917A7E">
        <w:tc>
          <w:tcPr>
            <w:tcW w:w="2259" w:type="dxa"/>
            <w:tcBorders>
              <w:top w:val="single" w:sz="12" w:space="0" w:color="auto"/>
              <w:left w:val="single" w:sz="12" w:space="0" w:color="auto"/>
              <w:bottom w:val="single" w:sz="12" w:space="0" w:color="auto"/>
              <w:right w:val="single" w:sz="4" w:space="0" w:color="auto"/>
            </w:tcBorders>
            <w:shd w:val="clear" w:color="auto" w:fill="767171" w:themeFill="background2" w:themeFillShade="80"/>
          </w:tcPr>
          <w:p w14:paraId="63E34D8F" w14:textId="77777777" w:rsidR="00917A7E" w:rsidRPr="0031164B" w:rsidRDefault="00917A7E">
            <w:pPr>
              <w:spacing w:before="240" w:after="240"/>
              <w:jc w:val="both"/>
              <w:rPr>
                <w:rFonts w:cstheme="minorBidi"/>
                <w:b/>
                <w:szCs w:val="22"/>
                <w:lang w:val="en-GB"/>
              </w:rPr>
            </w:pPr>
          </w:p>
        </w:tc>
        <w:tc>
          <w:tcPr>
            <w:tcW w:w="5244" w:type="dxa"/>
            <w:tcBorders>
              <w:top w:val="single" w:sz="12" w:space="0" w:color="auto"/>
              <w:left w:val="single" w:sz="4" w:space="0" w:color="auto"/>
              <w:bottom w:val="single" w:sz="12" w:space="0" w:color="auto"/>
              <w:right w:val="single" w:sz="4" w:space="0" w:color="auto"/>
            </w:tcBorders>
            <w:shd w:val="clear" w:color="auto" w:fill="D9E2F3" w:themeFill="accent1" w:themeFillTint="33"/>
            <w:hideMark/>
          </w:tcPr>
          <w:p w14:paraId="63E34D90" w14:textId="77777777" w:rsidR="00917A7E" w:rsidRPr="0031164B" w:rsidRDefault="00CA50DA">
            <w:pPr>
              <w:spacing w:before="240" w:after="240"/>
              <w:jc w:val="center"/>
              <w:rPr>
                <w:b/>
                <w:lang w:val="en-GB"/>
              </w:rPr>
            </w:pPr>
            <w:r w:rsidRPr="0031164B">
              <w:rPr>
                <w:b/>
                <w:bCs/>
                <w:lang w:val="en-GB"/>
              </w:rPr>
              <w:t xml:space="preserve">BMS </w:t>
            </w:r>
          </w:p>
        </w:tc>
        <w:tc>
          <w:tcPr>
            <w:tcW w:w="6804" w:type="dxa"/>
            <w:tcBorders>
              <w:top w:val="single" w:sz="12" w:space="0" w:color="auto"/>
              <w:left w:val="single" w:sz="4" w:space="0" w:color="auto"/>
              <w:bottom w:val="single" w:sz="12" w:space="0" w:color="auto"/>
              <w:right w:val="single" w:sz="12" w:space="0" w:color="auto"/>
            </w:tcBorders>
            <w:shd w:val="clear" w:color="auto" w:fill="D9E2F3" w:themeFill="accent1" w:themeFillTint="33"/>
            <w:hideMark/>
          </w:tcPr>
          <w:p w14:paraId="63E34D91" w14:textId="1C67D85D" w:rsidR="00917A7E" w:rsidRPr="0031164B" w:rsidRDefault="00BD56DF">
            <w:pPr>
              <w:spacing w:before="240" w:after="240"/>
              <w:jc w:val="center"/>
              <w:rPr>
                <w:b/>
                <w:lang w:val="en-GB"/>
              </w:rPr>
            </w:pPr>
            <w:r>
              <w:rPr>
                <w:b/>
                <w:lang w:val="en-GB"/>
              </w:rPr>
              <w:t>Centru</w:t>
            </w:r>
            <w:r w:rsidR="00206B93">
              <w:rPr>
                <w:b/>
                <w:lang w:val="en-GB"/>
              </w:rPr>
              <w:t>m</w:t>
            </w:r>
          </w:p>
        </w:tc>
      </w:tr>
      <w:tr w:rsidR="00205626" w:rsidRPr="0031164B" w14:paraId="63E34D9A" w14:textId="77777777" w:rsidTr="00917A7E">
        <w:tc>
          <w:tcPr>
            <w:tcW w:w="2259" w:type="dxa"/>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93" w14:textId="77777777" w:rsidR="00917A7E" w:rsidRPr="001314E7" w:rsidRDefault="00CA50DA">
            <w:pPr>
              <w:spacing w:before="120" w:after="120"/>
              <w:rPr>
                <w:b/>
              </w:rPr>
            </w:pPr>
            <w:r w:rsidRPr="001314E7">
              <w:rPr>
                <w:b/>
              </w:rPr>
              <w:t>Popis operací zpracování prováděných každou stranou jednající jako správce</w:t>
            </w:r>
          </w:p>
        </w:tc>
        <w:tc>
          <w:tcPr>
            <w:tcW w:w="12048" w:type="dxa"/>
            <w:gridSpan w:val="2"/>
            <w:tcBorders>
              <w:top w:val="single" w:sz="12" w:space="0" w:color="auto"/>
              <w:left w:val="single" w:sz="4" w:space="0" w:color="auto"/>
              <w:bottom w:val="single" w:sz="4" w:space="0" w:color="auto"/>
              <w:right w:val="single" w:sz="12" w:space="0" w:color="auto"/>
            </w:tcBorders>
            <w:hideMark/>
          </w:tcPr>
          <w:p w14:paraId="63E34D94" w14:textId="77777777" w:rsidR="00917A7E" w:rsidRPr="001314E7" w:rsidRDefault="00CA50DA" w:rsidP="00843043">
            <w:pPr>
              <w:pStyle w:val="Zkladntext"/>
              <w:spacing w:before="120"/>
              <w:ind w:firstLine="0"/>
              <w:rPr>
                <w:sz w:val="22"/>
              </w:rPr>
            </w:pPr>
            <w:r w:rsidRPr="001314E7">
              <w:rPr>
                <w:u w:val="single"/>
              </w:rPr>
              <w:t>Obecný postup</w:t>
            </w:r>
          </w:p>
          <w:p w14:paraId="63E34D95" w14:textId="1F2623F8" w:rsidR="00917A7E" w:rsidRPr="001314E7" w:rsidRDefault="00CA50DA" w:rsidP="00843043">
            <w:pPr>
              <w:pStyle w:val="Zkladntext"/>
              <w:ind w:firstLine="0"/>
            </w:pPr>
            <w:r w:rsidRPr="001314E7">
              <w:t xml:space="preserve">Společnost BMS komercializuje inovativní terapii CAR T („Buněčná terapie“). Poskytování </w:t>
            </w:r>
            <w:r w:rsidR="00D40BE4">
              <w:t>B</w:t>
            </w:r>
            <w:r w:rsidRPr="001314E7">
              <w:t xml:space="preserve">uněčných terapií zdravotnickými </w:t>
            </w:r>
            <w:r w:rsidR="00D40BE4">
              <w:t>zařízeními</w:t>
            </w:r>
            <w:r w:rsidRPr="001314E7">
              <w:t xml:space="preserve"> jejich pacientům vyžaduje odběr určitých biologických vzorků prostřednictvím leukaferézy, což může vyžadovat, aby </w:t>
            </w:r>
            <w:r w:rsidR="00C61CF2">
              <w:t>Centrum</w:t>
            </w:r>
            <w:r w:rsidRPr="001314E7">
              <w:t xml:space="preserve"> p</w:t>
            </w:r>
            <w:r w:rsidR="00C61CF2">
              <w:t>rovedlo</w:t>
            </w:r>
            <w:r w:rsidRPr="001314E7">
              <w:t xml:space="preserve"> aferézní procedury. Po dokončení leukaferézy budou biologické vzorky přepraveny přes různé logistické a jiné poskytovatele služeb v Evropě, aby mohly být připraveny </w:t>
            </w:r>
            <w:r w:rsidR="00850F10">
              <w:t>k odeslání</w:t>
            </w:r>
            <w:r w:rsidRPr="001314E7">
              <w:t xml:space="preserve">. Po úpravě biologických vzorků a výrobě produktu se vyrobený produkt vrátí zpět do </w:t>
            </w:r>
            <w:r w:rsidR="00127D2C">
              <w:t>Cenra</w:t>
            </w:r>
            <w:r w:rsidRPr="001314E7">
              <w:t>, které jej použije k léčbě svých pacientů.</w:t>
            </w:r>
          </w:p>
          <w:p w14:paraId="63E34D96" w14:textId="77777777" w:rsidR="00917A7E" w:rsidRPr="001314E7" w:rsidRDefault="00CA50DA" w:rsidP="00843043">
            <w:pPr>
              <w:pStyle w:val="Zkladntext"/>
              <w:ind w:firstLine="0"/>
            </w:pPr>
            <w:r w:rsidRPr="001314E7">
              <w:rPr>
                <w:u w:val="single"/>
              </w:rPr>
              <w:t>Specifické činnosti zpracování</w:t>
            </w:r>
          </w:p>
          <w:p w14:paraId="63E34D97" w14:textId="153E9E63" w:rsidR="00917A7E" w:rsidRPr="001314E7" w:rsidRDefault="00CA50DA" w:rsidP="00843043">
            <w:pPr>
              <w:pStyle w:val="Zkladntext"/>
              <w:ind w:firstLine="0"/>
            </w:pPr>
            <w:r w:rsidRPr="001314E7">
              <w:t xml:space="preserve">Při objednávání produktu společnosti BMS bude </w:t>
            </w:r>
            <w:r w:rsidR="00127D2C">
              <w:t>Centrum</w:t>
            </w:r>
            <w:r w:rsidRPr="001314E7">
              <w:t xml:space="preserve"> sdílet informace o pacientovi se společností BMS (osobní údaje související s objednávkou produktu) za účelem naplánování aferézních procedur a objednávky produktu, aby bylo možné nakonec poskytnout pacientovi léčbu, jakmile bude vyrobena.</w:t>
            </w:r>
          </w:p>
          <w:p w14:paraId="63E34D98" w14:textId="77777777" w:rsidR="00917A7E" w:rsidRPr="0031164B" w:rsidRDefault="00CA50DA" w:rsidP="00843043">
            <w:pPr>
              <w:pStyle w:val="Zkladntext"/>
              <w:ind w:firstLine="0"/>
              <w:rPr>
                <w:lang w:val="en-GB"/>
              </w:rPr>
            </w:pPr>
            <w:r w:rsidRPr="0031164B">
              <w:rPr>
                <w:u w:val="single"/>
                <w:lang w:val="en-GB"/>
              </w:rPr>
              <w:lastRenderedPageBreak/>
              <w:t>Proč musí společnost BMS shromažďovat identifikátory pacientů</w:t>
            </w:r>
          </w:p>
          <w:p w14:paraId="63E34D99" w14:textId="20DB3D04" w:rsidR="00917A7E" w:rsidRPr="0031164B" w:rsidRDefault="00CA50DA" w:rsidP="00843043">
            <w:pPr>
              <w:pStyle w:val="Zkladntext"/>
              <w:ind w:firstLine="0"/>
              <w:rPr>
                <w:rFonts w:cstheme="minorBidi"/>
                <w:lang w:val="en-GB"/>
              </w:rPr>
            </w:pPr>
            <w:r w:rsidRPr="0031164B">
              <w:rPr>
                <w:lang w:val="en-GB"/>
              </w:rPr>
              <w:t xml:space="preserve">Vzhledem k autologní povaze této terapie CAR-T je nezbytně nutné zpracovávat omezené množství osobních údajů pacientů, aby bylo možné dodržovat přísné kontroly identifikačního řetězce (COI) a řetězce uchovávání (COC). V některých omezených případech může být vyžadováno jméno, příjmení a datum narození pacienta. Po obdržení objednávky od </w:t>
            </w:r>
            <w:r w:rsidR="002E7831">
              <w:rPr>
                <w:lang w:val="en-GB"/>
              </w:rPr>
              <w:t>Centra</w:t>
            </w:r>
            <w:r w:rsidRPr="0031164B">
              <w:rPr>
                <w:lang w:val="en-GB"/>
              </w:rPr>
              <w:t xml:space="preserve"> a po registraci pacienta vytvoří společnost BMS jedinečný nepřímý identifikátor (číslo JOIN), který poskytne </w:t>
            </w:r>
            <w:r w:rsidR="004F3AB5">
              <w:rPr>
                <w:lang w:val="en-GB"/>
              </w:rPr>
              <w:t>Centru</w:t>
            </w:r>
            <w:r w:rsidRPr="0031164B">
              <w:rPr>
                <w:lang w:val="en-GB"/>
              </w:rPr>
              <w:t xml:space="preserve"> a schváleným třetím stranám, aby bylo možné: (a) sledovat celý výrobní a dodavatelský řetězec produktu a (b) zajistit zachování identifikačního řetězce (COI) pro bezpečnost pacienta během celého procesu. Společnost BMS zpřístupní v povoleném a požadovaném rozsahu třetím stranám odpovědným za dodavatelský řetězec nezbytné informace, jako je číslo JOIN a další identifikátory pacienta, které jsou nezbytně nutné pro dodání vyrobeného produktu v plánovaném termínu, aby </w:t>
            </w:r>
            <w:r w:rsidR="00650E12">
              <w:rPr>
                <w:lang w:val="en-GB"/>
              </w:rPr>
              <w:t>Centrum</w:t>
            </w:r>
            <w:r w:rsidRPr="0031164B">
              <w:rPr>
                <w:lang w:val="en-GB"/>
              </w:rPr>
              <w:t xml:space="preserve"> mohlo léčit své pacienty </w:t>
            </w:r>
            <w:r w:rsidR="004E3FBC">
              <w:rPr>
                <w:lang w:val="en-GB"/>
              </w:rPr>
              <w:t xml:space="preserve">dodaným </w:t>
            </w:r>
            <w:r w:rsidRPr="0031164B">
              <w:rPr>
                <w:lang w:val="en-GB"/>
              </w:rPr>
              <w:t>produktem.</w:t>
            </w:r>
            <w:r w:rsidRPr="0031164B">
              <w:rPr>
                <w:sz w:val="20"/>
                <w:szCs w:val="20"/>
                <w:lang w:val="en-GB"/>
              </w:rPr>
              <w:t xml:space="preserve"> </w:t>
            </w:r>
          </w:p>
        </w:tc>
      </w:tr>
      <w:tr w:rsidR="00205626" w:rsidRPr="0031164B" w14:paraId="63E34DAA" w14:textId="77777777" w:rsidTr="00917A7E">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9B" w14:textId="77777777" w:rsidR="00917A7E" w:rsidRPr="001314E7" w:rsidRDefault="00CA50DA">
            <w:pPr>
              <w:spacing w:before="120" w:after="120"/>
              <w:rPr>
                <w:b/>
              </w:rPr>
            </w:pPr>
            <w:r w:rsidRPr="001314E7">
              <w:rPr>
                <w:b/>
              </w:rPr>
              <w:lastRenderedPageBreak/>
              <w:t>Účely operací zpracování prováděných jednotlivými správci</w:t>
            </w:r>
          </w:p>
        </w:tc>
        <w:tc>
          <w:tcPr>
            <w:tcW w:w="5244" w:type="dxa"/>
            <w:tcBorders>
              <w:top w:val="single" w:sz="4" w:space="0" w:color="auto"/>
              <w:left w:val="single" w:sz="4" w:space="0" w:color="auto"/>
              <w:bottom w:val="single" w:sz="4" w:space="0" w:color="auto"/>
              <w:right w:val="single" w:sz="4" w:space="0" w:color="auto"/>
            </w:tcBorders>
            <w:hideMark/>
          </w:tcPr>
          <w:p w14:paraId="63E34D9C" w14:textId="77777777" w:rsidR="00917A7E" w:rsidRPr="001314E7" w:rsidRDefault="00CA50DA">
            <w:pPr>
              <w:spacing w:before="120" w:after="120"/>
              <w:jc w:val="both"/>
              <w:rPr>
                <w:sz w:val="22"/>
              </w:rPr>
            </w:pPr>
            <w:r w:rsidRPr="001314E7">
              <w:t>Společnost BMS zpracovává osobní údaje za účelem:</w:t>
            </w:r>
          </w:p>
          <w:p w14:paraId="63E34D9D"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dodržování svých smluvních a zákonných povinností;</w:t>
            </w:r>
          </w:p>
          <w:p w14:paraId="63E34D9E"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 xml:space="preserve">řízení objednávek produktu pro celý dodavatelský řetězec a pro zahájení aferézy a infuze produktu; </w:t>
            </w:r>
          </w:p>
          <w:p w14:paraId="63E34D9F"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zajištění bezpečnosti pacientů zachováním řetězce identity v rámci výrobního procesu;</w:t>
            </w:r>
          </w:p>
          <w:p w14:paraId="63E34DA0" w14:textId="53622F6E"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sledování, řízení a hlášení jakýchkoli nežádoucích příhod, které se mohou vyskytnout v souvislosti s používáním přípravku, příslušným orgánům v souladu s platnými právními předpisy; a</w:t>
            </w:r>
          </w:p>
          <w:p w14:paraId="63E34DA2"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Případně testování infekčních chorob, aby se provedly testy na vzorcích krve a zabránilo se tak křížové kontaminaci.</w:t>
            </w:r>
          </w:p>
        </w:tc>
        <w:tc>
          <w:tcPr>
            <w:tcW w:w="6804" w:type="dxa"/>
            <w:tcBorders>
              <w:top w:val="single" w:sz="4" w:space="0" w:color="auto"/>
              <w:left w:val="single" w:sz="4" w:space="0" w:color="auto"/>
              <w:bottom w:val="single" w:sz="4" w:space="0" w:color="auto"/>
              <w:right w:val="single" w:sz="12" w:space="0" w:color="auto"/>
            </w:tcBorders>
            <w:hideMark/>
          </w:tcPr>
          <w:p w14:paraId="63E34DA3" w14:textId="15C08D3C" w:rsidR="00917A7E" w:rsidRPr="001314E7" w:rsidRDefault="001E5FA2">
            <w:pPr>
              <w:spacing w:before="120" w:after="120"/>
              <w:jc w:val="both"/>
            </w:pPr>
            <w:r>
              <w:t>Centrum</w:t>
            </w:r>
            <w:r w:rsidR="00CA50DA" w:rsidRPr="001314E7">
              <w:t xml:space="preserve"> zpracovává osobní údaje za účelem:</w:t>
            </w:r>
          </w:p>
          <w:p w14:paraId="63E34DA4"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rPr>
            </w:pPr>
            <w:r w:rsidRPr="001314E7">
              <w:rPr>
                <w:rFonts w:ascii="Times New Roman" w:hAnsi="Times New Roman"/>
              </w:rPr>
              <w:t>dodržování svých smluvních a zákonných povinností;</w:t>
            </w:r>
          </w:p>
          <w:p w14:paraId="63E34DA5"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pt-BR"/>
              </w:rPr>
            </w:pPr>
            <w:r w:rsidRPr="001314E7">
              <w:rPr>
                <w:rFonts w:ascii="Times New Roman" w:hAnsi="Times New Roman"/>
                <w:lang w:val="pt-BR"/>
              </w:rPr>
              <w:t xml:space="preserve">koordinace se společností </w:t>
            </w:r>
            <w:r w:rsidRPr="001314E7">
              <w:rPr>
                <w:rFonts w:ascii="Times New Roman" w:hAnsi="Times New Roman"/>
                <w:sz w:val="24"/>
                <w:lang w:val="pt-BR"/>
              </w:rPr>
              <w:t>BMS</w:t>
            </w:r>
            <w:r w:rsidRPr="001314E7">
              <w:rPr>
                <w:rFonts w:ascii="Times New Roman" w:hAnsi="Times New Roman"/>
                <w:lang w:val="pt-BR"/>
              </w:rPr>
              <w:t xml:space="preserve"> při plánování leukaferéz;</w:t>
            </w:r>
          </w:p>
          <w:p w14:paraId="63E34DA6"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provádění aferézy;</w:t>
            </w:r>
          </w:p>
          <w:p w14:paraId="63E34DA7"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zachování a udržování identifikačního řetězce, jak je požadováno pro bezpečnost pacientů a sledovatelnost produktu;</w:t>
            </w:r>
          </w:p>
          <w:p w14:paraId="63E34DA8"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poskytování lékařské péče a vedení zdravotnické dokumentace, poskytování produktu pacientům;</w:t>
            </w:r>
          </w:p>
          <w:p w14:paraId="63E34DA9"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schopnosti předepisujícího zdravotnického pracovníka podávat vyrobený produkt.</w:t>
            </w:r>
          </w:p>
        </w:tc>
      </w:tr>
      <w:tr w:rsidR="00205626" w:rsidRPr="0031164B" w14:paraId="63E34DB1" w14:textId="77777777" w:rsidTr="00917A7E">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AB" w14:textId="77777777" w:rsidR="00917A7E" w:rsidRPr="0031164B" w:rsidRDefault="00CA50DA">
            <w:pPr>
              <w:spacing w:before="120" w:after="120"/>
              <w:rPr>
                <w:rFonts w:cstheme="minorBidi"/>
                <w:b/>
                <w:lang w:val="en-GB"/>
              </w:rPr>
            </w:pPr>
            <w:r w:rsidRPr="0031164B">
              <w:rPr>
                <w:b/>
                <w:lang w:val="en-GB"/>
              </w:rPr>
              <w:t>Kategorie subjektů údajů</w:t>
            </w:r>
          </w:p>
        </w:tc>
        <w:tc>
          <w:tcPr>
            <w:tcW w:w="5244" w:type="dxa"/>
            <w:tcBorders>
              <w:top w:val="single" w:sz="4" w:space="0" w:color="auto"/>
              <w:left w:val="single" w:sz="4" w:space="0" w:color="auto"/>
              <w:bottom w:val="single" w:sz="4" w:space="0" w:color="auto"/>
              <w:right w:val="single" w:sz="4" w:space="0" w:color="auto"/>
            </w:tcBorders>
            <w:vAlign w:val="center"/>
          </w:tcPr>
          <w:p w14:paraId="63E34DAC" w14:textId="77777777" w:rsidR="00917A7E" w:rsidRPr="001314E7"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pt-BR"/>
              </w:rPr>
            </w:pPr>
            <w:r w:rsidRPr="001314E7">
              <w:rPr>
                <w:rFonts w:ascii="Times New Roman" w:hAnsi="Times New Roman"/>
                <w:lang w:val="pt-BR"/>
              </w:rPr>
              <w:t>Osoby (pacienti), které žádají o produkt nebo se podrobují léčbě související s produktem.</w:t>
            </w:r>
          </w:p>
          <w:p w14:paraId="63E34DAD" w14:textId="16F6F4EA"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 xml:space="preserve">Zdravotnický personál a zaměstnanci </w:t>
            </w:r>
            <w:r w:rsidR="00B72199">
              <w:rPr>
                <w:rFonts w:ascii="Times New Roman" w:hAnsi="Times New Roman"/>
                <w:lang w:val="en-GB"/>
              </w:rPr>
              <w:t>Centra</w:t>
            </w:r>
          </w:p>
          <w:p w14:paraId="63E34DAE" w14:textId="77777777" w:rsidR="00917A7E" w:rsidRPr="0031164B" w:rsidRDefault="00917A7E">
            <w:pPr>
              <w:pStyle w:val="Odstavecseseznamem"/>
              <w:spacing w:before="120" w:after="120"/>
              <w:ind w:left="530"/>
              <w:jc w:val="both"/>
              <w:rPr>
                <w:rFonts w:ascii="Times New Roman" w:hAnsi="Times New Roman" w:cs="Times New Roman"/>
                <w:lang w:val="en-GB"/>
              </w:rPr>
            </w:pPr>
          </w:p>
        </w:tc>
        <w:tc>
          <w:tcPr>
            <w:tcW w:w="6804" w:type="dxa"/>
            <w:tcBorders>
              <w:top w:val="single" w:sz="4" w:space="0" w:color="auto"/>
              <w:left w:val="single" w:sz="4" w:space="0" w:color="auto"/>
              <w:bottom w:val="single" w:sz="4" w:space="0" w:color="auto"/>
              <w:right w:val="single" w:sz="12" w:space="0" w:color="auto"/>
            </w:tcBorders>
            <w:vAlign w:val="center"/>
            <w:hideMark/>
          </w:tcPr>
          <w:p w14:paraId="63E34DAF"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Pacienti, kteří byli vyšetřeni, u kterých byly provedeny aferézy a/nebo kterým byl podáván produkt.</w:t>
            </w:r>
          </w:p>
          <w:p w14:paraId="63E34DB0" w14:textId="77777777" w:rsidR="00917A7E" w:rsidRPr="0031164B" w:rsidRDefault="00CA50DA" w:rsidP="008A5C23">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 xml:space="preserve">Zaměstnanci společnosti </w:t>
            </w:r>
            <w:r w:rsidRPr="0031164B">
              <w:rPr>
                <w:rFonts w:ascii="Times New Roman" w:hAnsi="Times New Roman"/>
                <w:sz w:val="24"/>
                <w:lang w:val="en-GB"/>
              </w:rPr>
              <w:t>BMS</w:t>
            </w:r>
            <w:r w:rsidRPr="0031164B">
              <w:rPr>
                <w:rFonts w:ascii="Times New Roman" w:hAnsi="Times New Roman"/>
                <w:lang w:val="en-GB"/>
              </w:rPr>
              <w:t xml:space="preserve"> a dodavatelé třetích stran</w:t>
            </w:r>
          </w:p>
        </w:tc>
      </w:tr>
      <w:tr w:rsidR="00205626" w:rsidRPr="0031164B" w14:paraId="63E34DBC" w14:textId="77777777" w:rsidTr="00917A7E">
        <w:trPr>
          <w:trHeight w:val="2042"/>
        </w:trPr>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B2" w14:textId="77777777" w:rsidR="00917A7E" w:rsidRPr="0031164B" w:rsidRDefault="00CA50DA">
            <w:pPr>
              <w:spacing w:before="120" w:after="120"/>
              <w:rPr>
                <w:rFonts w:cstheme="minorBidi"/>
                <w:b/>
                <w:lang w:val="en-GB"/>
              </w:rPr>
            </w:pPr>
            <w:r w:rsidRPr="0031164B">
              <w:rPr>
                <w:b/>
                <w:lang w:val="en-GB"/>
              </w:rPr>
              <w:lastRenderedPageBreak/>
              <w:t>Kategorie osobních údajů</w:t>
            </w:r>
          </w:p>
        </w:tc>
        <w:tc>
          <w:tcPr>
            <w:tcW w:w="5244" w:type="dxa"/>
            <w:tcBorders>
              <w:top w:val="single" w:sz="4" w:space="0" w:color="auto"/>
              <w:left w:val="single" w:sz="4" w:space="0" w:color="auto"/>
              <w:bottom w:val="single" w:sz="4" w:space="0" w:color="auto"/>
              <w:right w:val="single" w:sz="4" w:space="0" w:color="auto"/>
            </w:tcBorders>
            <w:hideMark/>
          </w:tcPr>
          <w:p w14:paraId="63E34DB3" w14:textId="1B1E7EBD" w:rsidR="00917A7E" w:rsidRPr="0031164B" w:rsidRDefault="00CA50DA" w:rsidP="008A5C23">
            <w:pPr>
              <w:pStyle w:val="Odstavecseseznamem"/>
              <w:widowControl/>
              <w:numPr>
                <w:ilvl w:val="0"/>
                <w:numId w:val="16"/>
              </w:numPr>
              <w:spacing w:before="60" w:after="60"/>
              <w:ind w:left="329" w:hanging="284"/>
              <w:contextualSpacing/>
              <w:jc w:val="both"/>
              <w:rPr>
                <w:rFonts w:ascii="Times New Roman" w:hAnsi="Times New Roman" w:cs="Times New Roman"/>
                <w:lang w:val="en-GB"/>
              </w:rPr>
            </w:pPr>
            <w:r w:rsidRPr="0031164B">
              <w:rPr>
                <w:rFonts w:ascii="Times New Roman" w:hAnsi="Times New Roman"/>
                <w:b/>
                <w:bCs/>
                <w:lang w:val="en-GB"/>
              </w:rPr>
              <w:t xml:space="preserve">Osobní údaje pacientů a </w:t>
            </w:r>
            <w:r w:rsidR="00B72199">
              <w:rPr>
                <w:rFonts w:ascii="Times New Roman" w:hAnsi="Times New Roman"/>
                <w:b/>
                <w:bCs/>
                <w:lang w:val="en-GB"/>
              </w:rPr>
              <w:t>Centra</w:t>
            </w:r>
            <w:r w:rsidRPr="0031164B">
              <w:rPr>
                <w:rFonts w:ascii="Times New Roman" w:hAnsi="Times New Roman"/>
                <w:lang w:val="en-GB"/>
              </w:rPr>
              <w:t>, zejména jejich kontaktní údaje a případně přihlašovací údaje;</w:t>
            </w:r>
          </w:p>
          <w:p w14:paraId="63E34DB4" w14:textId="77777777" w:rsidR="00917A7E" w:rsidRPr="0031164B" w:rsidRDefault="00CA50DA" w:rsidP="008A5C23">
            <w:pPr>
              <w:pStyle w:val="Odstavecseseznamem"/>
              <w:widowControl/>
              <w:numPr>
                <w:ilvl w:val="0"/>
                <w:numId w:val="16"/>
              </w:numPr>
              <w:spacing w:before="120" w:after="120"/>
              <w:ind w:left="329" w:hanging="284"/>
              <w:contextualSpacing/>
              <w:jc w:val="both"/>
              <w:rPr>
                <w:rFonts w:ascii="Times New Roman" w:hAnsi="Times New Roman" w:cs="Times New Roman"/>
                <w:b/>
                <w:bCs/>
                <w:lang w:val="en-GB"/>
              </w:rPr>
            </w:pPr>
            <w:r w:rsidRPr="0031164B">
              <w:rPr>
                <w:rFonts w:ascii="Times New Roman" w:hAnsi="Times New Roman"/>
                <w:b/>
                <w:bCs/>
                <w:lang w:val="en-GB"/>
              </w:rPr>
              <w:t>Osobní údaje související s postupy aferézy</w:t>
            </w:r>
            <w:r w:rsidRPr="0031164B">
              <w:rPr>
                <w:rFonts w:ascii="Times New Roman" w:hAnsi="Times New Roman"/>
                <w:lang w:val="en-GB"/>
              </w:rPr>
              <w:t xml:space="preserve"> pro výrobu nebo zadání výroby produktu</w:t>
            </w:r>
          </w:p>
          <w:p w14:paraId="63E34DB5" w14:textId="77777777" w:rsidR="00917A7E" w:rsidRPr="0031164B" w:rsidRDefault="00CA50DA" w:rsidP="008A5C23">
            <w:pPr>
              <w:pStyle w:val="Odstavecseseznamem"/>
              <w:widowControl/>
              <w:numPr>
                <w:ilvl w:val="0"/>
                <w:numId w:val="16"/>
              </w:numPr>
              <w:spacing w:before="60" w:after="60"/>
              <w:ind w:left="329" w:hanging="284"/>
              <w:contextualSpacing/>
              <w:jc w:val="both"/>
              <w:rPr>
                <w:rFonts w:ascii="Times New Roman" w:hAnsi="Times New Roman" w:cs="Times New Roman"/>
                <w:b/>
                <w:bCs/>
                <w:lang w:val="en-GB"/>
              </w:rPr>
            </w:pPr>
            <w:r w:rsidRPr="0031164B">
              <w:rPr>
                <w:rFonts w:ascii="Times New Roman" w:hAnsi="Times New Roman"/>
                <w:b/>
                <w:lang w:val="en-GB"/>
              </w:rPr>
              <w:t>Osobní údaje související s objednávkou produktu</w:t>
            </w:r>
            <w:r w:rsidRPr="0031164B">
              <w:rPr>
                <w:rFonts w:ascii="Times New Roman" w:hAnsi="Times New Roman"/>
                <w:bCs/>
                <w:lang w:val="en-GB"/>
              </w:rPr>
              <w:t>,</w:t>
            </w:r>
            <w:r w:rsidRPr="0031164B">
              <w:rPr>
                <w:rFonts w:ascii="Times New Roman" w:hAnsi="Times New Roman"/>
                <w:lang w:val="en-GB"/>
              </w:rPr>
              <w:t xml:space="preserve"> které mohou zahrnovat:</w:t>
            </w:r>
          </w:p>
          <w:p w14:paraId="63E34DB6" w14:textId="77777777" w:rsidR="00917A7E" w:rsidRPr="0031164B" w:rsidRDefault="00CA50DA">
            <w:pPr>
              <w:pStyle w:val="Odstavecseseznamem"/>
              <w:spacing w:before="60" w:after="60"/>
              <w:ind w:left="329"/>
              <w:jc w:val="both"/>
              <w:rPr>
                <w:rFonts w:ascii="Times New Roman" w:hAnsi="Times New Roman" w:cs="Times New Roman"/>
                <w:lang w:val="en-GB"/>
              </w:rPr>
            </w:pPr>
            <w:r w:rsidRPr="0031164B">
              <w:rPr>
                <w:rFonts w:ascii="Times New Roman" w:hAnsi="Times New Roman"/>
                <w:lang w:val="en-GB"/>
              </w:rPr>
              <w:t xml:space="preserve">(a) </w:t>
            </w:r>
            <w:r w:rsidRPr="0031164B">
              <w:rPr>
                <w:rFonts w:ascii="Times New Roman" w:hAnsi="Times New Roman"/>
                <w:u w:val="single"/>
                <w:lang w:val="en-GB"/>
              </w:rPr>
              <w:t>přímé identifikátory</w:t>
            </w:r>
            <w:r w:rsidRPr="0031164B">
              <w:rPr>
                <w:rFonts w:ascii="Times New Roman" w:hAnsi="Times New Roman"/>
                <w:lang w:val="en-GB"/>
              </w:rPr>
              <w:t xml:space="preserve">, jako jsou iniciály pacienta, datum narození, pohlaví, jméno, příjmení, ale také zdravotní údaje pacienta pro účely způsobilosti a plánování (např.: anamnéza, biologické informace, hmotnost, informace týkající se účinnosti a bezpečnosti léčby) a </w:t>
            </w:r>
          </w:p>
          <w:p w14:paraId="63E34DB7" w14:textId="77777777" w:rsidR="00917A7E" w:rsidRPr="0031164B" w:rsidRDefault="00CA50DA">
            <w:pPr>
              <w:pStyle w:val="Odstavecseseznamem"/>
              <w:spacing w:before="60" w:after="60"/>
              <w:ind w:left="329"/>
              <w:jc w:val="both"/>
              <w:rPr>
                <w:rFonts w:ascii="Times New Roman" w:hAnsi="Times New Roman" w:cs="Times New Roman"/>
                <w:lang w:val="en-GB"/>
              </w:rPr>
            </w:pPr>
            <w:r w:rsidRPr="0031164B">
              <w:rPr>
                <w:rFonts w:ascii="Times New Roman" w:hAnsi="Times New Roman"/>
                <w:lang w:val="en-GB"/>
              </w:rPr>
              <w:t xml:space="preserve">(b) </w:t>
            </w:r>
            <w:r w:rsidRPr="0031164B">
              <w:rPr>
                <w:rFonts w:ascii="Times New Roman" w:hAnsi="Times New Roman"/>
                <w:u w:val="single"/>
                <w:lang w:val="en-GB"/>
              </w:rPr>
              <w:t>nepřímé identifikátory pacienta</w:t>
            </w:r>
            <w:r w:rsidRPr="0031164B">
              <w:rPr>
                <w:rFonts w:ascii="Times New Roman" w:hAnsi="Times New Roman"/>
                <w:lang w:val="en-GB"/>
              </w:rPr>
              <w:t>, jako je číslo JOIN, včetně kódů pacienta, jako je ID dárce, registrační číslo nebo aferéza pro účely logistiky.</w:t>
            </w:r>
          </w:p>
        </w:tc>
        <w:tc>
          <w:tcPr>
            <w:tcW w:w="6804" w:type="dxa"/>
            <w:tcBorders>
              <w:top w:val="single" w:sz="4" w:space="0" w:color="auto"/>
              <w:left w:val="single" w:sz="4" w:space="0" w:color="auto"/>
              <w:bottom w:val="single" w:sz="4" w:space="0" w:color="auto"/>
              <w:right w:val="single" w:sz="12" w:space="0" w:color="auto"/>
            </w:tcBorders>
            <w:hideMark/>
          </w:tcPr>
          <w:p w14:paraId="63E34DB8" w14:textId="77777777" w:rsidR="00917A7E" w:rsidRPr="0031164B" w:rsidRDefault="00CA50DA" w:rsidP="008A5C23">
            <w:pPr>
              <w:pStyle w:val="Odstavecseseznamem"/>
              <w:widowControl/>
              <w:numPr>
                <w:ilvl w:val="0"/>
                <w:numId w:val="16"/>
              </w:numPr>
              <w:spacing w:before="120" w:after="120"/>
              <w:ind w:left="329" w:hanging="284"/>
              <w:contextualSpacing/>
              <w:jc w:val="both"/>
              <w:rPr>
                <w:rFonts w:ascii="Times New Roman" w:hAnsi="Times New Roman" w:cstheme="minorBidi"/>
                <w:lang w:val="en-GB"/>
              </w:rPr>
            </w:pPr>
            <w:r w:rsidRPr="0031164B">
              <w:rPr>
                <w:rFonts w:ascii="Times New Roman" w:hAnsi="Times New Roman"/>
                <w:b/>
                <w:lang w:val="en-GB"/>
              </w:rPr>
              <w:t xml:space="preserve">Osobní údaje společnosti </w:t>
            </w:r>
            <w:r w:rsidRPr="0031164B">
              <w:rPr>
                <w:rFonts w:ascii="Times New Roman" w:hAnsi="Times New Roman"/>
                <w:b/>
                <w:bCs/>
                <w:lang w:val="en-GB"/>
              </w:rPr>
              <w:t>BMS</w:t>
            </w:r>
            <w:r w:rsidRPr="0031164B">
              <w:rPr>
                <w:rFonts w:ascii="Times New Roman" w:hAnsi="Times New Roman"/>
                <w:lang w:val="en-GB"/>
              </w:rPr>
              <w:t xml:space="preserve"> pro své vlastní účely, například za účelem správy smluvního vztahu se společností BMS.</w:t>
            </w:r>
          </w:p>
          <w:p w14:paraId="63E34DB9" w14:textId="77777777" w:rsidR="00917A7E" w:rsidRPr="0031164B" w:rsidRDefault="00CA50DA" w:rsidP="008A5C23">
            <w:pPr>
              <w:pStyle w:val="Odstavecseseznamem"/>
              <w:widowControl/>
              <w:numPr>
                <w:ilvl w:val="0"/>
                <w:numId w:val="16"/>
              </w:numPr>
              <w:spacing w:before="120" w:after="120"/>
              <w:ind w:left="329" w:hanging="284"/>
              <w:contextualSpacing/>
              <w:jc w:val="both"/>
              <w:rPr>
                <w:rFonts w:ascii="Times New Roman" w:hAnsi="Times New Roman"/>
                <w:lang w:val="en-GB"/>
              </w:rPr>
            </w:pPr>
            <w:r w:rsidRPr="0031164B">
              <w:rPr>
                <w:rFonts w:ascii="Times New Roman" w:hAnsi="Times New Roman"/>
                <w:b/>
                <w:bCs/>
                <w:lang w:val="en-GB"/>
              </w:rPr>
              <w:t>Osobní údaje související s postupy aferézy</w:t>
            </w:r>
            <w:r w:rsidRPr="0031164B">
              <w:rPr>
                <w:rFonts w:ascii="Times New Roman" w:hAnsi="Times New Roman"/>
                <w:lang w:val="en-GB"/>
              </w:rPr>
              <w:t xml:space="preserve"> k provádění a správě služeb aferézy</w:t>
            </w:r>
          </w:p>
          <w:p w14:paraId="63E34DBA" w14:textId="77777777" w:rsidR="00917A7E" w:rsidRPr="0031164B" w:rsidRDefault="00CA50DA" w:rsidP="008A5C23">
            <w:pPr>
              <w:pStyle w:val="Odstavecseseznamem"/>
              <w:widowControl/>
              <w:numPr>
                <w:ilvl w:val="0"/>
                <w:numId w:val="16"/>
              </w:numPr>
              <w:spacing w:before="120" w:after="120"/>
              <w:ind w:left="329" w:hanging="284"/>
              <w:contextualSpacing/>
              <w:jc w:val="both"/>
              <w:rPr>
                <w:rFonts w:ascii="Times New Roman" w:hAnsi="Times New Roman" w:cs="Times New Roman"/>
                <w:lang w:val="en-GB"/>
              </w:rPr>
            </w:pPr>
            <w:r w:rsidRPr="0031164B">
              <w:rPr>
                <w:rFonts w:ascii="Times New Roman" w:hAnsi="Times New Roman"/>
                <w:b/>
                <w:lang w:val="en-GB"/>
              </w:rPr>
              <w:t>Osobní údaje související s objednávkou produktu</w:t>
            </w:r>
            <w:r w:rsidRPr="0031164B">
              <w:rPr>
                <w:rFonts w:ascii="Times New Roman" w:hAnsi="Times New Roman"/>
                <w:lang w:val="en-GB"/>
              </w:rPr>
              <w:t>, případně obojí, za účelem správy objednávky produktu, zajištění bezpečnosti pacienta a kvality léčby</w:t>
            </w:r>
          </w:p>
          <w:p w14:paraId="63E34DBB" w14:textId="640CFBC2" w:rsidR="00917A7E" w:rsidRPr="0031164B" w:rsidRDefault="00CA50DA" w:rsidP="008A5C23">
            <w:pPr>
              <w:pStyle w:val="Odstavecseseznamem"/>
              <w:widowControl/>
              <w:numPr>
                <w:ilvl w:val="0"/>
                <w:numId w:val="16"/>
              </w:numPr>
              <w:spacing w:before="120" w:after="120"/>
              <w:ind w:left="329" w:hanging="284"/>
              <w:contextualSpacing/>
              <w:jc w:val="both"/>
              <w:rPr>
                <w:rFonts w:ascii="Times New Roman" w:hAnsi="Times New Roman" w:cs="Times New Roman"/>
                <w:lang w:val="en-GB"/>
              </w:rPr>
            </w:pPr>
            <w:r w:rsidRPr="0031164B">
              <w:rPr>
                <w:rFonts w:ascii="Times New Roman" w:hAnsi="Times New Roman"/>
                <w:b/>
                <w:bCs/>
                <w:lang w:val="en-GB"/>
              </w:rPr>
              <w:t xml:space="preserve">Osobní údaje pacientů a </w:t>
            </w:r>
            <w:r w:rsidR="00D67555">
              <w:rPr>
                <w:rFonts w:ascii="Times New Roman" w:hAnsi="Times New Roman"/>
                <w:b/>
                <w:bCs/>
                <w:lang w:val="en-GB"/>
              </w:rPr>
              <w:t>Centra</w:t>
            </w:r>
            <w:r w:rsidRPr="0031164B">
              <w:rPr>
                <w:rFonts w:ascii="Times New Roman" w:hAnsi="Times New Roman"/>
                <w:lang w:val="en-GB"/>
              </w:rPr>
              <w:t xml:space="preserve"> pro své vlastní účely, pro správu zdravotnické dokumentace pacientů a léčbu pacientů pomocí produktu.</w:t>
            </w:r>
          </w:p>
        </w:tc>
      </w:tr>
      <w:tr w:rsidR="00205626" w:rsidRPr="0031164B" w14:paraId="63E34DC0" w14:textId="77777777" w:rsidTr="00917A7E">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BD" w14:textId="77777777" w:rsidR="00917A7E" w:rsidRPr="001314E7" w:rsidRDefault="00CA50DA">
            <w:pPr>
              <w:spacing w:before="120" w:after="120"/>
              <w:rPr>
                <w:rFonts w:cstheme="minorBidi"/>
                <w:b/>
                <w:lang w:val="pt-BR"/>
              </w:rPr>
            </w:pPr>
            <w:r w:rsidRPr="001314E7">
              <w:rPr>
                <w:b/>
                <w:lang w:val="pt-BR"/>
              </w:rPr>
              <w:t>Oznámení o ochraně osobních údajů</w:t>
            </w:r>
          </w:p>
        </w:tc>
        <w:tc>
          <w:tcPr>
            <w:tcW w:w="5244" w:type="dxa"/>
            <w:tcBorders>
              <w:top w:val="single" w:sz="4" w:space="0" w:color="auto"/>
              <w:left w:val="single" w:sz="4" w:space="0" w:color="auto"/>
              <w:bottom w:val="single" w:sz="4" w:space="0" w:color="auto"/>
              <w:right w:val="single" w:sz="4" w:space="0" w:color="auto"/>
            </w:tcBorders>
            <w:hideMark/>
          </w:tcPr>
          <w:p w14:paraId="63E34DBE" w14:textId="61233264" w:rsidR="00917A7E" w:rsidRPr="001314E7" w:rsidRDefault="00CA50DA">
            <w:pPr>
              <w:spacing w:before="120" w:after="120"/>
              <w:jc w:val="both"/>
              <w:rPr>
                <w:sz w:val="22"/>
                <w:lang w:val="pt-BR"/>
              </w:rPr>
            </w:pPr>
            <w:r w:rsidRPr="001314E7">
              <w:rPr>
                <w:lang w:val="pt-BR"/>
              </w:rPr>
              <w:t xml:space="preserve">Společnost BMS poskytne své oznámení o ochraně osobních údajů přímo nebo nepřímo subjektům údajů prostřednictvím </w:t>
            </w:r>
            <w:r w:rsidR="00D77EDD">
              <w:rPr>
                <w:lang w:val="pt-BR"/>
              </w:rPr>
              <w:t>Centra</w:t>
            </w:r>
            <w:r w:rsidRPr="001314E7">
              <w:rPr>
                <w:lang w:val="pt-BR"/>
              </w:rPr>
              <w:t>, které bude odpovědné za zajištění transparentnosti pro příslušné subjekty údajů a bude je informovat o operacích zpracování prováděných společností BMS.</w:t>
            </w:r>
          </w:p>
        </w:tc>
        <w:tc>
          <w:tcPr>
            <w:tcW w:w="6804" w:type="dxa"/>
            <w:tcBorders>
              <w:top w:val="single" w:sz="4" w:space="0" w:color="auto"/>
              <w:left w:val="single" w:sz="4" w:space="0" w:color="auto"/>
              <w:bottom w:val="single" w:sz="4" w:space="0" w:color="auto"/>
              <w:right w:val="single" w:sz="12" w:space="0" w:color="auto"/>
            </w:tcBorders>
            <w:hideMark/>
          </w:tcPr>
          <w:p w14:paraId="63E34DBF" w14:textId="70C78AA2" w:rsidR="00917A7E" w:rsidRPr="001314E7" w:rsidRDefault="00687FF6">
            <w:pPr>
              <w:tabs>
                <w:tab w:val="left" w:pos="6810"/>
              </w:tabs>
              <w:spacing w:before="120" w:after="120"/>
              <w:jc w:val="both"/>
              <w:rPr>
                <w:lang w:val="pt-BR"/>
              </w:rPr>
            </w:pPr>
            <w:r>
              <w:rPr>
                <w:lang w:val="pt-BR"/>
              </w:rPr>
              <w:t>Centrum</w:t>
            </w:r>
            <w:r w:rsidR="00CA50DA" w:rsidRPr="001314E7">
              <w:rPr>
                <w:lang w:val="pt-BR"/>
              </w:rPr>
              <w:t xml:space="preserve"> poskytne příslušná oznámení o ochraně osobních údajů společnosti BMS: (i) pacientům a (ii) svému personálu. Před provedením leukaferézy v souladu s podmínkami stanovenými v této smlouvě poskytne </w:t>
            </w:r>
            <w:r w:rsidR="00FB3D42">
              <w:rPr>
                <w:lang w:val="pt-BR"/>
              </w:rPr>
              <w:t>Centrum</w:t>
            </w:r>
            <w:r w:rsidR="00CA50DA" w:rsidRPr="001314E7">
              <w:rPr>
                <w:lang w:val="pt-BR"/>
              </w:rPr>
              <w:t xml:space="preserve"> vlastní oznámení o ochraně osobních údajů a případně formulář souhlasu s léčbou a, pokud to zákony vyžadují, s odběrem biologických vzorků.</w:t>
            </w:r>
          </w:p>
        </w:tc>
      </w:tr>
      <w:tr w:rsidR="00205626" w:rsidRPr="0031164B" w14:paraId="63E34DC4" w14:textId="77777777" w:rsidTr="00917A7E">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3E34DC1" w14:textId="321E507B" w:rsidR="00917A7E" w:rsidRPr="00592453" w:rsidRDefault="00CA50DA">
            <w:pPr>
              <w:spacing w:before="120" w:after="120"/>
              <w:rPr>
                <w:rFonts w:cstheme="minorBidi"/>
                <w:b/>
              </w:rPr>
            </w:pPr>
            <w:r w:rsidRPr="00592453">
              <w:rPr>
                <w:b/>
              </w:rPr>
              <w:t>Zpracování žádostí údajů</w:t>
            </w:r>
            <w:r w:rsidR="0024620A" w:rsidRPr="00592453">
              <w:rPr>
                <w:b/>
              </w:rPr>
              <w:t xml:space="preserve"> o subjektu</w:t>
            </w:r>
          </w:p>
        </w:tc>
        <w:tc>
          <w:tcPr>
            <w:tcW w:w="5244" w:type="dxa"/>
            <w:tcBorders>
              <w:top w:val="single" w:sz="4" w:space="0" w:color="auto"/>
              <w:left w:val="single" w:sz="4" w:space="0" w:color="auto"/>
              <w:bottom w:val="single" w:sz="4" w:space="0" w:color="auto"/>
              <w:right w:val="single" w:sz="4" w:space="0" w:color="auto"/>
            </w:tcBorders>
            <w:hideMark/>
          </w:tcPr>
          <w:p w14:paraId="63E34DC2" w14:textId="0081929A" w:rsidR="00917A7E" w:rsidRPr="00592453" w:rsidRDefault="00CA50DA">
            <w:pPr>
              <w:spacing w:before="120" w:after="120"/>
              <w:jc w:val="both"/>
              <w:rPr>
                <w:sz w:val="22"/>
              </w:rPr>
            </w:pPr>
            <w:r w:rsidRPr="00592453">
              <w:t>Společnost BMS bude reagovat na žádosti o přístup</w:t>
            </w:r>
            <w:r w:rsidRPr="00592453">
              <w:rPr>
                <w:sz w:val="20"/>
              </w:rPr>
              <w:t xml:space="preserve"> </w:t>
            </w:r>
            <w:r w:rsidR="003B764F" w:rsidRPr="00592453">
              <w:t xml:space="preserve">k </w:t>
            </w:r>
            <w:r w:rsidRPr="00592453">
              <w:t>údajů</w:t>
            </w:r>
            <w:r w:rsidR="003B764F" w:rsidRPr="00592453">
              <w:t>m subjektu</w:t>
            </w:r>
            <w:r w:rsidRPr="00592453">
              <w:t xml:space="preserve">, pokud se týkají osobních údajů </w:t>
            </w:r>
            <w:r w:rsidR="002C0025" w:rsidRPr="00592453">
              <w:t>Centra</w:t>
            </w:r>
            <w:r w:rsidRPr="00592453">
              <w:t xml:space="preserve"> a osobních údajů souvisejících s objednávkou produktu, pokud tyto osobní údaje zpracovává pro své vlastní účely, jak je uvedeno v tomto dodatku.</w:t>
            </w:r>
          </w:p>
        </w:tc>
        <w:tc>
          <w:tcPr>
            <w:tcW w:w="6804" w:type="dxa"/>
            <w:tcBorders>
              <w:top w:val="single" w:sz="4" w:space="0" w:color="auto"/>
              <w:left w:val="single" w:sz="4" w:space="0" w:color="auto"/>
              <w:bottom w:val="single" w:sz="4" w:space="0" w:color="auto"/>
              <w:right w:val="single" w:sz="12" w:space="0" w:color="auto"/>
            </w:tcBorders>
            <w:hideMark/>
          </w:tcPr>
          <w:p w14:paraId="63E34DC3" w14:textId="4565144D" w:rsidR="00917A7E" w:rsidRPr="00592453" w:rsidRDefault="008162A7">
            <w:pPr>
              <w:spacing w:before="120" w:after="120"/>
              <w:jc w:val="both"/>
            </w:pPr>
            <w:r w:rsidRPr="00592453">
              <w:t>Centrum</w:t>
            </w:r>
            <w:r w:rsidR="00CA50DA" w:rsidRPr="00592453">
              <w:t xml:space="preserve"> bude reagovat na žádosti o přístup </w:t>
            </w:r>
            <w:r w:rsidR="00DC7D31" w:rsidRPr="00592453">
              <w:t xml:space="preserve">k </w:t>
            </w:r>
            <w:r w:rsidR="00CA50DA" w:rsidRPr="00592453">
              <w:t>údajů</w:t>
            </w:r>
            <w:r w:rsidR="00DC7D31" w:rsidRPr="00592453">
              <w:t>m</w:t>
            </w:r>
            <w:r w:rsidR="007137F8" w:rsidRPr="00592453">
              <w:t xml:space="preserve"> subjektu</w:t>
            </w:r>
            <w:r w:rsidR="00CA50DA" w:rsidRPr="00592453">
              <w:t xml:space="preserve"> týkající se jeho zdravotnického personálu a zaměstnanců (osobní údaje pacientů a střediska) a případně osobních údajů BMS, které zpracovává pro své vlastní účely, jak je uvedeno v dodatku.</w:t>
            </w:r>
          </w:p>
        </w:tc>
      </w:tr>
      <w:tr w:rsidR="00205626" w:rsidRPr="0031164B" w14:paraId="63E34DCF" w14:textId="77777777" w:rsidTr="00917A7E">
        <w:tc>
          <w:tcPr>
            <w:tcW w:w="2259" w:type="dxa"/>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hideMark/>
          </w:tcPr>
          <w:p w14:paraId="63E34DC5" w14:textId="77777777" w:rsidR="00917A7E" w:rsidRPr="001314E7" w:rsidRDefault="00CA50DA">
            <w:pPr>
              <w:spacing w:before="120" w:after="120"/>
              <w:rPr>
                <w:rFonts w:cstheme="minorBidi"/>
                <w:b/>
              </w:rPr>
            </w:pPr>
            <w:r w:rsidRPr="001314E7">
              <w:rPr>
                <w:b/>
              </w:rPr>
              <w:t xml:space="preserve">Pověřenec pro ochranu osobních údajů </w:t>
            </w:r>
          </w:p>
          <w:p w14:paraId="63E34DC6" w14:textId="77777777" w:rsidR="00917A7E" w:rsidRPr="001314E7" w:rsidRDefault="00CA50DA">
            <w:pPr>
              <w:spacing w:before="120" w:after="120"/>
            </w:pPr>
            <w:r w:rsidRPr="001314E7">
              <w:t xml:space="preserve">(nebo příslušné </w:t>
            </w:r>
            <w:r w:rsidRPr="001314E7">
              <w:lastRenderedPageBreak/>
              <w:t>kontaktní údaje úřadu pro ochranu osobních údajů nebo právního oddělení jednotlivých stran)</w:t>
            </w:r>
          </w:p>
        </w:tc>
        <w:tc>
          <w:tcPr>
            <w:tcW w:w="5244" w:type="dxa"/>
            <w:tcBorders>
              <w:top w:val="single" w:sz="4" w:space="0" w:color="auto"/>
              <w:left w:val="single" w:sz="4" w:space="0" w:color="auto"/>
              <w:bottom w:val="single" w:sz="12" w:space="0" w:color="auto"/>
              <w:right w:val="single" w:sz="4" w:space="0" w:color="auto"/>
            </w:tcBorders>
            <w:hideMark/>
          </w:tcPr>
          <w:p w14:paraId="63E34DC7" w14:textId="5DB24E8C" w:rsidR="004B517A" w:rsidRPr="001314E7" w:rsidRDefault="00023BD7" w:rsidP="004B517A">
            <w:pPr>
              <w:spacing w:before="120"/>
            </w:pPr>
            <w:r>
              <w:rPr>
                <w:b/>
                <w:bCs/>
              </w:rPr>
              <w:lastRenderedPageBreak/>
              <w:t>XXX</w:t>
            </w:r>
          </w:p>
          <w:p w14:paraId="63E34DC8" w14:textId="77777777" w:rsidR="004B517A" w:rsidRPr="001314E7" w:rsidRDefault="00CA50DA" w:rsidP="004B517A">
            <w:pPr>
              <w:spacing w:before="120"/>
            </w:pPr>
            <w:r w:rsidRPr="001314E7">
              <w:t xml:space="preserve">Pověřenec pro ochranu osobních údajů </w:t>
            </w:r>
          </w:p>
          <w:p w14:paraId="63E34DC9" w14:textId="77777777" w:rsidR="004B517A" w:rsidRPr="0031164B" w:rsidRDefault="00CA50DA" w:rsidP="004B517A">
            <w:pPr>
              <w:spacing w:before="120"/>
              <w:rPr>
                <w:lang w:val="en-GB"/>
              </w:rPr>
            </w:pPr>
            <w:r w:rsidRPr="0031164B">
              <w:rPr>
                <w:lang w:val="en-GB"/>
              </w:rPr>
              <w:t>Engineering Building, Cruiserath Drive, Mulhuddart, Dublin 15</w:t>
            </w:r>
          </w:p>
          <w:p w14:paraId="63E34DCA" w14:textId="77777777" w:rsidR="004B517A" w:rsidRPr="0031164B" w:rsidRDefault="00CA50DA" w:rsidP="004B517A">
            <w:pPr>
              <w:spacing w:before="120"/>
              <w:rPr>
                <w:lang w:val="en-GB"/>
              </w:rPr>
            </w:pPr>
            <w:r w:rsidRPr="0031164B">
              <w:rPr>
                <w:lang w:val="en-GB"/>
              </w:rPr>
              <w:lastRenderedPageBreak/>
              <w:t>Irsko.</w:t>
            </w:r>
          </w:p>
          <w:p w14:paraId="63E34DCB" w14:textId="64C5BED2" w:rsidR="004B517A" w:rsidRPr="0031164B" w:rsidRDefault="00000000" w:rsidP="004B517A">
            <w:pPr>
              <w:spacing w:before="120"/>
              <w:rPr>
                <w:lang w:val="en-GB"/>
              </w:rPr>
            </w:pPr>
            <w:hyperlink r:id="rId17" w:history="1">
              <w:r w:rsidR="004A4208" w:rsidRPr="0031164B">
                <w:rPr>
                  <w:rStyle w:val="Hypertextovodkaz"/>
                  <w:lang w:val="en-GB"/>
                </w:rPr>
                <w:t>eudpo@bms.com</w:t>
              </w:r>
            </w:hyperlink>
            <w:r w:rsidR="004A4208" w:rsidRPr="0031164B">
              <w:rPr>
                <w:lang w:val="en-GB"/>
              </w:rPr>
              <w:t xml:space="preserve"> </w:t>
            </w:r>
          </w:p>
          <w:p w14:paraId="63E34DCC" w14:textId="77777777" w:rsidR="00917A7E" w:rsidRPr="0031164B" w:rsidRDefault="00917A7E">
            <w:pPr>
              <w:spacing w:after="120"/>
              <w:jc w:val="both"/>
              <w:rPr>
                <w:lang w:val="en-GB"/>
              </w:rPr>
            </w:pPr>
          </w:p>
        </w:tc>
        <w:tc>
          <w:tcPr>
            <w:tcW w:w="6804" w:type="dxa"/>
            <w:tcBorders>
              <w:top w:val="single" w:sz="4" w:space="0" w:color="auto"/>
              <w:left w:val="single" w:sz="4" w:space="0" w:color="auto"/>
              <w:bottom w:val="single" w:sz="12" w:space="0" w:color="auto"/>
              <w:right w:val="single" w:sz="12" w:space="0" w:color="auto"/>
            </w:tcBorders>
          </w:tcPr>
          <w:p w14:paraId="6CEE8FC3" w14:textId="1B24A1AD" w:rsidR="002B3F51" w:rsidRDefault="00CA50DA">
            <w:pPr>
              <w:jc w:val="both"/>
              <w:rPr>
                <w:lang w:val="en-GB"/>
              </w:rPr>
            </w:pPr>
            <w:r w:rsidRPr="0031164B">
              <w:rPr>
                <w:lang w:val="en-GB"/>
              </w:rPr>
              <w:lastRenderedPageBreak/>
              <w:t>[</w:t>
            </w:r>
            <w:r w:rsidR="00023BD7">
              <w:rPr>
                <w:lang w:val="en-GB"/>
              </w:rPr>
              <w:t>XXX</w:t>
            </w:r>
          </w:p>
          <w:p w14:paraId="651C13A8" w14:textId="77777777" w:rsidR="002B3F51" w:rsidRDefault="002B3F51">
            <w:pPr>
              <w:jc w:val="both"/>
              <w:rPr>
                <w:lang w:val="en-GB"/>
              </w:rPr>
            </w:pPr>
            <w:r>
              <w:rPr>
                <w:lang w:val="en-GB"/>
              </w:rPr>
              <w:t>Edvarda Beneše 1128/13, 301 00 Plzeň</w:t>
            </w:r>
          </w:p>
          <w:p w14:paraId="63E34DCD" w14:textId="69DB783C" w:rsidR="00917A7E" w:rsidRPr="0031164B" w:rsidRDefault="002B3F51">
            <w:pPr>
              <w:jc w:val="both"/>
              <w:rPr>
                <w:lang w:val="en-GB"/>
              </w:rPr>
            </w:pPr>
            <w:r>
              <w:rPr>
                <w:lang w:val="en-GB"/>
              </w:rPr>
              <w:t xml:space="preserve">dpo@fnplzen, </w:t>
            </w:r>
            <w:r w:rsidR="00023BD7">
              <w:rPr>
                <w:lang w:val="en-GB"/>
              </w:rPr>
              <w:t> XXX</w:t>
            </w:r>
            <w:r w:rsidR="00CA50DA" w:rsidRPr="0031164B">
              <w:rPr>
                <w:lang w:val="en-GB"/>
              </w:rPr>
              <w:t xml:space="preserve">] </w:t>
            </w:r>
          </w:p>
          <w:p w14:paraId="63E34DCE" w14:textId="77777777" w:rsidR="00917A7E" w:rsidRPr="0031164B" w:rsidRDefault="00917A7E">
            <w:pPr>
              <w:jc w:val="both"/>
              <w:rPr>
                <w:lang w:val="en-GB"/>
              </w:rPr>
            </w:pPr>
          </w:p>
        </w:tc>
      </w:tr>
    </w:tbl>
    <w:p w14:paraId="63E34DD0" w14:textId="77777777" w:rsidR="00C47D6D" w:rsidRPr="0031164B" w:rsidRDefault="00CA50DA" w:rsidP="00D22083">
      <w:pPr>
        <w:pStyle w:val="Level2"/>
        <w:numPr>
          <w:ilvl w:val="1"/>
          <w:numId w:val="79"/>
        </w:numPr>
        <w:ind w:left="567" w:hanging="567"/>
        <w:rPr>
          <w:rFonts w:ascii="Times New Roman" w:hAnsi="Times New Roman"/>
          <w:sz w:val="24"/>
          <w:lang w:val="en-GB"/>
        </w:rPr>
        <w:sectPr w:rsidR="00C47D6D" w:rsidRPr="0031164B" w:rsidSect="00917A7E">
          <w:pgSz w:w="16838" w:h="11906" w:orient="landscape"/>
          <w:pgMar w:top="1417" w:right="1276" w:bottom="1417" w:left="1620" w:header="708" w:footer="163" w:gutter="0"/>
          <w:cols w:space="708"/>
          <w:docGrid w:linePitch="360"/>
        </w:sectPr>
      </w:pPr>
      <w:r w:rsidRPr="0031164B">
        <w:rPr>
          <w:lang w:val="en-GB"/>
        </w:rPr>
        <w:br w:type="page"/>
      </w:r>
    </w:p>
    <w:p w14:paraId="2F8AC9B5" w14:textId="77777777" w:rsidR="00186A79" w:rsidRPr="0031164B" w:rsidRDefault="00186A79" w:rsidP="00186A79">
      <w:pPr>
        <w:spacing w:after="240" w:line="280" w:lineRule="exact"/>
        <w:jc w:val="both"/>
        <w:rPr>
          <w:lang w:val="en-GB"/>
        </w:rPr>
      </w:pPr>
    </w:p>
    <w:tbl>
      <w:tblPr>
        <w:tblStyle w:val="Mkatabulky"/>
        <w:tblW w:w="14310" w:type="dxa"/>
        <w:tblInd w:w="-147" w:type="dxa"/>
        <w:tblLayout w:type="fixed"/>
        <w:tblLook w:val="04A0" w:firstRow="1" w:lastRow="0" w:firstColumn="1" w:lastColumn="0" w:noHBand="0" w:noVBand="1"/>
      </w:tblPr>
      <w:tblGrid>
        <w:gridCol w:w="2260"/>
        <w:gridCol w:w="5245"/>
        <w:gridCol w:w="6805"/>
      </w:tblGrid>
      <w:tr w:rsidR="00186A79" w:rsidRPr="0031164B" w14:paraId="2A283C59" w14:textId="77777777" w:rsidTr="00D23897">
        <w:tc>
          <w:tcPr>
            <w:tcW w:w="2259" w:type="dxa"/>
            <w:tcBorders>
              <w:top w:val="single" w:sz="12" w:space="0" w:color="auto"/>
              <w:left w:val="single" w:sz="12" w:space="0" w:color="auto"/>
              <w:bottom w:val="single" w:sz="12" w:space="0" w:color="auto"/>
              <w:right w:val="single" w:sz="4" w:space="0" w:color="auto"/>
            </w:tcBorders>
            <w:shd w:val="clear" w:color="auto" w:fill="767171" w:themeFill="background2" w:themeFillShade="80"/>
          </w:tcPr>
          <w:p w14:paraId="7A68E9E9" w14:textId="77777777" w:rsidR="00186A79" w:rsidRPr="0031164B" w:rsidRDefault="00186A79" w:rsidP="00D23897">
            <w:pPr>
              <w:spacing w:before="240" w:after="240"/>
              <w:jc w:val="both"/>
              <w:rPr>
                <w:rFonts w:cstheme="minorBidi"/>
                <w:b/>
                <w:szCs w:val="22"/>
                <w:lang w:val="en-GB"/>
              </w:rPr>
            </w:pPr>
          </w:p>
        </w:tc>
        <w:tc>
          <w:tcPr>
            <w:tcW w:w="5244" w:type="dxa"/>
            <w:tcBorders>
              <w:top w:val="single" w:sz="12" w:space="0" w:color="auto"/>
              <w:left w:val="single" w:sz="4" w:space="0" w:color="auto"/>
              <w:bottom w:val="single" w:sz="12" w:space="0" w:color="auto"/>
              <w:right w:val="single" w:sz="4" w:space="0" w:color="auto"/>
            </w:tcBorders>
            <w:shd w:val="clear" w:color="auto" w:fill="D9E2F3" w:themeFill="accent1" w:themeFillTint="33"/>
            <w:hideMark/>
          </w:tcPr>
          <w:p w14:paraId="25E28296" w14:textId="77777777" w:rsidR="00186A79" w:rsidRPr="0031164B" w:rsidRDefault="00186A79" w:rsidP="00D23897">
            <w:pPr>
              <w:spacing w:before="240" w:after="240"/>
              <w:jc w:val="center"/>
              <w:rPr>
                <w:b/>
                <w:lang w:val="en-GB"/>
              </w:rPr>
            </w:pPr>
            <w:r w:rsidRPr="0031164B">
              <w:rPr>
                <w:b/>
                <w:bCs/>
                <w:lang w:val="en-GB"/>
              </w:rPr>
              <w:t xml:space="preserve">BMS </w:t>
            </w:r>
          </w:p>
        </w:tc>
        <w:tc>
          <w:tcPr>
            <w:tcW w:w="6804" w:type="dxa"/>
            <w:tcBorders>
              <w:top w:val="single" w:sz="12" w:space="0" w:color="auto"/>
              <w:left w:val="single" w:sz="4" w:space="0" w:color="auto"/>
              <w:bottom w:val="single" w:sz="12" w:space="0" w:color="auto"/>
              <w:right w:val="single" w:sz="12" w:space="0" w:color="auto"/>
            </w:tcBorders>
            <w:shd w:val="clear" w:color="auto" w:fill="D9E2F3" w:themeFill="accent1" w:themeFillTint="33"/>
            <w:hideMark/>
          </w:tcPr>
          <w:p w14:paraId="7DB8808A" w14:textId="77777777" w:rsidR="00186A79" w:rsidRPr="0031164B" w:rsidRDefault="00186A79" w:rsidP="00D23897">
            <w:pPr>
              <w:spacing w:before="240" w:after="240"/>
              <w:jc w:val="center"/>
              <w:rPr>
                <w:b/>
                <w:lang w:val="en-GB"/>
              </w:rPr>
            </w:pPr>
            <w:r w:rsidRPr="0031164B">
              <w:rPr>
                <w:b/>
                <w:lang w:val="en-GB"/>
              </w:rPr>
              <w:t>Center</w:t>
            </w:r>
          </w:p>
        </w:tc>
      </w:tr>
      <w:tr w:rsidR="00186A79" w:rsidRPr="0031164B" w14:paraId="4049AE8E" w14:textId="77777777" w:rsidTr="00D23897">
        <w:tc>
          <w:tcPr>
            <w:tcW w:w="2259" w:type="dxa"/>
            <w:tcBorders>
              <w:top w:val="single" w:sz="12" w:space="0" w:color="auto"/>
              <w:left w:val="single" w:sz="12" w:space="0" w:color="auto"/>
              <w:bottom w:val="single" w:sz="4" w:space="0" w:color="auto"/>
              <w:right w:val="single" w:sz="4" w:space="0" w:color="auto"/>
            </w:tcBorders>
            <w:shd w:val="clear" w:color="auto" w:fill="FBE4D5" w:themeFill="accent2" w:themeFillTint="33"/>
            <w:vAlign w:val="center"/>
            <w:hideMark/>
          </w:tcPr>
          <w:p w14:paraId="649FF2E1" w14:textId="77777777" w:rsidR="00186A79" w:rsidRPr="0031164B" w:rsidRDefault="00186A79" w:rsidP="00D23897">
            <w:pPr>
              <w:spacing w:before="120" w:after="120"/>
              <w:rPr>
                <w:b/>
                <w:lang w:val="en-GB"/>
              </w:rPr>
            </w:pPr>
            <w:r w:rsidRPr="0031164B">
              <w:rPr>
                <w:b/>
                <w:lang w:val="en-GB"/>
              </w:rPr>
              <w:t>Description of the Processing operations carried out by each Party acting as Controller</w:t>
            </w:r>
          </w:p>
        </w:tc>
        <w:tc>
          <w:tcPr>
            <w:tcW w:w="12048" w:type="dxa"/>
            <w:gridSpan w:val="2"/>
            <w:tcBorders>
              <w:top w:val="single" w:sz="12" w:space="0" w:color="auto"/>
              <w:left w:val="single" w:sz="4" w:space="0" w:color="auto"/>
              <w:bottom w:val="single" w:sz="4" w:space="0" w:color="auto"/>
              <w:right w:val="single" w:sz="12" w:space="0" w:color="auto"/>
            </w:tcBorders>
            <w:hideMark/>
          </w:tcPr>
          <w:p w14:paraId="673585B1" w14:textId="77777777" w:rsidR="00186A79" w:rsidRPr="0031164B" w:rsidRDefault="00186A79" w:rsidP="00D23897">
            <w:pPr>
              <w:pStyle w:val="Zkladntext"/>
              <w:spacing w:before="120"/>
              <w:ind w:firstLine="0"/>
              <w:rPr>
                <w:sz w:val="22"/>
                <w:lang w:val="en-GB"/>
              </w:rPr>
            </w:pPr>
            <w:r w:rsidRPr="0031164B">
              <w:rPr>
                <w:u w:val="single"/>
                <w:lang w:val="en-GB"/>
              </w:rPr>
              <w:t>General process</w:t>
            </w:r>
          </w:p>
          <w:p w14:paraId="0B56BCFB" w14:textId="77777777" w:rsidR="00186A79" w:rsidRPr="0031164B" w:rsidRDefault="00186A79" w:rsidP="00D23897">
            <w:pPr>
              <w:pStyle w:val="Zkladntext"/>
              <w:ind w:firstLine="0"/>
              <w:rPr>
                <w:lang w:val="en-GB"/>
              </w:rPr>
            </w:pPr>
            <w:r w:rsidRPr="0031164B">
              <w:rPr>
                <w:lang w:val="en-GB"/>
              </w:rPr>
              <w:t>BMS commercializes an innovative CAR T therapy (“Cell Therapies”). The provision of Cell Therapies by healthcare organizations to their patients requires to collect certain biosamples through a leukapheresis procedure, which may require the Center to provide the Apheresis Procedures. After completion of the leukapheresis procedure, the biosamples will transit via different logistics and other service providers in Europe in order to prepare them before shipment. After the modification of the biosamples and the manufacturing of the Product, the manufactured Product will transit back to the Center which will use the manufactured Product to treat its patients.</w:t>
            </w:r>
          </w:p>
          <w:p w14:paraId="199CAF52" w14:textId="77777777" w:rsidR="00186A79" w:rsidRPr="0031164B" w:rsidRDefault="00186A79" w:rsidP="00D23897">
            <w:pPr>
              <w:pStyle w:val="Zkladntext"/>
              <w:ind w:firstLine="0"/>
              <w:rPr>
                <w:lang w:val="en-GB"/>
              </w:rPr>
            </w:pPr>
            <w:r w:rsidRPr="0031164B">
              <w:rPr>
                <w:u w:val="single"/>
                <w:lang w:val="en-GB"/>
              </w:rPr>
              <w:t>Specific processing activities</w:t>
            </w:r>
          </w:p>
          <w:p w14:paraId="2AFE90DE" w14:textId="77777777" w:rsidR="00186A79" w:rsidRPr="0031164B" w:rsidRDefault="00186A79" w:rsidP="00D23897">
            <w:pPr>
              <w:pStyle w:val="Zkladntext"/>
              <w:ind w:firstLine="0"/>
              <w:rPr>
                <w:lang w:val="en-GB"/>
              </w:rPr>
            </w:pPr>
            <w:r w:rsidRPr="0031164B">
              <w:rPr>
                <w:lang w:val="en-GB"/>
              </w:rPr>
              <w:t>When ordering the Product to BMS the Center will share patient information with BMS (Product Order related Personal Data) for the scheduling of the Apheresis Procedures and the Product Order to finally provide the treatment to the patient once manufactured.</w:t>
            </w:r>
          </w:p>
          <w:p w14:paraId="03085158" w14:textId="77777777" w:rsidR="00186A79" w:rsidRPr="0031164B" w:rsidRDefault="00186A79" w:rsidP="00D23897">
            <w:pPr>
              <w:pStyle w:val="Zkladntext"/>
              <w:ind w:firstLine="0"/>
              <w:rPr>
                <w:lang w:val="en-GB"/>
              </w:rPr>
            </w:pPr>
            <w:r w:rsidRPr="0031164B">
              <w:rPr>
                <w:u w:val="single"/>
                <w:lang w:val="en-GB"/>
              </w:rPr>
              <w:t>Why BMS must collect patient identifiers</w:t>
            </w:r>
          </w:p>
          <w:p w14:paraId="71255563" w14:textId="77777777" w:rsidR="00186A79" w:rsidRPr="0031164B" w:rsidRDefault="00186A79" w:rsidP="00D23897">
            <w:pPr>
              <w:pStyle w:val="Zkladntext"/>
              <w:ind w:firstLine="0"/>
              <w:rPr>
                <w:rFonts w:cstheme="minorBidi"/>
                <w:lang w:val="en-GB"/>
              </w:rPr>
            </w:pPr>
            <w:r w:rsidRPr="0031164B">
              <w:rPr>
                <w:lang w:val="en-GB"/>
              </w:rPr>
              <w:t>Given the autologous nature of this CAR-T therapy, there is a critical need to process limited patient personal data identifiers to support adherence to strict chain of identity (COI) and chain of custody controls (COC). The patient’s first name, last name and date of birth may be required in some limited cases for this. After receiving the order from Center, and upon patient enrolment, BMS will create a unique indirect identifier (JOIN number), provide it to the Center, and approved third parties, in order to: (a) track the entire manufacturing and supply chain of the Product; and (b) ensure to maintain the chain of identity (COI) for patient safety during the entire process. BMS will make available, to the extent permitted and required, the necessary information to third parties responsible for the supply chain, such as the JOIN number and other patient identifiers strictly necessary for the delivery of the manufactured Product at a planned date for Center to treat its patients with the Product.</w:t>
            </w:r>
            <w:r w:rsidRPr="0031164B">
              <w:rPr>
                <w:sz w:val="20"/>
                <w:szCs w:val="20"/>
                <w:lang w:val="en-GB"/>
              </w:rPr>
              <w:t xml:space="preserve"> </w:t>
            </w:r>
          </w:p>
        </w:tc>
      </w:tr>
      <w:tr w:rsidR="00186A79" w:rsidRPr="0031164B" w14:paraId="5F82E5CA" w14:textId="77777777" w:rsidTr="00D23897">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5BA443E" w14:textId="77777777" w:rsidR="00186A79" w:rsidRPr="0031164B" w:rsidRDefault="00186A79" w:rsidP="00D23897">
            <w:pPr>
              <w:spacing w:before="120" w:after="120"/>
              <w:rPr>
                <w:b/>
                <w:lang w:val="en-GB"/>
              </w:rPr>
            </w:pPr>
            <w:r w:rsidRPr="0031164B">
              <w:rPr>
                <w:b/>
                <w:lang w:val="en-GB"/>
              </w:rPr>
              <w:lastRenderedPageBreak/>
              <w:t>Purposes of the Processing operations carried out by each Controllers</w:t>
            </w:r>
          </w:p>
        </w:tc>
        <w:tc>
          <w:tcPr>
            <w:tcW w:w="5244" w:type="dxa"/>
            <w:tcBorders>
              <w:top w:val="single" w:sz="4" w:space="0" w:color="auto"/>
              <w:left w:val="single" w:sz="4" w:space="0" w:color="auto"/>
              <w:bottom w:val="single" w:sz="4" w:space="0" w:color="auto"/>
              <w:right w:val="single" w:sz="4" w:space="0" w:color="auto"/>
            </w:tcBorders>
            <w:hideMark/>
          </w:tcPr>
          <w:p w14:paraId="35D8E361" w14:textId="77777777" w:rsidR="00186A79" w:rsidRPr="0031164B" w:rsidRDefault="00186A79" w:rsidP="00D23897">
            <w:pPr>
              <w:spacing w:before="120" w:after="120"/>
              <w:jc w:val="both"/>
              <w:rPr>
                <w:sz w:val="22"/>
                <w:lang w:val="en-GB"/>
              </w:rPr>
            </w:pPr>
            <w:r w:rsidRPr="0031164B">
              <w:rPr>
                <w:lang w:val="en-GB"/>
              </w:rPr>
              <w:t>BMS Processes Personal Data for the purpose of:</w:t>
            </w:r>
          </w:p>
          <w:p w14:paraId="5C97C672"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complying with its contractual and legal obligations;</w:t>
            </w:r>
          </w:p>
          <w:p w14:paraId="45A4E4D2"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 xml:space="preserve">managing Product orders for the entire supply chain and for the initiation of the apheresis and infusion of the Product; </w:t>
            </w:r>
          </w:p>
          <w:p w14:paraId="61EB2B39"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ensuring patient safety by maintaining the chain of identity within the manufacturing process;</w:t>
            </w:r>
          </w:p>
          <w:p w14:paraId="15E608DE"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monitoring, management and reporting of any adverse event that may occur in relation to the use of the Product, to the competent authorities in accordance with applicable laws; and</w:t>
            </w:r>
          </w:p>
          <w:p w14:paraId="34EEFA5A"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If applicable, infectious disease testing, to conduct tests on blood samples to avoid cross contamination.</w:t>
            </w:r>
          </w:p>
        </w:tc>
        <w:tc>
          <w:tcPr>
            <w:tcW w:w="6804" w:type="dxa"/>
            <w:tcBorders>
              <w:top w:val="single" w:sz="4" w:space="0" w:color="auto"/>
              <w:left w:val="single" w:sz="4" w:space="0" w:color="auto"/>
              <w:bottom w:val="single" w:sz="4" w:space="0" w:color="auto"/>
              <w:right w:val="single" w:sz="12" w:space="0" w:color="auto"/>
            </w:tcBorders>
            <w:hideMark/>
          </w:tcPr>
          <w:p w14:paraId="4F071008" w14:textId="77777777" w:rsidR="00186A79" w:rsidRPr="0031164B" w:rsidRDefault="00186A79" w:rsidP="00D23897">
            <w:pPr>
              <w:spacing w:before="120" w:after="120"/>
              <w:jc w:val="both"/>
              <w:rPr>
                <w:lang w:val="en-GB"/>
              </w:rPr>
            </w:pPr>
            <w:r w:rsidRPr="0031164B">
              <w:rPr>
                <w:lang w:val="en-GB"/>
              </w:rPr>
              <w:t>Center Processes Personal Data for the purpose of:</w:t>
            </w:r>
          </w:p>
          <w:p w14:paraId="5CFEEBBB"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complying with its contractual and legal obligations;</w:t>
            </w:r>
          </w:p>
          <w:p w14:paraId="3AA64332"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 xml:space="preserve">coordinating with </w:t>
            </w:r>
            <w:r w:rsidRPr="0031164B">
              <w:rPr>
                <w:rFonts w:ascii="Times New Roman" w:hAnsi="Times New Roman"/>
                <w:sz w:val="24"/>
                <w:lang w:val="en-GB"/>
              </w:rPr>
              <w:t>BMS</w:t>
            </w:r>
            <w:r w:rsidRPr="0031164B">
              <w:rPr>
                <w:rFonts w:ascii="Times New Roman" w:hAnsi="Times New Roman"/>
                <w:lang w:val="en-GB"/>
              </w:rPr>
              <w:t xml:space="preserve"> for the scheduling of the leukapheresis procedures;</w:t>
            </w:r>
          </w:p>
          <w:p w14:paraId="176C9BF9"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performing the Apheresis Procedures;</w:t>
            </w:r>
          </w:p>
          <w:p w14:paraId="3CA86BE2"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maintaining and keeping the chain of identity as required for patients’ safety and Product traceability;</w:t>
            </w:r>
          </w:p>
          <w:p w14:paraId="243FA16F"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providing the medical treatment and managing the medical record, providing the Product to the patients;</w:t>
            </w:r>
          </w:p>
          <w:p w14:paraId="3820DB1E"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prescribing healthcare professional’s ability to administer the manufactured Product.</w:t>
            </w:r>
          </w:p>
        </w:tc>
      </w:tr>
      <w:tr w:rsidR="00186A79" w:rsidRPr="0031164B" w14:paraId="075F5CCE" w14:textId="77777777" w:rsidTr="00D23897">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3BB652B2" w14:textId="77777777" w:rsidR="00186A79" w:rsidRPr="0031164B" w:rsidRDefault="00186A79" w:rsidP="00D23897">
            <w:pPr>
              <w:spacing w:before="120" w:after="120"/>
              <w:rPr>
                <w:rFonts w:cstheme="minorBidi"/>
                <w:b/>
                <w:lang w:val="en-GB"/>
              </w:rPr>
            </w:pPr>
            <w:r w:rsidRPr="0031164B">
              <w:rPr>
                <w:b/>
                <w:lang w:val="en-GB"/>
              </w:rPr>
              <w:t>Categories of Data Subjects</w:t>
            </w:r>
          </w:p>
        </w:tc>
        <w:tc>
          <w:tcPr>
            <w:tcW w:w="5244" w:type="dxa"/>
            <w:tcBorders>
              <w:top w:val="single" w:sz="4" w:space="0" w:color="auto"/>
              <w:left w:val="single" w:sz="4" w:space="0" w:color="auto"/>
              <w:bottom w:val="single" w:sz="4" w:space="0" w:color="auto"/>
              <w:right w:val="single" w:sz="4" w:space="0" w:color="auto"/>
            </w:tcBorders>
            <w:vAlign w:val="center"/>
          </w:tcPr>
          <w:p w14:paraId="5C8F481C"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Individuals (patient) applying for the Product or receiving the medical treatment related to the Product</w:t>
            </w:r>
          </w:p>
          <w:p w14:paraId="7FCE4504"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Medical personnel and staff of the Center</w:t>
            </w:r>
          </w:p>
          <w:p w14:paraId="273AAB68" w14:textId="77777777" w:rsidR="00186A79" w:rsidRPr="0031164B" w:rsidRDefault="00186A79" w:rsidP="00D23897">
            <w:pPr>
              <w:pStyle w:val="Odstavecseseznamem"/>
              <w:spacing w:before="120" w:after="120"/>
              <w:ind w:left="530"/>
              <w:jc w:val="both"/>
              <w:rPr>
                <w:rFonts w:ascii="Times New Roman" w:hAnsi="Times New Roman" w:cs="Times New Roman"/>
                <w:lang w:val="en-GB"/>
              </w:rPr>
            </w:pPr>
          </w:p>
        </w:tc>
        <w:tc>
          <w:tcPr>
            <w:tcW w:w="6804" w:type="dxa"/>
            <w:tcBorders>
              <w:top w:val="single" w:sz="4" w:space="0" w:color="auto"/>
              <w:left w:val="single" w:sz="4" w:space="0" w:color="auto"/>
              <w:bottom w:val="single" w:sz="4" w:space="0" w:color="auto"/>
              <w:right w:val="single" w:sz="12" w:space="0" w:color="auto"/>
            </w:tcBorders>
            <w:vAlign w:val="center"/>
            <w:hideMark/>
          </w:tcPr>
          <w:p w14:paraId="10CE7F7D"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lang w:val="en-GB"/>
              </w:rPr>
              <w:t>Patients, screened, subject to the Apheresis Procedures and/or receiving the Product</w:t>
            </w:r>
          </w:p>
          <w:p w14:paraId="5CFD958E" w14:textId="77777777" w:rsidR="00186A79" w:rsidRPr="0031164B" w:rsidRDefault="00186A79" w:rsidP="00D23897">
            <w:pPr>
              <w:pStyle w:val="Odstavecseseznamem"/>
              <w:widowControl/>
              <w:numPr>
                <w:ilvl w:val="0"/>
                <w:numId w:val="16"/>
              </w:numPr>
              <w:spacing w:before="120" w:after="120"/>
              <w:ind w:left="530"/>
              <w:contextualSpacing/>
              <w:jc w:val="both"/>
              <w:rPr>
                <w:rFonts w:ascii="Times New Roman" w:hAnsi="Times New Roman" w:cs="Times New Roman"/>
                <w:lang w:val="en-GB"/>
              </w:rPr>
            </w:pPr>
            <w:r w:rsidRPr="0031164B">
              <w:rPr>
                <w:rFonts w:ascii="Times New Roman" w:hAnsi="Times New Roman"/>
                <w:sz w:val="24"/>
                <w:lang w:val="en-GB"/>
              </w:rPr>
              <w:t>BMS</w:t>
            </w:r>
            <w:r w:rsidRPr="0031164B">
              <w:rPr>
                <w:rFonts w:ascii="Times New Roman" w:hAnsi="Times New Roman"/>
                <w:lang w:val="en-GB"/>
              </w:rPr>
              <w:t xml:space="preserve"> employees and third parties vendors</w:t>
            </w:r>
          </w:p>
        </w:tc>
      </w:tr>
      <w:tr w:rsidR="00186A79" w:rsidRPr="0031164B" w14:paraId="22171852" w14:textId="77777777" w:rsidTr="00D23897">
        <w:trPr>
          <w:trHeight w:val="2042"/>
        </w:trPr>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7077F3BF" w14:textId="77777777" w:rsidR="00186A79" w:rsidRPr="0031164B" w:rsidRDefault="00186A79" w:rsidP="00D23897">
            <w:pPr>
              <w:spacing w:before="120" w:after="120"/>
              <w:rPr>
                <w:rFonts w:cstheme="minorBidi"/>
                <w:b/>
                <w:lang w:val="en-GB"/>
              </w:rPr>
            </w:pPr>
            <w:r w:rsidRPr="0031164B">
              <w:rPr>
                <w:b/>
                <w:lang w:val="en-GB"/>
              </w:rPr>
              <w:t>Categories of Personal Data</w:t>
            </w:r>
          </w:p>
        </w:tc>
        <w:tc>
          <w:tcPr>
            <w:tcW w:w="5244" w:type="dxa"/>
            <w:tcBorders>
              <w:top w:val="single" w:sz="4" w:space="0" w:color="auto"/>
              <w:left w:val="single" w:sz="4" w:space="0" w:color="auto"/>
              <w:bottom w:val="single" w:sz="4" w:space="0" w:color="auto"/>
              <w:right w:val="single" w:sz="4" w:space="0" w:color="auto"/>
            </w:tcBorders>
            <w:hideMark/>
          </w:tcPr>
          <w:p w14:paraId="44CEC6F8" w14:textId="77777777" w:rsidR="00186A79" w:rsidRPr="0031164B" w:rsidRDefault="00186A79" w:rsidP="00D23897">
            <w:pPr>
              <w:pStyle w:val="Odstavecseseznamem"/>
              <w:widowControl/>
              <w:numPr>
                <w:ilvl w:val="0"/>
                <w:numId w:val="16"/>
              </w:numPr>
              <w:spacing w:before="60" w:after="60"/>
              <w:ind w:left="329" w:hanging="284"/>
              <w:contextualSpacing/>
              <w:jc w:val="both"/>
              <w:rPr>
                <w:rFonts w:ascii="Times New Roman" w:hAnsi="Times New Roman" w:cs="Times New Roman"/>
                <w:lang w:val="en-GB"/>
              </w:rPr>
            </w:pPr>
            <w:r w:rsidRPr="0031164B">
              <w:rPr>
                <w:rFonts w:ascii="Times New Roman" w:hAnsi="Times New Roman"/>
                <w:b/>
                <w:bCs/>
                <w:lang w:val="en-GB"/>
              </w:rPr>
              <w:t>Patients and Center Personal Data</w:t>
            </w:r>
            <w:r w:rsidRPr="0031164B">
              <w:rPr>
                <w:rFonts w:ascii="Times New Roman" w:hAnsi="Times New Roman"/>
                <w:lang w:val="en-GB"/>
              </w:rPr>
              <w:t>, in particular their contact details and, where relevant login data;</w:t>
            </w:r>
          </w:p>
          <w:p w14:paraId="4BB3F72D" w14:textId="77777777" w:rsidR="00186A79" w:rsidRPr="0031164B" w:rsidRDefault="00186A79" w:rsidP="00D23897">
            <w:pPr>
              <w:pStyle w:val="Odstavecseseznamem"/>
              <w:widowControl/>
              <w:numPr>
                <w:ilvl w:val="0"/>
                <w:numId w:val="16"/>
              </w:numPr>
              <w:spacing w:before="120" w:after="120"/>
              <w:ind w:left="329" w:hanging="284"/>
              <w:contextualSpacing/>
              <w:jc w:val="both"/>
              <w:rPr>
                <w:rFonts w:ascii="Times New Roman" w:hAnsi="Times New Roman" w:cs="Times New Roman"/>
                <w:b/>
                <w:bCs/>
                <w:lang w:val="en-GB"/>
              </w:rPr>
            </w:pPr>
            <w:r w:rsidRPr="0031164B">
              <w:rPr>
                <w:rFonts w:ascii="Times New Roman" w:hAnsi="Times New Roman"/>
                <w:b/>
                <w:bCs/>
                <w:lang w:val="en-GB"/>
              </w:rPr>
              <w:t xml:space="preserve">Apheresis Procedures Personal Data </w:t>
            </w:r>
            <w:r w:rsidRPr="0031164B">
              <w:rPr>
                <w:rFonts w:ascii="Times New Roman" w:hAnsi="Times New Roman"/>
                <w:lang w:val="en-GB"/>
              </w:rPr>
              <w:t>to manufacture or have manufactured the Product</w:t>
            </w:r>
          </w:p>
          <w:p w14:paraId="521E6671" w14:textId="77777777" w:rsidR="00186A79" w:rsidRPr="0031164B" w:rsidRDefault="00186A79" w:rsidP="00D23897">
            <w:pPr>
              <w:pStyle w:val="Odstavecseseznamem"/>
              <w:widowControl/>
              <w:numPr>
                <w:ilvl w:val="0"/>
                <w:numId w:val="16"/>
              </w:numPr>
              <w:spacing w:before="60" w:after="60"/>
              <w:ind w:left="329" w:hanging="284"/>
              <w:contextualSpacing/>
              <w:jc w:val="both"/>
              <w:rPr>
                <w:rFonts w:ascii="Times New Roman" w:hAnsi="Times New Roman" w:cs="Times New Roman"/>
                <w:b/>
                <w:bCs/>
                <w:lang w:val="en-GB"/>
              </w:rPr>
            </w:pPr>
            <w:r w:rsidRPr="0031164B">
              <w:rPr>
                <w:rFonts w:ascii="Times New Roman" w:hAnsi="Times New Roman"/>
                <w:b/>
                <w:lang w:val="en-GB"/>
              </w:rPr>
              <w:t xml:space="preserve">Product Order related Personal </w:t>
            </w:r>
            <w:r w:rsidRPr="0031164B">
              <w:rPr>
                <w:rFonts w:ascii="Times New Roman" w:hAnsi="Times New Roman"/>
                <w:b/>
                <w:bCs/>
                <w:lang w:val="en-GB"/>
              </w:rPr>
              <w:t>data</w:t>
            </w:r>
            <w:r w:rsidRPr="0031164B">
              <w:rPr>
                <w:rFonts w:ascii="Times New Roman" w:hAnsi="Times New Roman"/>
                <w:lang w:val="en-GB"/>
              </w:rPr>
              <w:t>, which may include:</w:t>
            </w:r>
          </w:p>
          <w:p w14:paraId="734CE8DF" w14:textId="77777777" w:rsidR="00186A79" w:rsidRPr="0031164B" w:rsidRDefault="00186A79" w:rsidP="00D23897">
            <w:pPr>
              <w:pStyle w:val="Odstavecseseznamem"/>
              <w:spacing w:before="60" w:after="60"/>
              <w:ind w:left="329"/>
              <w:jc w:val="both"/>
              <w:rPr>
                <w:rFonts w:ascii="Times New Roman" w:hAnsi="Times New Roman" w:cs="Times New Roman"/>
                <w:lang w:val="en-GB"/>
              </w:rPr>
            </w:pPr>
            <w:r w:rsidRPr="0031164B">
              <w:rPr>
                <w:rFonts w:ascii="Times New Roman" w:hAnsi="Times New Roman"/>
                <w:lang w:val="en-GB"/>
              </w:rPr>
              <w:t xml:space="preserve">(a) </w:t>
            </w:r>
            <w:r w:rsidRPr="0031164B">
              <w:rPr>
                <w:rFonts w:ascii="Times New Roman" w:hAnsi="Times New Roman"/>
                <w:u w:val="single"/>
                <w:lang w:val="en-GB"/>
              </w:rPr>
              <w:t>direct identifiers</w:t>
            </w:r>
            <w:r w:rsidRPr="0031164B">
              <w:rPr>
                <w:rFonts w:ascii="Times New Roman" w:hAnsi="Times New Roman"/>
                <w:lang w:val="en-GB"/>
              </w:rPr>
              <w:t xml:space="preserve">, such as, patient initials, date of birth, gender, first name, last name, but also patient health data for eligibility and scheduling purposes (e.g.: medical history, biological information, weight,, information relating to treatment efficacy and safety); and </w:t>
            </w:r>
          </w:p>
          <w:p w14:paraId="688E9B76" w14:textId="77777777" w:rsidR="00186A79" w:rsidRPr="0031164B" w:rsidRDefault="00186A79" w:rsidP="00D23897">
            <w:pPr>
              <w:pStyle w:val="Odstavecseseznamem"/>
              <w:spacing w:before="60" w:after="60"/>
              <w:ind w:left="329"/>
              <w:jc w:val="both"/>
              <w:rPr>
                <w:rFonts w:ascii="Times New Roman" w:hAnsi="Times New Roman" w:cs="Times New Roman"/>
                <w:lang w:val="en-GB"/>
              </w:rPr>
            </w:pPr>
            <w:r w:rsidRPr="0031164B">
              <w:rPr>
                <w:rFonts w:ascii="Times New Roman" w:hAnsi="Times New Roman"/>
                <w:lang w:val="en-GB"/>
              </w:rPr>
              <w:lastRenderedPageBreak/>
              <w:t xml:space="preserve">(b) </w:t>
            </w:r>
            <w:r w:rsidRPr="0031164B">
              <w:rPr>
                <w:rFonts w:ascii="Times New Roman" w:hAnsi="Times New Roman"/>
                <w:u w:val="single"/>
                <w:lang w:val="en-GB"/>
              </w:rPr>
              <w:t>indirect patient identifiers</w:t>
            </w:r>
            <w:r w:rsidRPr="0031164B">
              <w:rPr>
                <w:rFonts w:ascii="Times New Roman" w:hAnsi="Times New Roman"/>
                <w:lang w:val="en-GB"/>
              </w:rPr>
              <w:t>, such as the JOIN number, including patient codes, such as donor, enrolment or apheresis ID for logistics purposes.</w:t>
            </w:r>
          </w:p>
        </w:tc>
        <w:tc>
          <w:tcPr>
            <w:tcW w:w="6804" w:type="dxa"/>
            <w:tcBorders>
              <w:top w:val="single" w:sz="4" w:space="0" w:color="auto"/>
              <w:left w:val="single" w:sz="4" w:space="0" w:color="auto"/>
              <w:bottom w:val="single" w:sz="4" w:space="0" w:color="auto"/>
              <w:right w:val="single" w:sz="12" w:space="0" w:color="auto"/>
            </w:tcBorders>
            <w:hideMark/>
          </w:tcPr>
          <w:p w14:paraId="41EEDFCC" w14:textId="77777777" w:rsidR="00186A79" w:rsidRPr="0031164B" w:rsidRDefault="00186A79" w:rsidP="00D23897">
            <w:pPr>
              <w:pStyle w:val="Odstavecseseznamem"/>
              <w:widowControl/>
              <w:numPr>
                <w:ilvl w:val="0"/>
                <w:numId w:val="16"/>
              </w:numPr>
              <w:spacing w:before="120" w:after="120"/>
              <w:ind w:left="329" w:hanging="284"/>
              <w:contextualSpacing/>
              <w:jc w:val="both"/>
              <w:rPr>
                <w:rFonts w:ascii="Times New Roman" w:hAnsi="Times New Roman" w:cstheme="minorBidi"/>
                <w:lang w:val="en-GB"/>
              </w:rPr>
            </w:pPr>
            <w:r w:rsidRPr="0031164B">
              <w:rPr>
                <w:rFonts w:ascii="Times New Roman" w:hAnsi="Times New Roman"/>
                <w:b/>
                <w:lang w:val="en-GB"/>
              </w:rPr>
              <w:lastRenderedPageBreak/>
              <w:t>BMS Personal</w:t>
            </w:r>
            <w:r w:rsidRPr="0031164B">
              <w:rPr>
                <w:rFonts w:ascii="Times New Roman" w:hAnsi="Times New Roman"/>
                <w:lang w:val="en-GB"/>
              </w:rPr>
              <w:t xml:space="preserve"> </w:t>
            </w:r>
            <w:r w:rsidRPr="0031164B">
              <w:rPr>
                <w:rFonts w:ascii="Times New Roman" w:hAnsi="Times New Roman"/>
                <w:b/>
                <w:bCs/>
                <w:lang w:val="en-GB"/>
              </w:rPr>
              <w:t xml:space="preserve">Data </w:t>
            </w:r>
            <w:r w:rsidRPr="0031164B">
              <w:rPr>
                <w:rFonts w:ascii="Times New Roman" w:hAnsi="Times New Roman"/>
                <w:lang w:val="en-GB"/>
              </w:rPr>
              <w:t>for its own purpose, such as in order to manage the contractual relationship with BMS</w:t>
            </w:r>
          </w:p>
          <w:p w14:paraId="040C7E76" w14:textId="77777777" w:rsidR="00186A79" w:rsidRPr="0031164B" w:rsidRDefault="00186A79" w:rsidP="00D23897">
            <w:pPr>
              <w:pStyle w:val="Odstavecseseznamem"/>
              <w:widowControl/>
              <w:numPr>
                <w:ilvl w:val="0"/>
                <w:numId w:val="16"/>
              </w:numPr>
              <w:spacing w:before="120" w:after="120"/>
              <w:ind w:left="329" w:hanging="284"/>
              <w:contextualSpacing/>
              <w:jc w:val="both"/>
              <w:rPr>
                <w:rFonts w:ascii="Times New Roman" w:hAnsi="Times New Roman"/>
                <w:lang w:val="en-GB"/>
              </w:rPr>
            </w:pPr>
            <w:r w:rsidRPr="0031164B">
              <w:rPr>
                <w:rFonts w:ascii="Times New Roman" w:hAnsi="Times New Roman"/>
                <w:b/>
                <w:bCs/>
                <w:lang w:val="en-GB"/>
              </w:rPr>
              <w:t>Apheresis Procedures Personal Data</w:t>
            </w:r>
            <w:r w:rsidRPr="0031164B">
              <w:rPr>
                <w:rFonts w:ascii="Times New Roman" w:hAnsi="Times New Roman"/>
                <w:lang w:val="en-GB"/>
              </w:rPr>
              <w:t xml:space="preserve"> to conduct and manage the Apheresis Services</w:t>
            </w:r>
          </w:p>
          <w:p w14:paraId="6E5C372D" w14:textId="77777777" w:rsidR="00186A79" w:rsidRPr="0031164B" w:rsidRDefault="00186A79" w:rsidP="00D23897">
            <w:pPr>
              <w:pStyle w:val="Odstavecseseznamem"/>
              <w:widowControl/>
              <w:numPr>
                <w:ilvl w:val="0"/>
                <w:numId w:val="16"/>
              </w:numPr>
              <w:spacing w:before="120" w:after="120"/>
              <w:ind w:left="329" w:hanging="284"/>
              <w:contextualSpacing/>
              <w:jc w:val="both"/>
              <w:rPr>
                <w:rFonts w:ascii="Times New Roman" w:hAnsi="Times New Roman" w:cs="Times New Roman"/>
                <w:lang w:val="en-GB"/>
              </w:rPr>
            </w:pPr>
            <w:r w:rsidRPr="0031164B">
              <w:rPr>
                <w:rFonts w:ascii="Times New Roman" w:hAnsi="Times New Roman"/>
                <w:b/>
                <w:lang w:val="en-GB"/>
              </w:rPr>
              <w:t>Product Order related Personal Data</w:t>
            </w:r>
            <w:r w:rsidRPr="0031164B">
              <w:rPr>
                <w:rFonts w:ascii="Times New Roman" w:hAnsi="Times New Roman"/>
                <w:lang w:val="en-GB"/>
              </w:rPr>
              <w:t>, or both, for managing the Product order, to ensure patient safety and quality of the treatment</w:t>
            </w:r>
          </w:p>
          <w:p w14:paraId="62BDB008" w14:textId="77777777" w:rsidR="00186A79" w:rsidRPr="0031164B" w:rsidRDefault="00186A79" w:rsidP="00D23897">
            <w:pPr>
              <w:pStyle w:val="Odstavecseseznamem"/>
              <w:widowControl/>
              <w:numPr>
                <w:ilvl w:val="0"/>
                <w:numId w:val="16"/>
              </w:numPr>
              <w:spacing w:before="120" w:after="120"/>
              <w:ind w:left="329" w:hanging="284"/>
              <w:contextualSpacing/>
              <w:jc w:val="both"/>
              <w:rPr>
                <w:rFonts w:ascii="Times New Roman" w:hAnsi="Times New Roman" w:cs="Times New Roman"/>
                <w:lang w:val="en-GB"/>
              </w:rPr>
            </w:pPr>
            <w:r w:rsidRPr="0031164B">
              <w:rPr>
                <w:rFonts w:ascii="Times New Roman" w:hAnsi="Times New Roman"/>
                <w:b/>
                <w:bCs/>
                <w:lang w:val="en-GB"/>
              </w:rPr>
              <w:t>Patients and Center Personal Data</w:t>
            </w:r>
            <w:r w:rsidRPr="0031164B">
              <w:rPr>
                <w:rFonts w:ascii="Times New Roman" w:hAnsi="Times New Roman"/>
                <w:lang w:val="en-GB"/>
              </w:rPr>
              <w:t xml:space="preserve"> for its own purpose, to manage the patient medical record and treating patients with the Product.</w:t>
            </w:r>
          </w:p>
        </w:tc>
      </w:tr>
      <w:tr w:rsidR="00186A79" w:rsidRPr="0031164B" w14:paraId="1B61F74C" w14:textId="77777777" w:rsidTr="00D23897">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6B0CCD77" w14:textId="77777777" w:rsidR="00186A79" w:rsidRPr="0031164B" w:rsidRDefault="00186A79" w:rsidP="00D23897">
            <w:pPr>
              <w:spacing w:before="120" w:after="120"/>
              <w:rPr>
                <w:rFonts w:cstheme="minorBidi"/>
                <w:b/>
                <w:lang w:val="en-GB"/>
              </w:rPr>
            </w:pPr>
            <w:r w:rsidRPr="0031164B">
              <w:rPr>
                <w:b/>
                <w:lang w:val="en-GB"/>
              </w:rPr>
              <w:t>Privacy Notice</w:t>
            </w:r>
          </w:p>
        </w:tc>
        <w:tc>
          <w:tcPr>
            <w:tcW w:w="5244" w:type="dxa"/>
            <w:tcBorders>
              <w:top w:val="single" w:sz="4" w:space="0" w:color="auto"/>
              <w:left w:val="single" w:sz="4" w:space="0" w:color="auto"/>
              <w:bottom w:val="single" w:sz="4" w:space="0" w:color="auto"/>
              <w:right w:val="single" w:sz="4" w:space="0" w:color="auto"/>
            </w:tcBorders>
            <w:hideMark/>
          </w:tcPr>
          <w:p w14:paraId="6533399A" w14:textId="77777777" w:rsidR="00186A79" w:rsidRPr="0031164B" w:rsidRDefault="00186A79" w:rsidP="00D23897">
            <w:pPr>
              <w:spacing w:before="120" w:after="120"/>
              <w:jc w:val="both"/>
              <w:rPr>
                <w:sz w:val="22"/>
                <w:lang w:val="en-GB"/>
              </w:rPr>
            </w:pPr>
            <w:r w:rsidRPr="0031164B">
              <w:rPr>
                <w:lang w:val="en-GB"/>
              </w:rPr>
              <w:t>BMS will provide its privacy notice directly or indirectly to the Data Subjects via Center, which will be responsible to provide transparency to the relevant Data Subjects and inform them about BMS Processing operations.</w:t>
            </w:r>
          </w:p>
        </w:tc>
        <w:tc>
          <w:tcPr>
            <w:tcW w:w="6804" w:type="dxa"/>
            <w:tcBorders>
              <w:top w:val="single" w:sz="4" w:space="0" w:color="auto"/>
              <w:left w:val="single" w:sz="4" w:space="0" w:color="auto"/>
              <w:bottom w:val="single" w:sz="4" w:space="0" w:color="auto"/>
              <w:right w:val="single" w:sz="12" w:space="0" w:color="auto"/>
            </w:tcBorders>
            <w:hideMark/>
          </w:tcPr>
          <w:p w14:paraId="7935AE05" w14:textId="77777777" w:rsidR="00186A79" w:rsidRPr="0031164B" w:rsidRDefault="00186A79" w:rsidP="00D23897">
            <w:pPr>
              <w:tabs>
                <w:tab w:val="left" w:pos="6810"/>
              </w:tabs>
              <w:spacing w:before="120" w:after="120"/>
              <w:jc w:val="both"/>
              <w:rPr>
                <w:lang w:val="en-GB"/>
              </w:rPr>
            </w:pPr>
            <w:r w:rsidRPr="0031164B">
              <w:rPr>
                <w:lang w:val="en-GB"/>
              </w:rPr>
              <w:t>Center shall provide the relevant BMS privacy notices to the attention of: (i) patients; and (ii) its personnel. Center will provide its own privacy notice and, where applicable, consent form for the treatment and, where the laws require it, for the collection of biosamples, before conducting the leukapheresis in accordance with the terms set out in this Agreement.</w:t>
            </w:r>
          </w:p>
        </w:tc>
      </w:tr>
      <w:tr w:rsidR="00186A79" w:rsidRPr="0031164B" w14:paraId="1118790E" w14:textId="77777777" w:rsidTr="00D23897">
        <w:tc>
          <w:tcPr>
            <w:tcW w:w="2259"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hideMark/>
          </w:tcPr>
          <w:p w14:paraId="1858CD4B" w14:textId="77777777" w:rsidR="00186A79" w:rsidRPr="0031164B" w:rsidRDefault="00186A79" w:rsidP="00D23897">
            <w:pPr>
              <w:spacing w:before="120" w:after="120"/>
              <w:rPr>
                <w:rFonts w:cstheme="minorBidi"/>
                <w:b/>
                <w:lang w:val="en-GB"/>
              </w:rPr>
            </w:pPr>
            <w:r w:rsidRPr="0031164B">
              <w:rPr>
                <w:b/>
                <w:lang w:val="en-GB"/>
              </w:rPr>
              <w:t>Processing Data Subjects requests</w:t>
            </w:r>
          </w:p>
        </w:tc>
        <w:tc>
          <w:tcPr>
            <w:tcW w:w="5244" w:type="dxa"/>
            <w:tcBorders>
              <w:top w:val="single" w:sz="4" w:space="0" w:color="auto"/>
              <w:left w:val="single" w:sz="4" w:space="0" w:color="auto"/>
              <w:bottom w:val="single" w:sz="4" w:space="0" w:color="auto"/>
              <w:right w:val="single" w:sz="4" w:space="0" w:color="auto"/>
            </w:tcBorders>
            <w:hideMark/>
          </w:tcPr>
          <w:p w14:paraId="21C86FF1" w14:textId="77777777" w:rsidR="00186A79" w:rsidRPr="0031164B" w:rsidRDefault="00186A79" w:rsidP="00D23897">
            <w:pPr>
              <w:spacing w:before="120" w:after="120"/>
              <w:jc w:val="both"/>
              <w:rPr>
                <w:sz w:val="22"/>
                <w:lang w:val="en-GB"/>
              </w:rPr>
            </w:pPr>
            <w:r w:rsidRPr="0031164B">
              <w:rPr>
                <w:lang w:val="en-GB"/>
              </w:rPr>
              <w:t>BMS will respond to Data Subject access requests</w:t>
            </w:r>
            <w:r w:rsidRPr="0031164B">
              <w:rPr>
                <w:sz w:val="20"/>
                <w:lang w:val="en-GB"/>
              </w:rPr>
              <w:t xml:space="preserve"> </w:t>
            </w:r>
            <w:r w:rsidRPr="0031164B">
              <w:rPr>
                <w:lang w:val="en-GB"/>
              </w:rPr>
              <w:t>where it pertains to Center Personal Data and Product Order related Personal Data where it Processes such Personal Data for its own purposes as set out in this Addendum.</w:t>
            </w:r>
          </w:p>
        </w:tc>
        <w:tc>
          <w:tcPr>
            <w:tcW w:w="6804" w:type="dxa"/>
            <w:tcBorders>
              <w:top w:val="single" w:sz="4" w:space="0" w:color="auto"/>
              <w:left w:val="single" w:sz="4" w:space="0" w:color="auto"/>
              <w:bottom w:val="single" w:sz="4" w:space="0" w:color="auto"/>
              <w:right w:val="single" w:sz="12" w:space="0" w:color="auto"/>
            </w:tcBorders>
            <w:hideMark/>
          </w:tcPr>
          <w:p w14:paraId="217B4526" w14:textId="77777777" w:rsidR="00186A79" w:rsidRPr="0031164B" w:rsidRDefault="00186A79" w:rsidP="00D23897">
            <w:pPr>
              <w:spacing w:before="120" w:after="120"/>
              <w:jc w:val="both"/>
              <w:rPr>
                <w:lang w:val="en-GB"/>
              </w:rPr>
            </w:pPr>
            <w:r w:rsidRPr="0031164B">
              <w:rPr>
                <w:lang w:val="en-GB"/>
              </w:rPr>
              <w:t>Center will respond to Data Subject access request pertaining to its medical personnel and staff (Patients and Center Personal Data) and where applicable, to BMS Personal Data that it Processes for its own purposes as set out in the Addendum.</w:t>
            </w:r>
          </w:p>
        </w:tc>
      </w:tr>
      <w:tr w:rsidR="00186A79" w:rsidRPr="0031164B" w14:paraId="4C369017" w14:textId="77777777" w:rsidTr="00D23897">
        <w:tc>
          <w:tcPr>
            <w:tcW w:w="2259" w:type="dxa"/>
            <w:tcBorders>
              <w:top w:val="single" w:sz="4" w:space="0" w:color="auto"/>
              <w:left w:val="single" w:sz="12" w:space="0" w:color="auto"/>
              <w:bottom w:val="single" w:sz="12" w:space="0" w:color="auto"/>
              <w:right w:val="single" w:sz="4" w:space="0" w:color="auto"/>
            </w:tcBorders>
            <w:shd w:val="clear" w:color="auto" w:fill="FBE4D5" w:themeFill="accent2" w:themeFillTint="33"/>
            <w:vAlign w:val="center"/>
            <w:hideMark/>
          </w:tcPr>
          <w:p w14:paraId="72E8D50A" w14:textId="77777777" w:rsidR="00186A79" w:rsidRPr="0031164B" w:rsidRDefault="00186A79" w:rsidP="00D23897">
            <w:pPr>
              <w:spacing w:before="120" w:after="120"/>
              <w:rPr>
                <w:rFonts w:cstheme="minorBidi"/>
                <w:b/>
                <w:lang w:val="en-GB"/>
              </w:rPr>
            </w:pPr>
            <w:r w:rsidRPr="0031164B">
              <w:rPr>
                <w:b/>
                <w:lang w:val="en-GB"/>
              </w:rPr>
              <w:t xml:space="preserve">Data Protection Officer </w:t>
            </w:r>
          </w:p>
          <w:p w14:paraId="6941E15C" w14:textId="77777777" w:rsidR="00186A79" w:rsidRPr="0031164B" w:rsidRDefault="00186A79" w:rsidP="00D23897">
            <w:pPr>
              <w:spacing w:before="120" w:after="120"/>
              <w:rPr>
                <w:lang w:val="en-GB"/>
              </w:rPr>
            </w:pPr>
            <w:r w:rsidRPr="0031164B">
              <w:rPr>
                <w:lang w:val="en-GB"/>
              </w:rPr>
              <w:t>(or relevant contact details of the data privacy office or law department of each Parties)</w:t>
            </w:r>
          </w:p>
        </w:tc>
        <w:tc>
          <w:tcPr>
            <w:tcW w:w="5244" w:type="dxa"/>
            <w:tcBorders>
              <w:top w:val="single" w:sz="4" w:space="0" w:color="auto"/>
              <w:left w:val="single" w:sz="4" w:space="0" w:color="auto"/>
              <w:bottom w:val="single" w:sz="12" w:space="0" w:color="auto"/>
              <w:right w:val="single" w:sz="4" w:space="0" w:color="auto"/>
            </w:tcBorders>
            <w:hideMark/>
          </w:tcPr>
          <w:p w14:paraId="1F6F62A9" w14:textId="633C9E29" w:rsidR="00186A79" w:rsidRPr="0031164B" w:rsidRDefault="00023BD7" w:rsidP="00D23897">
            <w:pPr>
              <w:spacing w:before="120"/>
              <w:rPr>
                <w:lang w:val="en-GB"/>
              </w:rPr>
            </w:pPr>
            <w:r>
              <w:rPr>
                <w:b/>
                <w:bCs/>
                <w:lang w:val="en-GB"/>
              </w:rPr>
              <w:t>XXX</w:t>
            </w:r>
          </w:p>
          <w:p w14:paraId="0F28B7E0" w14:textId="77777777" w:rsidR="00186A79" w:rsidRPr="0031164B" w:rsidRDefault="00186A79" w:rsidP="00D23897">
            <w:pPr>
              <w:spacing w:before="120"/>
              <w:rPr>
                <w:lang w:val="en-GB"/>
              </w:rPr>
            </w:pPr>
            <w:r w:rsidRPr="0031164B">
              <w:rPr>
                <w:lang w:val="en-GB"/>
              </w:rPr>
              <w:t xml:space="preserve">Data Protection Officer </w:t>
            </w:r>
          </w:p>
          <w:p w14:paraId="2822D4FB" w14:textId="77777777" w:rsidR="00186A79" w:rsidRPr="0031164B" w:rsidRDefault="00186A79" w:rsidP="00D23897">
            <w:pPr>
              <w:spacing w:before="120"/>
              <w:rPr>
                <w:lang w:val="en-GB"/>
              </w:rPr>
            </w:pPr>
            <w:r w:rsidRPr="0031164B">
              <w:rPr>
                <w:lang w:val="en-GB"/>
              </w:rPr>
              <w:t>Engineering Building, Cruiserath Drive, Mulhuddart, Dublin 15</w:t>
            </w:r>
          </w:p>
          <w:p w14:paraId="5B517B65" w14:textId="77777777" w:rsidR="00186A79" w:rsidRPr="0031164B" w:rsidRDefault="00186A79" w:rsidP="00D23897">
            <w:pPr>
              <w:spacing w:before="120"/>
              <w:rPr>
                <w:lang w:val="en-GB"/>
              </w:rPr>
            </w:pPr>
            <w:r w:rsidRPr="0031164B">
              <w:rPr>
                <w:lang w:val="en-GB"/>
              </w:rPr>
              <w:t>Ireland.</w:t>
            </w:r>
          </w:p>
          <w:p w14:paraId="5FF7C634" w14:textId="77777777" w:rsidR="00186A79" w:rsidRPr="0031164B" w:rsidRDefault="00186A79" w:rsidP="00D23897">
            <w:pPr>
              <w:spacing w:before="120"/>
              <w:rPr>
                <w:lang w:val="en-GB"/>
              </w:rPr>
            </w:pPr>
          </w:p>
          <w:p w14:paraId="3F7BA40A" w14:textId="77777777" w:rsidR="00186A79" w:rsidRPr="0031164B" w:rsidRDefault="00186A79" w:rsidP="00D23897">
            <w:pPr>
              <w:spacing w:after="120"/>
              <w:jc w:val="both"/>
              <w:rPr>
                <w:lang w:val="en-GB"/>
              </w:rPr>
            </w:pPr>
          </w:p>
        </w:tc>
        <w:tc>
          <w:tcPr>
            <w:tcW w:w="6804" w:type="dxa"/>
            <w:tcBorders>
              <w:top w:val="single" w:sz="4" w:space="0" w:color="auto"/>
              <w:left w:val="single" w:sz="4" w:space="0" w:color="auto"/>
              <w:bottom w:val="single" w:sz="12" w:space="0" w:color="auto"/>
              <w:right w:val="single" w:sz="12" w:space="0" w:color="auto"/>
            </w:tcBorders>
          </w:tcPr>
          <w:p w14:paraId="5CA1CD2C" w14:textId="278C8734" w:rsidR="002B3F51" w:rsidRDefault="00186A79" w:rsidP="002B3F51">
            <w:pPr>
              <w:jc w:val="both"/>
              <w:rPr>
                <w:lang w:val="en-GB"/>
              </w:rPr>
            </w:pPr>
            <w:r w:rsidRPr="0031164B">
              <w:rPr>
                <w:lang w:val="en-GB"/>
              </w:rPr>
              <w:t>[</w:t>
            </w:r>
            <w:r w:rsidR="00023BD7">
              <w:rPr>
                <w:lang w:val="en-GB"/>
              </w:rPr>
              <w:t>XXX</w:t>
            </w:r>
          </w:p>
          <w:p w14:paraId="4648F0E4" w14:textId="77777777" w:rsidR="002B3F51" w:rsidRDefault="002B3F51" w:rsidP="002B3F51">
            <w:pPr>
              <w:jc w:val="both"/>
              <w:rPr>
                <w:lang w:val="en-GB"/>
              </w:rPr>
            </w:pPr>
            <w:r>
              <w:rPr>
                <w:lang w:val="en-GB"/>
              </w:rPr>
              <w:t>Edvarda Beneše 1128/13, 301 00 Plzeň</w:t>
            </w:r>
          </w:p>
          <w:p w14:paraId="0550E3BC" w14:textId="0EB2308C" w:rsidR="00186A79" w:rsidRPr="0031164B" w:rsidRDefault="002B3F51" w:rsidP="002B3F51">
            <w:pPr>
              <w:jc w:val="both"/>
              <w:rPr>
                <w:lang w:val="en-GB"/>
              </w:rPr>
            </w:pPr>
            <w:r>
              <w:rPr>
                <w:lang w:val="en-GB"/>
              </w:rPr>
              <w:t xml:space="preserve">dpo@fnplzen, </w:t>
            </w:r>
            <w:r w:rsidR="00023BD7">
              <w:rPr>
                <w:lang w:val="en-GB"/>
              </w:rPr>
              <w:t> XXX</w:t>
            </w:r>
            <w:r w:rsidR="00186A79" w:rsidRPr="0031164B">
              <w:rPr>
                <w:lang w:val="en-GB"/>
              </w:rPr>
              <w:t xml:space="preserve">] </w:t>
            </w:r>
          </w:p>
          <w:p w14:paraId="0B3D5D72" w14:textId="77777777" w:rsidR="00186A79" w:rsidRPr="0031164B" w:rsidRDefault="00186A79" w:rsidP="00D23897">
            <w:pPr>
              <w:jc w:val="both"/>
              <w:rPr>
                <w:lang w:val="en-GB"/>
              </w:rPr>
            </w:pPr>
          </w:p>
        </w:tc>
      </w:tr>
    </w:tbl>
    <w:p w14:paraId="6442AC9A" w14:textId="77777777" w:rsidR="00186A79" w:rsidRPr="0031164B" w:rsidRDefault="00186A79" w:rsidP="00D22083">
      <w:pPr>
        <w:pStyle w:val="Level2"/>
        <w:numPr>
          <w:ilvl w:val="1"/>
          <w:numId w:val="79"/>
        </w:numPr>
        <w:ind w:left="567" w:hanging="567"/>
        <w:rPr>
          <w:rFonts w:ascii="Times New Roman" w:hAnsi="Times New Roman"/>
          <w:sz w:val="24"/>
          <w:lang w:val="en-GB"/>
        </w:rPr>
        <w:sectPr w:rsidR="00186A79" w:rsidRPr="0031164B" w:rsidSect="00186A79">
          <w:pgSz w:w="16838" w:h="11906" w:orient="landscape"/>
          <w:pgMar w:top="1417" w:right="1276" w:bottom="1417" w:left="1620" w:header="708" w:footer="163" w:gutter="0"/>
          <w:cols w:space="708"/>
          <w:docGrid w:linePitch="360"/>
        </w:sectPr>
      </w:pPr>
      <w:r w:rsidRPr="0031164B">
        <w:rPr>
          <w:rFonts w:ascii="Times New Roman" w:hAnsi="Times New Roman"/>
          <w:sz w:val="24"/>
          <w:lang w:val="en-GB"/>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44"/>
      </w:tblGrid>
      <w:tr w:rsidR="00186A79" w:rsidRPr="0031164B" w14:paraId="248772BC" w14:textId="5D70C50E" w:rsidTr="00186A79">
        <w:tc>
          <w:tcPr>
            <w:tcW w:w="2500" w:type="pct"/>
          </w:tcPr>
          <w:p w14:paraId="62885DE8" w14:textId="77777777" w:rsidR="00186A79" w:rsidRPr="0031164B" w:rsidRDefault="00186A79" w:rsidP="00186A79">
            <w:pPr>
              <w:widowControl/>
              <w:adjustRightInd/>
              <w:jc w:val="center"/>
              <w:rPr>
                <w:b/>
                <w:u w:val="single"/>
                <w:lang w:val="en-GB"/>
              </w:rPr>
            </w:pPr>
            <w:r w:rsidRPr="0031164B">
              <w:rPr>
                <w:b/>
                <w:u w:val="single"/>
                <w:lang w:val="en-GB"/>
              </w:rPr>
              <w:lastRenderedPageBreak/>
              <w:t>PŘÍLOHA E</w:t>
            </w:r>
          </w:p>
        </w:tc>
        <w:tc>
          <w:tcPr>
            <w:tcW w:w="2500" w:type="pct"/>
            <w:vAlign w:val="center"/>
          </w:tcPr>
          <w:p w14:paraId="4A449A8E" w14:textId="44EA05B7" w:rsidR="00186A79" w:rsidRPr="0031164B" w:rsidRDefault="00186A79" w:rsidP="00186A79">
            <w:pPr>
              <w:widowControl/>
              <w:autoSpaceDE/>
              <w:autoSpaceDN/>
              <w:adjustRightInd/>
              <w:spacing w:after="160" w:line="259" w:lineRule="auto"/>
              <w:jc w:val="center"/>
              <w:rPr>
                <w:caps/>
                <w:u w:val="single"/>
                <w:lang w:val="en-GB"/>
              </w:rPr>
            </w:pPr>
            <w:r w:rsidRPr="0031164B">
              <w:rPr>
                <w:b/>
                <w:u w:val="single"/>
                <w:lang w:val="en-GB"/>
              </w:rPr>
              <w:t>ATTACHMENT E</w:t>
            </w:r>
          </w:p>
        </w:tc>
      </w:tr>
      <w:tr w:rsidR="00186A79" w:rsidRPr="0031164B" w14:paraId="4B098444" w14:textId="60EA05EF" w:rsidTr="00186A79">
        <w:tc>
          <w:tcPr>
            <w:tcW w:w="2500" w:type="pct"/>
          </w:tcPr>
          <w:p w14:paraId="7B496DE2" w14:textId="77777777" w:rsidR="00186A79" w:rsidRPr="001314E7" w:rsidRDefault="00186A79" w:rsidP="00186A79">
            <w:pPr>
              <w:pStyle w:val="Level1"/>
              <w:numPr>
                <w:ilvl w:val="0"/>
                <w:numId w:val="0"/>
              </w:numPr>
              <w:spacing w:before="240"/>
              <w:jc w:val="center"/>
              <w:rPr>
                <w:rFonts w:ascii="Times New Roman" w:hAnsi="Times New Roman"/>
                <w:sz w:val="24"/>
                <w:szCs w:val="24"/>
                <w:lang w:val="pt-BR"/>
              </w:rPr>
            </w:pPr>
            <w:r w:rsidRPr="001314E7">
              <w:rPr>
                <w:rFonts w:ascii="Times New Roman" w:hAnsi="Times New Roman"/>
                <w:sz w:val="24"/>
                <w:szCs w:val="24"/>
                <w:lang w:val="pt-BR"/>
              </w:rPr>
              <w:t>POŽADAVKY NA PROGRAM MINIMALIZACE RIZIK</w:t>
            </w:r>
          </w:p>
        </w:tc>
        <w:tc>
          <w:tcPr>
            <w:tcW w:w="2500" w:type="pct"/>
            <w:vAlign w:val="center"/>
          </w:tcPr>
          <w:p w14:paraId="0CF29478" w14:textId="51366F9F" w:rsidR="00186A79" w:rsidRPr="0031164B" w:rsidRDefault="00186A79" w:rsidP="00186A79">
            <w:pPr>
              <w:widowControl/>
              <w:autoSpaceDE/>
              <w:autoSpaceDN/>
              <w:adjustRightInd/>
              <w:spacing w:after="160" w:line="259" w:lineRule="auto"/>
              <w:jc w:val="center"/>
              <w:rPr>
                <w:lang w:val="en-GB"/>
              </w:rPr>
            </w:pPr>
            <w:r w:rsidRPr="0031164B">
              <w:rPr>
                <w:lang w:val="en-GB"/>
              </w:rPr>
              <w:t>RISK MINIMIZATION PROGRAM REQUIREMENTS</w:t>
            </w:r>
          </w:p>
        </w:tc>
      </w:tr>
      <w:tr w:rsidR="00186A79" w:rsidRPr="0031164B" w14:paraId="4C1F5E33" w14:textId="0E4321A1" w:rsidTr="00186A79">
        <w:tc>
          <w:tcPr>
            <w:tcW w:w="2500" w:type="pct"/>
          </w:tcPr>
          <w:p w14:paraId="472406A2" w14:textId="05DFDED9" w:rsidR="00186A79" w:rsidRPr="001314E7" w:rsidRDefault="00186A79" w:rsidP="00186A79">
            <w:pPr>
              <w:pStyle w:val="Level1"/>
              <w:numPr>
                <w:ilvl w:val="0"/>
                <w:numId w:val="0"/>
              </w:numPr>
              <w:spacing w:before="240"/>
              <w:rPr>
                <w:rFonts w:ascii="Times New Roman" w:eastAsia="Times New Roman" w:hAnsi="Times New Roman" w:cs="Times New Roman"/>
                <w:b w:val="0"/>
                <w:caps w:val="0"/>
                <w:sz w:val="22"/>
              </w:rPr>
            </w:pPr>
            <w:r w:rsidRPr="001314E7">
              <w:rPr>
                <w:rFonts w:ascii="Times New Roman" w:hAnsi="Times New Roman"/>
                <w:b w:val="0"/>
                <w:caps w:val="0"/>
                <w:sz w:val="22"/>
              </w:rPr>
              <w:t>TE: Tissue Establishment (tkáňové zařízení) / CTU: Cell Therapy Unit (</w:t>
            </w:r>
            <w:r w:rsidR="00D07DB0">
              <w:rPr>
                <w:rFonts w:ascii="Times New Roman" w:hAnsi="Times New Roman"/>
                <w:b w:val="0"/>
                <w:caps w:val="0"/>
                <w:sz w:val="22"/>
              </w:rPr>
              <w:t>Od</w:t>
            </w:r>
            <w:r w:rsidR="005B7436">
              <w:rPr>
                <w:rFonts w:ascii="Times New Roman" w:hAnsi="Times New Roman"/>
                <w:b w:val="0"/>
                <w:caps w:val="0"/>
                <w:sz w:val="22"/>
              </w:rPr>
              <w:t>dělení</w:t>
            </w:r>
            <w:r w:rsidRPr="001314E7">
              <w:rPr>
                <w:rFonts w:ascii="Times New Roman" w:hAnsi="Times New Roman"/>
                <w:b w:val="0"/>
                <w:caps w:val="0"/>
                <w:sz w:val="22"/>
              </w:rPr>
              <w:t xml:space="preserve"> buněčné terapie)/ PH : Pharmacy (lékárna)/ AU : Administration Unit</w:t>
            </w:r>
            <w:r w:rsidRPr="001314E7">
              <w:t xml:space="preserve"> (</w:t>
            </w:r>
            <w:r w:rsidR="00E047A8">
              <w:t>Aplikační oddělení</w:t>
            </w:r>
            <w:r w:rsidRPr="001314E7">
              <w:t>)</w:t>
            </w:r>
          </w:p>
        </w:tc>
        <w:tc>
          <w:tcPr>
            <w:tcW w:w="2500" w:type="pct"/>
          </w:tcPr>
          <w:p w14:paraId="406DCB6B" w14:textId="4F21AEF9" w:rsidR="00186A79" w:rsidRPr="0031164B" w:rsidRDefault="00186A79" w:rsidP="00186A79">
            <w:pPr>
              <w:widowControl/>
              <w:autoSpaceDE/>
              <w:autoSpaceDN/>
              <w:adjustRightInd/>
              <w:spacing w:after="160" w:line="259" w:lineRule="auto"/>
              <w:rPr>
                <w:sz w:val="22"/>
                <w:szCs w:val="22"/>
                <w:lang w:val="en-GB"/>
              </w:rPr>
            </w:pPr>
            <w:r w:rsidRPr="0031164B">
              <w:rPr>
                <w:sz w:val="22"/>
                <w:lang w:val="en-GB"/>
              </w:rPr>
              <w:t>TE: Tissue Establishment / CTU: Cell Therapy Unit/ PH : Pharmacy/ AU : Administration Unit</w:t>
            </w:r>
          </w:p>
        </w:tc>
      </w:tr>
    </w:tbl>
    <w:p w14:paraId="708285EE" w14:textId="77777777" w:rsidR="00186A79" w:rsidRPr="0031164B" w:rsidRDefault="00186A79" w:rsidP="001F6AA8">
      <w:pPr>
        <w:pStyle w:val="Level1"/>
        <w:numPr>
          <w:ilvl w:val="0"/>
          <w:numId w:val="0"/>
        </w:numPr>
        <w:spacing w:before="240"/>
        <w:ind w:left="709" w:hanging="709"/>
        <w:rPr>
          <w:rFonts w:ascii="Times New Roman" w:eastAsia="Times New Roman" w:hAnsi="Times New Roman" w:cs="Times New Roman"/>
          <w:b w:val="0"/>
          <w:caps w:val="0"/>
          <w:sz w:val="22"/>
          <w:lang w:val="en-GB" w:eastAsia="ja-JP"/>
        </w:rPr>
      </w:pPr>
    </w:p>
    <w:tbl>
      <w:tblPr>
        <w:tblW w:w="48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3"/>
        <w:gridCol w:w="6574"/>
        <w:gridCol w:w="809"/>
        <w:gridCol w:w="1080"/>
        <w:gridCol w:w="540"/>
        <w:gridCol w:w="719"/>
      </w:tblGrid>
      <w:tr w:rsidR="00205626" w:rsidRPr="0031164B" w14:paraId="63E34DD8" w14:textId="77777777" w:rsidTr="00E85586">
        <w:trPr>
          <w:trHeight w:val="555"/>
          <w:tblHeader/>
          <w:jc w:val="center"/>
        </w:trPr>
        <w:tc>
          <w:tcPr>
            <w:tcW w:w="337" w:type="pct"/>
            <w:tcBorders>
              <w:bottom w:val="nil"/>
            </w:tcBorders>
          </w:tcPr>
          <w:p w14:paraId="63E34DD4" w14:textId="77777777" w:rsidR="001F6AA8" w:rsidRPr="0031164B" w:rsidRDefault="00CA50DA" w:rsidP="001F6AA8">
            <w:pPr>
              <w:spacing w:before="40"/>
              <w:rPr>
                <w:b/>
                <w:sz w:val="22"/>
                <w:szCs w:val="22"/>
                <w:lang w:val="en-GB"/>
              </w:rPr>
            </w:pPr>
            <w:r w:rsidRPr="0031164B">
              <w:rPr>
                <w:lang w:val="en-GB"/>
              </w:rPr>
              <w:br w:type="page"/>
            </w:r>
            <w:r w:rsidRPr="0031164B">
              <w:rPr>
                <w:lang w:val="en-GB"/>
              </w:rPr>
              <w:br w:type="page"/>
            </w:r>
          </w:p>
        </w:tc>
        <w:tc>
          <w:tcPr>
            <w:tcW w:w="3153" w:type="pct"/>
            <w:tcBorders>
              <w:bottom w:val="nil"/>
            </w:tcBorders>
          </w:tcPr>
          <w:p w14:paraId="63E34DD5" w14:textId="77777777" w:rsidR="001F6AA8" w:rsidRPr="0031164B" w:rsidRDefault="001F6AA8" w:rsidP="001F6AA8">
            <w:pPr>
              <w:spacing w:before="40"/>
              <w:rPr>
                <w:b/>
                <w:sz w:val="22"/>
                <w:szCs w:val="22"/>
                <w:lang w:val="en-GB"/>
              </w:rPr>
            </w:pPr>
          </w:p>
        </w:tc>
        <w:tc>
          <w:tcPr>
            <w:tcW w:w="388" w:type="pct"/>
            <w:tcBorders>
              <w:bottom w:val="nil"/>
            </w:tcBorders>
          </w:tcPr>
          <w:p w14:paraId="63E34DD6" w14:textId="77777777" w:rsidR="001F6AA8" w:rsidRPr="0031164B" w:rsidRDefault="00CA50DA" w:rsidP="001F6AA8">
            <w:pPr>
              <w:spacing w:before="40"/>
              <w:jc w:val="center"/>
              <w:rPr>
                <w:b/>
                <w:bCs/>
                <w:sz w:val="22"/>
                <w:szCs w:val="22"/>
                <w:lang w:val="en-GB"/>
              </w:rPr>
            </w:pPr>
            <w:r w:rsidRPr="0031164B">
              <w:rPr>
                <w:b/>
                <w:bCs/>
                <w:lang w:val="en-GB"/>
              </w:rPr>
              <w:t>BMS</w:t>
            </w:r>
          </w:p>
        </w:tc>
        <w:tc>
          <w:tcPr>
            <w:tcW w:w="1122" w:type="pct"/>
            <w:gridSpan w:val="3"/>
            <w:tcBorders>
              <w:bottom w:val="nil"/>
            </w:tcBorders>
          </w:tcPr>
          <w:p w14:paraId="63E34DD7" w14:textId="55FB3804" w:rsidR="001F6AA8" w:rsidRPr="0031164B" w:rsidRDefault="00382218" w:rsidP="001F6AA8">
            <w:pPr>
              <w:spacing w:before="40"/>
              <w:jc w:val="center"/>
              <w:rPr>
                <w:b/>
                <w:sz w:val="22"/>
                <w:szCs w:val="22"/>
                <w:lang w:val="en-GB"/>
              </w:rPr>
            </w:pPr>
            <w:r>
              <w:rPr>
                <w:b/>
                <w:sz w:val="22"/>
                <w:szCs w:val="22"/>
                <w:lang w:val="en-GB"/>
              </w:rPr>
              <w:t>C</w:t>
            </w:r>
            <w:r w:rsidR="00BE08E7">
              <w:rPr>
                <w:b/>
                <w:sz w:val="22"/>
                <w:szCs w:val="22"/>
                <w:lang w:val="en-GB"/>
              </w:rPr>
              <w:t>EN</w:t>
            </w:r>
            <w:r w:rsidR="00885007">
              <w:rPr>
                <w:b/>
                <w:sz w:val="22"/>
                <w:szCs w:val="22"/>
                <w:lang w:val="en-GB"/>
              </w:rPr>
              <w:t>T</w:t>
            </w:r>
            <w:r w:rsidR="00BE08E7">
              <w:rPr>
                <w:b/>
                <w:sz w:val="22"/>
                <w:szCs w:val="22"/>
                <w:lang w:val="en-GB"/>
              </w:rPr>
              <w:t>RUM</w:t>
            </w:r>
          </w:p>
        </w:tc>
      </w:tr>
      <w:tr w:rsidR="00205626" w:rsidRPr="0031164B" w14:paraId="63E34DE0" w14:textId="77777777" w:rsidTr="00E85586">
        <w:trPr>
          <w:trHeight w:val="540"/>
          <w:tblHeader/>
          <w:jc w:val="center"/>
        </w:trPr>
        <w:tc>
          <w:tcPr>
            <w:tcW w:w="337" w:type="pct"/>
            <w:tcBorders>
              <w:top w:val="nil"/>
              <w:bottom w:val="single" w:sz="4" w:space="0" w:color="auto"/>
            </w:tcBorders>
          </w:tcPr>
          <w:p w14:paraId="63E34DD9" w14:textId="77777777" w:rsidR="001F6AA8" w:rsidRPr="0031164B" w:rsidRDefault="001F6AA8" w:rsidP="001F6AA8">
            <w:pPr>
              <w:spacing w:before="40"/>
              <w:rPr>
                <w:caps/>
                <w:sz w:val="22"/>
                <w:szCs w:val="22"/>
                <w:lang w:val="en-GB"/>
              </w:rPr>
            </w:pPr>
            <w:bookmarkStart w:id="282" w:name="_Toc26950756"/>
            <w:bookmarkStart w:id="283" w:name="_Toc27207888"/>
          </w:p>
        </w:tc>
        <w:tc>
          <w:tcPr>
            <w:tcW w:w="3153" w:type="pct"/>
            <w:tcBorders>
              <w:top w:val="nil"/>
              <w:bottom w:val="single" w:sz="4" w:space="0" w:color="auto"/>
            </w:tcBorders>
          </w:tcPr>
          <w:p w14:paraId="63E34DDA" w14:textId="77777777" w:rsidR="001F6AA8" w:rsidRPr="0031164B" w:rsidRDefault="001F6AA8" w:rsidP="001F6AA8">
            <w:pPr>
              <w:spacing w:before="40"/>
              <w:rPr>
                <w:b/>
                <w:sz w:val="22"/>
                <w:szCs w:val="22"/>
                <w:lang w:val="en-GB"/>
              </w:rPr>
            </w:pPr>
          </w:p>
        </w:tc>
        <w:tc>
          <w:tcPr>
            <w:tcW w:w="388" w:type="pct"/>
            <w:tcBorders>
              <w:top w:val="nil"/>
              <w:bottom w:val="single" w:sz="4" w:space="0" w:color="auto"/>
            </w:tcBorders>
          </w:tcPr>
          <w:p w14:paraId="63E34DDB" w14:textId="77777777" w:rsidR="001F6AA8" w:rsidRPr="0031164B" w:rsidRDefault="001F6AA8" w:rsidP="001F6AA8">
            <w:pPr>
              <w:spacing w:before="40"/>
              <w:jc w:val="center"/>
              <w:rPr>
                <w:b/>
                <w:sz w:val="20"/>
                <w:szCs w:val="20"/>
                <w:lang w:val="en-GB"/>
              </w:rPr>
            </w:pPr>
          </w:p>
        </w:tc>
        <w:tc>
          <w:tcPr>
            <w:tcW w:w="518" w:type="pct"/>
            <w:tcBorders>
              <w:top w:val="nil"/>
              <w:bottom w:val="single" w:sz="4" w:space="0" w:color="auto"/>
            </w:tcBorders>
          </w:tcPr>
          <w:p w14:paraId="63E34DDC" w14:textId="77777777" w:rsidR="00E978EB" w:rsidRPr="0031164B" w:rsidRDefault="00CA50DA" w:rsidP="00525766">
            <w:pPr>
              <w:spacing w:before="40"/>
              <w:jc w:val="center"/>
              <w:rPr>
                <w:b/>
                <w:sz w:val="20"/>
                <w:szCs w:val="20"/>
                <w:lang w:val="en-GB"/>
              </w:rPr>
            </w:pPr>
            <w:r w:rsidRPr="0031164B">
              <w:rPr>
                <w:b/>
                <w:sz w:val="20"/>
                <w:szCs w:val="20"/>
                <w:lang w:val="en-GB"/>
              </w:rPr>
              <w:t>TE/</w:t>
            </w:r>
          </w:p>
          <w:p w14:paraId="63E34DDD" w14:textId="77777777" w:rsidR="001F6AA8" w:rsidRPr="0031164B" w:rsidRDefault="00CA50DA" w:rsidP="00525766">
            <w:pPr>
              <w:spacing w:before="40"/>
              <w:jc w:val="center"/>
              <w:rPr>
                <w:b/>
                <w:sz w:val="20"/>
                <w:szCs w:val="20"/>
                <w:lang w:val="en-GB"/>
              </w:rPr>
            </w:pPr>
            <w:r w:rsidRPr="0031164B">
              <w:rPr>
                <w:b/>
                <w:sz w:val="20"/>
                <w:szCs w:val="20"/>
                <w:lang w:val="en-GB"/>
              </w:rPr>
              <w:t>CTU</w:t>
            </w:r>
          </w:p>
        </w:tc>
        <w:tc>
          <w:tcPr>
            <w:tcW w:w="259" w:type="pct"/>
            <w:tcBorders>
              <w:top w:val="nil"/>
              <w:bottom w:val="single" w:sz="4" w:space="0" w:color="auto"/>
            </w:tcBorders>
          </w:tcPr>
          <w:p w14:paraId="63E34DDE" w14:textId="77777777" w:rsidR="001F6AA8" w:rsidRPr="0031164B" w:rsidRDefault="00CA50DA" w:rsidP="001F6AA8">
            <w:pPr>
              <w:spacing w:before="40"/>
              <w:jc w:val="center"/>
              <w:rPr>
                <w:b/>
                <w:sz w:val="20"/>
                <w:szCs w:val="20"/>
                <w:lang w:val="en-GB"/>
              </w:rPr>
            </w:pPr>
            <w:r w:rsidRPr="0031164B">
              <w:rPr>
                <w:b/>
                <w:sz w:val="20"/>
                <w:szCs w:val="20"/>
                <w:lang w:val="en-GB"/>
              </w:rPr>
              <w:t>PH</w:t>
            </w:r>
          </w:p>
        </w:tc>
        <w:tc>
          <w:tcPr>
            <w:tcW w:w="345" w:type="pct"/>
            <w:tcBorders>
              <w:top w:val="nil"/>
              <w:bottom w:val="single" w:sz="4" w:space="0" w:color="auto"/>
            </w:tcBorders>
          </w:tcPr>
          <w:p w14:paraId="63E34DDF" w14:textId="77777777" w:rsidR="001F6AA8" w:rsidRPr="0031164B" w:rsidRDefault="00CA50DA" w:rsidP="001F6AA8">
            <w:pPr>
              <w:spacing w:before="40"/>
              <w:jc w:val="center"/>
              <w:rPr>
                <w:b/>
                <w:sz w:val="20"/>
                <w:szCs w:val="20"/>
                <w:lang w:val="en-GB"/>
              </w:rPr>
            </w:pPr>
            <w:r w:rsidRPr="0031164B">
              <w:rPr>
                <w:b/>
                <w:sz w:val="20"/>
                <w:szCs w:val="20"/>
                <w:lang w:val="en-GB"/>
              </w:rPr>
              <w:t>AU</w:t>
            </w:r>
          </w:p>
        </w:tc>
      </w:tr>
      <w:tr w:rsidR="00205626" w:rsidRPr="0031164B" w14:paraId="63E34DE7" w14:textId="77777777" w:rsidTr="00E85586">
        <w:trPr>
          <w:trHeight w:val="665"/>
          <w:jc w:val="center"/>
        </w:trPr>
        <w:tc>
          <w:tcPr>
            <w:tcW w:w="337" w:type="pct"/>
            <w:tcBorders>
              <w:top w:val="single" w:sz="4" w:space="0" w:color="auto"/>
              <w:bottom w:val="single" w:sz="4" w:space="0" w:color="auto"/>
            </w:tcBorders>
          </w:tcPr>
          <w:p w14:paraId="63E34DE1" w14:textId="77777777" w:rsidR="001F6AA8" w:rsidRPr="0031164B" w:rsidRDefault="001F6AA8" w:rsidP="008A5C23">
            <w:pPr>
              <w:pStyle w:val="Level1"/>
              <w:numPr>
                <w:ilvl w:val="0"/>
                <w:numId w:val="18"/>
              </w:numPr>
              <w:rPr>
                <w:lang w:val="en-GB"/>
              </w:rPr>
            </w:pPr>
          </w:p>
        </w:tc>
        <w:tc>
          <w:tcPr>
            <w:tcW w:w="3153" w:type="pct"/>
            <w:tcBorders>
              <w:top w:val="single" w:sz="4" w:space="0" w:color="auto"/>
              <w:bottom w:val="single" w:sz="4" w:space="0" w:color="auto"/>
            </w:tcBorders>
          </w:tcPr>
          <w:p w14:paraId="63E34DE2" w14:textId="052E4C7E" w:rsidR="001F6AA8" w:rsidRPr="001314E7" w:rsidRDefault="00CA50DA" w:rsidP="000E6C13">
            <w:pPr>
              <w:jc w:val="both"/>
              <w:rPr>
                <w:sz w:val="22"/>
                <w:szCs w:val="22"/>
                <w:lang w:val="pt-BR"/>
              </w:rPr>
            </w:pPr>
            <w:r w:rsidRPr="001314E7">
              <w:rPr>
                <w:sz w:val="22"/>
                <w:szCs w:val="22"/>
                <w:lang w:val="pt-BR"/>
              </w:rPr>
              <w:t>Jmen</w:t>
            </w:r>
            <w:r w:rsidR="007D6815">
              <w:rPr>
                <w:sz w:val="22"/>
                <w:szCs w:val="22"/>
                <w:lang w:val="pt-BR"/>
              </w:rPr>
              <w:t>ov</w:t>
            </w:r>
            <w:r w:rsidR="00B2476E">
              <w:rPr>
                <w:sz w:val="22"/>
                <w:szCs w:val="22"/>
                <w:lang w:val="pt-BR"/>
              </w:rPr>
              <w:t>a</w:t>
            </w:r>
            <w:r w:rsidR="007D6815">
              <w:rPr>
                <w:sz w:val="22"/>
                <w:szCs w:val="22"/>
                <w:lang w:val="pt-BR"/>
              </w:rPr>
              <w:t>t</w:t>
            </w:r>
            <w:r w:rsidRPr="001314E7">
              <w:rPr>
                <w:sz w:val="22"/>
                <w:szCs w:val="22"/>
                <w:lang w:val="pt-BR"/>
              </w:rPr>
              <w:t xml:space="preserve"> zástupce programu minimalizace rizik (PMR) a uv</w:t>
            </w:r>
            <w:r w:rsidR="007D6815">
              <w:rPr>
                <w:sz w:val="22"/>
                <w:szCs w:val="22"/>
                <w:lang w:val="pt-BR"/>
              </w:rPr>
              <w:t>ést</w:t>
            </w:r>
            <w:r w:rsidRPr="001314E7">
              <w:rPr>
                <w:sz w:val="22"/>
                <w:szCs w:val="22"/>
                <w:lang w:val="pt-BR"/>
              </w:rPr>
              <w:t xml:space="preserve"> kontaktní údaje.</w:t>
            </w:r>
          </w:p>
        </w:tc>
        <w:tc>
          <w:tcPr>
            <w:tcW w:w="388" w:type="pct"/>
            <w:tcBorders>
              <w:top w:val="single" w:sz="4" w:space="0" w:color="auto"/>
              <w:bottom w:val="single" w:sz="4" w:space="0" w:color="auto"/>
            </w:tcBorders>
          </w:tcPr>
          <w:p w14:paraId="63E34DE3" w14:textId="77777777" w:rsidR="001F6AA8" w:rsidRPr="001314E7" w:rsidRDefault="001F6AA8" w:rsidP="001F6AA8">
            <w:pPr>
              <w:jc w:val="center"/>
              <w:rPr>
                <w:b/>
                <w:caps/>
                <w:sz w:val="22"/>
                <w:szCs w:val="22"/>
                <w:lang w:val="pt-BR"/>
              </w:rPr>
            </w:pPr>
          </w:p>
        </w:tc>
        <w:tc>
          <w:tcPr>
            <w:tcW w:w="518" w:type="pct"/>
            <w:tcBorders>
              <w:top w:val="single" w:sz="4" w:space="0" w:color="auto"/>
              <w:bottom w:val="single" w:sz="4" w:space="0" w:color="auto"/>
            </w:tcBorders>
          </w:tcPr>
          <w:p w14:paraId="63E34DE4" w14:textId="77777777" w:rsidR="001F6AA8" w:rsidRPr="001314E7" w:rsidRDefault="001F6AA8" w:rsidP="001F6AA8">
            <w:pPr>
              <w:pStyle w:val="boxesBOLDCENTRE"/>
              <w:rPr>
                <w:rFonts w:ascii="Times New Roman" w:hAnsi="Times New Roman"/>
                <w:szCs w:val="22"/>
                <w:lang w:val="pt-BR"/>
              </w:rPr>
            </w:pPr>
          </w:p>
        </w:tc>
        <w:tc>
          <w:tcPr>
            <w:tcW w:w="259" w:type="pct"/>
            <w:tcBorders>
              <w:top w:val="single" w:sz="4" w:space="0" w:color="auto"/>
              <w:bottom w:val="single" w:sz="4" w:space="0" w:color="auto"/>
            </w:tcBorders>
          </w:tcPr>
          <w:p w14:paraId="63E34DE5" w14:textId="77777777" w:rsidR="001F6AA8" w:rsidRPr="001314E7" w:rsidRDefault="001F6AA8" w:rsidP="001F6AA8">
            <w:pPr>
              <w:pStyle w:val="boxesBOLDCENTRE"/>
              <w:rPr>
                <w:rFonts w:ascii="Times New Roman" w:hAnsi="Times New Roman"/>
                <w:szCs w:val="22"/>
                <w:lang w:val="pt-BR"/>
              </w:rPr>
            </w:pPr>
          </w:p>
        </w:tc>
        <w:tc>
          <w:tcPr>
            <w:tcW w:w="345" w:type="pct"/>
            <w:tcBorders>
              <w:top w:val="single" w:sz="4" w:space="0" w:color="auto"/>
              <w:bottom w:val="single" w:sz="4" w:space="0" w:color="auto"/>
            </w:tcBorders>
          </w:tcPr>
          <w:p w14:paraId="63E34DE6" w14:textId="77777777" w:rsidR="001F6AA8" w:rsidRPr="0031164B" w:rsidRDefault="00CA50DA" w:rsidP="001F6AA8">
            <w:pPr>
              <w:pStyle w:val="boxesBOLDCENTRE"/>
              <w:rPr>
                <w:rFonts w:ascii="Times New Roman" w:hAnsi="Times New Roman"/>
                <w:szCs w:val="22"/>
                <w:lang w:val="en-GB"/>
              </w:rPr>
            </w:pPr>
            <w:r w:rsidRPr="0031164B">
              <w:rPr>
                <w:rFonts w:ascii="Times New Roman" w:hAnsi="Times New Roman"/>
                <w:szCs w:val="22"/>
                <w:lang w:val="en-GB"/>
              </w:rPr>
              <w:t>X</w:t>
            </w:r>
          </w:p>
        </w:tc>
      </w:tr>
      <w:tr w:rsidR="00205626" w:rsidRPr="0031164B" w14:paraId="63E34DEE" w14:textId="77777777" w:rsidTr="00E85586">
        <w:trPr>
          <w:trHeight w:val="629"/>
          <w:jc w:val="center"/>
        </w:trPr>
        <w:tc>
          <w:tcPr>
            <w:tcW w:w="337" w:type="pct"/>
            <w:tcBorders>
              <w:top w:val="single" w:sz="4" w:space="0" w:color="auto"/>
              <w:bottom w:val="single" w:sz="4" w:space="0" w:color="auto"/>
            </w:tcBorders>
          </w:tcPr>
          <w:p w14:paraId="63E34DE8" w14:textId="77777777" w:rsidR="001F6AA8" w:rsidRPr="0031164B" w:rsidRDefault="001F6AA8" w:rsidP="008A5C23">
            <w:pPr>
              <w:pStyle w:val="Level1"/>
              <w:numPr>
                <w:ilvl w:val="0"/>
                <w:numId w:val="18"/>
              </w:numPr>
              <w:rPr>
                <w:lang w:val="en-GB"/>
              </w:rPr>
            </w:pPr>
          </w:p>
        </w:tc>
        <w:tc>
          <w:tcPr>
            <w:tcW w:w="3153" w:type="pct"/>
            <w:tcBorders>
              <w:top w:val="single" w:sz="4" w:space="0" w:color="auto"/>
              <w:bottom w:val="single" w:sz="4" w:space="0" w:color="auto"/>
            </w:tcBorders>
          </w:tcPr>
          <w:p w14:paraId="63E34DE9" w14:textId="77777777" w:rsidR="001F6AA8" w:rsidRPr="0031164B" w:rsidRDefault="00CA50DA" w:rsidP="000E6C13">
            <w:pPr>
              <w:jc w:val="both"/>
              <w:rPr>
                <w:sz w:val="22"/>
                <w:szCs w:val="22"/>
                <w:lang w:val="en-GB"/>
              </w:rPr>
            </w:pPr>
            <w:r w:rsidRPr="0031164B">
              <w:rPr>
                <w:sz w:val="22"/>
                <w:szCs w:val="22"/>
                <w:lang w:val="en-GB"/>
              </w:rPr>
              <w:t>Informovat BMS o změnách jmenovaného zástupce PMR a poskytnout nové kontaktní údaje do 3 pracovních dnů.</w:t>
            </w:r>
          </w:p>
        </w:tc>
        <w:tc>
          <w:tcPr>
            <w:tcW w:w="388" w:type="pct"/>
            <w:tcBorders>
              <w:top w:val="single" w:sz="4" w:space="0" w:color="auto"/>
              <w:bottom w:val="single" w:sz="4" w:space="0" w:color="auto"/>
            </w:tcBorders>
          </w:tcPr>
          <w:p w14:paraId="63E34DEA" w14:textId="77777777" w:rsidR="001F6AA8" w:rsidRPr="0031164B" w:rsidRDefault="001F6AA8" w:rsidP="001F6AA8">
            <w:pPr>
              <w:jc w:val="center"/>
              <w:rPr>
                <w:b/>
                <w:sz w:val="22"/>
                <w:szCs w:val="22"/>
                <w:lang w:val="en-GB"/>
              </w:rPr>
            </w:pPr>
          </w:p>
        </w:tc>
        <w:tc>
          <w:tcPr>
            <w:tcW w:w="518" w:type="pct"/>
            <w:tcBorders>
              <w:top w:val="single" w:sz="4" w:space="0" w:color="auto"/>
              <w:bottom w:val="single" w:sz="4" w:space="0" w:color="auto"/>
            </w:tcBorders>
          </w:tcPr>
          <w:p w14:paraId="63E34DEB" w14:textId="77777777" w:rsidR="001F6AA8" w:rsidRPr="0031164B" w:rsidRDefault="001F6AA8" w:rsidP="001F6AA8">
            <w:pPr>
              <w:pStyle w:val="boxesBOLDCENTRE"/>
              <w:rPr>
                <w:rFonts w:ascii="Times New Roman" w:hAnsi="Times New Roman"/>
                <w:szCs w:val="22"/>
                <w:lang w:val="en-GB"/>
              </w:rPr>
            </w:pPr>
          </w:p>
        </w:tc>
        <w:tc>
          <w:tcPr>
            <w:tcW w:w="259" w:type="pct"/>
            <w:tcBorders>
              <w:top w:val="single" w:sz="4" w:space="0" w:color="auto"/>
              <w:bottom w:val="single" w:sz="4" w:space="0" w:color="auto"/>
            </w:tcBorders>
          </w:tcPr>
          <w:p w14:paraId="63E34DEC" w14:textId="77777777" w:rsidR="001F6AA8" w:rsidRPr="0031164B" w:rsidRDefault="001F6AA8" w:rsidP="001F6AA8">
            <w:pPr>
              <w:pStyle w:val="boxesBOLDCENTRE"/>
              <w:rPr>
                <w:rFonts w:ascii="Times New Roman" w:hAnsi="Times New Roman"/>
                <w:szCs w:val="22"/>
                <w:lang w:val="en-GB"/>
              </w:rPr>
            </w:pPr>
          </w:p>
        </w:tc>
        <w:tc>
          <w:tcPr>
            <w:tcW w:w="345" w:type="pct"/>
            <w:tcBorders>
              <w:top w:val="single" w:sz="4" w:space="0" w:color="auto"/>
              <w:bottom w:val="single" w:sz="4" w:space="0" w:color="auto"/>
            </w:tcBorders>
          </w:tcPr>
          <w:p w14:paraId="63E34DED" w14:textId="77777777" w:rsidR="001F6AA8" w:rsidRPr="0031164B" w:rsidRDefault="00CA50DA" w:rsidP="001F6AA8">
            <w:pPr>
              <w:pStyle w:val="boxesBOLDCENTRE"/>
              <w:rPr>
                <w:rFonts w:ascii="Times New Roman" w:hAnsi="Times New Roman"/>
                <w:szCs w:val="22"/>
                <w:lang w:val="en-GB"/>
              </w:rPr>
            </w:pPr>
            <w:r w:rsidRPr="0031164B">
              <w:rPr>
                <w:rFonts w:ascii="Times New Roman" w:hAnsi="Times New Roman"/>
                <w:szCs w:val="22"/>
                <w:lang w:val="en-GB"/>
              </w:rPr>
              <w:t>X</w:t>
            </w:r>
          </w:p>
        </w:tc>
      </w:tr>
      <w:tr w:rsidR="00205626" w:rsidRPr="0031164B" w14:paraId="63E34DF5" w14:textId="77777777" w:rsidTr="00E85586">
        <w:trPr>
          <w:trHeight w:val="989"/>
          <w:jc w:val="center"/>
        </w:trPr>
        <w:tc>
          <w:tcPr>
            <w:tcW w:w="337" w:type="pct"/>
            <w:tcBorders>
              <w:bottom w:val="single" w:sz="4" w:space="0" w:color="auto"/>
            </w:tcBorders>
          </w:tcPr>
          <w:p w14:paraId="63E34DEF" w14:textId="77777777" w:rsidR="001F0D3F" w:rsidRPr="0031164B" w:rsidRDefault="001F0D3F" w:rsidP="008A5C23">
            <w:pPr>
              <w:pStyle w:val="Odstavecseseznamem"/>
              <w:numPr>
                <w:ilvl w:val="0"/>
                <w:numId w:val="18"/>
              </w:numPr>
              <w:rPr>
                <w:lang w:val="en-GB"/>
              </w:rPr>
            </w:pPr>
          </w:p>
        </w:tc>
        <w:tc>
          <w:tcPr>
            <w:tcW w:w="3153" w:type="pct"/>
            <w:tcBorders>
              <w:bottom w:val="single" w:sz="4" w:space="0" w:color="auto"/>
            </w:tcBorders>
          </w:tcPr>
          <w:p w14:paraId="63E34DF0" w14:textId="77777777" w:rsidR="001F0D3F" w:rsidRPr="0031164B" w:rsidRDefault="00CA50DA" w:rsidP="000E6C13">
            <w:pPr>
              <w:jc w:val="both"/>
              <w:rPr>
                <w:sz w:val="22"/>
                <w:szCs w:val="22"/>
                <w:lang w:val="en-GB"/>
              </w:rPr>
            </w:pPr>
            <w:r w:rsidRPr="0031164B">
              <w:rPr>
                <w:sz w:val="22"/>
                <w:szCs w:val="22"/>
                <w:lang w:val="en-GB"/>
              </w:rPr>
              <w:t>Zajistit přístup k multidisciplinárnímu týmu, který bude schopen řešit pacienty se syndromem uvolňování cytokinů a neurotoxicitou, včetně přístupu k potřebnému vybavení (např. jednotka intenzivní péče, magnetická rezonance).</w:t>
            </w:r>
          </w:p>
        </w:tc>
        <w:tc>
          <w:tcPr>
            <w:tcW w:w="388" w:type="pct"/>
            <w:tcBorders>
              <w:bottom w:val="single" w:sz="4" w:space="0" w:color="auto"/>
            </w:tcBorders>
          </w:tcPr>
          <w:p w14:paraId="63E34DF1" w14:textId="77777777" w:rsidR="001F0D3F" w:rsidRPr="0031164B" w:rsidRDefault="001F0D3F" w:rsidP="001F0D3F">
            <w:pPr>
              <w:jc w:val="center"/>
              <w:rPr>
                <w:b/>
                <w:sz w:val="22"/>
                <w:szCs w:val="22"/>
                <w:lang w:val="en-GB"/>
              </w:rPr>
            </w:pPr>
          </w:p>
        </w:tc>
        <w:tc>
          <w:tcPr>
            <w:tcW w:w="518" w:type="pct"/>
            <w:tcBorders>
              <w:bottom w:val="single" w:sz="4" w:space="0" w:color="auto"/>
            </w:tcBorders>
          </w:tcPr>
          <w:p w14:paraId="63E34DF2" w14:textId="77777777" w:rsidR="001F0D3F" w:rsidRPr="0031164B" w:rsidRDefault="001F0D3F" w:rsidP="001F0D3F">
            <w:pPr>
              <w:jc w:val="center"/>
              <w:rPr>
                <w:b/>
                <w:sz w:val="22"/>
                <w:szCs w:val="22"/>
                <w:lang w:val="en-GB"/>
              </w:rPr>
            </w:pPr>
          </w:p>
        </w:tc>
        <w:tc>
          <w:tcPr>
            <w:tcW w:w="259" w:type="pct"/>
            <w:tcBorders>
              <w:bottom w:val="single" w:sz="4" w:space="0" w:color="auto"/>
            </w:tcBorders>
          </w:tcPr>
          <w:p w14:paraId="63E34DF3" w14:textId="77777777" w:rsidR="001F0D3F" w:rsidRPr="0031164B" w:rsidRDefault="001F0D3F" w:rsidP="001F0D3F">
            <w:pPr>
              <w:jc w:val="center"/>
              <w:rPr>
                <w:b/>
                <w:sz w:val="22"/>
                <w:szCs w:val="22"/>
                <w:lang w:val="en-GB"/>
              </w:rPr>
            </w:pPr>
          </w:p>
        </w:tc>
        <w:tc>
          <w:tcPr>
            <w:tcW w:w="345" w:type="pct"/>
            <w:tcBorders>
              <w:bottom w:val="single" w:sz="4" w:space="0" w:color="auto"/>
            </w:tcBorders>
          </w:tcPr>
          <w:p w14:paraId="63E34DF4" w14:textId="77777777" w:rsidR="001F0D3F" w:rsidRPr="0031164B" w:rsidRDefault="00CA50DA" w:rsidP="001F0D3F">
            <w:pPr>
              <w:jc w:val="center"/>
              <w:rPr>
                <w:b/>
                <w:sz w:val="22"/>
                <w:szCs w:val="22"/>
                <w:lang w:val="en-GB"/>
              </w:rPr>
            </w:pPr>
            <w:r w:rsidRPr="0031164B">
              <w:rPr>
                <w:sz w:val="22"/>
                <w:szCs w:val="22"/>
                <w:lang w:val="en-GB"/>
              </w:rPr>
              <w:t>X</w:t>
            </w:r>
          </w:p>
        </w:tc>
      </w:tr>
      <w:tr w:rsidR="00205626" w:rsidRPr="0031164B" w14:paraId="63E34DFC" w14:textId="77777777" w:rsidTr="00E85586">
        <w:trPr>
          <w:trHeight w:val="1655"/>
          <w:jc w:val="center"/>
        </w:trPr>
        <w:tc>
          <w:tcPr>
            <w:tcW w:w="337" w:type="pct"/>
            <w:tcBorders>
              <w:bottom w:val="single" w:sz="4" w:space="0" w:color="auto"/>
            </w:tcBorders>
          </w:tcPr>
          <w:p w14:paraId="63E34DF6" w14:textId="77777777" w:rsidR="001F0D3F" w:rsidRPr="0031164B" w:rsidRDefault="001F0D3F" w:rsidP="008A5C23">
            <w:pPr>
              <w:pStyle w:val="Odstavecseseznamem"/>
              <w:numPr>
                <w:ilvl w:val="0"/>
                <w:numId w:val="18"/>
              </w:numPr>
              <w:rPr>
                <w:lang w:val="en-GB"/>
              </w:rPr>
            </w:pPr>
          </w:p>
        </w:tc>
        <w:tc>
          <w:tcPr>
            <w:tcW w:w="3153" w:type="pct"/>
            <w:tcBorders>
              <w:bottom w:val="single" w:sz="4" w:space="0" w:color="auto"/>
            </w:tcBorders>
          </w:tcPr>
          <w:p w14:paraId="63E34DF7" w14:textId="77777777" w:rsidR="001F0D3F" w:rsidRPr="0031164B" w:rsidRDefault="00CA50DA" w:rsidP="000E6C13">
            <w:pPr>
              <w:pStyle w:val="Bezmezer"/>
              <w:jc w:val="both"/>
              <w:rPr>
                <w:rFonts w:ascii="Times New Roman" w:hAnsi="Times New Roman"/>
                <w:sz w:val="22"/>
                <w:szCs w:val="22"/>
                <w:lang w:val="en-GB"/>
              </w:rPr>
            </w:pPr>
            <w:r w:rsidRPr="0031164B">
              <w:rPr>
                <w:rFonts w:ascii="Times New Roman" w:hAnsi="Times New Roman"/>
                <w:sz w:val="22"/>
                <w:szCs w:val="22"/>
                <w:lang w:val="en-GB"/>
              </w:rPr>
              <w:t>Zajistit dokumentovaný přístup k tocilizumabu na místě pro každého pacienta před podáním ATMP, na který se vztahuje tato smlouva, a přístup k dalším dávkám tocilizumabu, jak je uvedeno v příslušném aRMM. Ve výjimečném případě, kdy tocilizumab není dostupný kvůli nedostatku uvedenému v katalogu nedostatků EMA, musí být na místě dostupná vhodná alternativní opatření k léčbě CRS místo tocilizumabu.</w:t>
            </w:r>
          </w:p>
        </w:tc>
        <w:tc>
          <w:tcPr>
            <w:tcW w:w="388" w:type="pct"/>
            <w:tcBorders>
              <w:bottom w:val="single" w:sz="4" w:space="0" w:color="auto"/>
            </w:tcBorders>
          </w:tcPr>
          <w:p w14:paraId="63E34DF8" w14:textId="77777777" w:rsidR="001F0D3F" w:rsidRPr="0031164B" w:rsidRDefault="001F0D3F" w:rsidP="001F0D3F">
            <w:pPr>
              <w:jc w:val="center"/>
              <w:rPr>
                <w:b/>
                <w:sz w:val="22"/>
                <w:szCs w:val="22"/>
                <w:lang w:val="en-GB"/>
              </w:rPr>
            </w:pPr>
          </w:p>
        </w:tc>
        <w:tc>
          <w:tcPr>
            <w:tcW w:w="518" w:type="pct"/>
            <w:tcBorders>
              <w:bottom w:val="single" w:sz="4" w:space="0" w:color="auto"/>
            </w:tcBorders>
          </w:tcPr>
          <w:p w14:paraId="63E34DF9" w14:textId="77777777" w:rsidR="001F0D3F" w:rsidRPr="0031164B" w:rsidRDefault="001F0D3F" w:rsidP="001F0D3F">
            <w:pPr>
              <w:jc w:val="center"/>
              <w:rPr>
                <w:b/>
                <w:sz w:val="22"/>
                <w:szCs w:val="22"/>
                <w:lang w:val="en-GB"/>
              </w:rPr>
            </w:pPr>
          </w:p>
        </w:tc>
        <w:tc>
          <w:tcPr>
            <w:tcW w:w="259" w:type="pct"/>
            <w:tcBorders>
              <w:bottom w:val="single" w:sz="4" w:space="0" w:color="auto"/>
            </w:tcBorders>
          </w:tcPr>
          <w:p w14:paraId="63E34DFA" w14:textId="77777777" w:rsidR="001F0D3F" w:rsidRPr="0031164B" w:rsidRDefault="00CA50DA" w:rsidP="001F0D3F">
            <w:pPr>
              <w:jc w:val="center"/>
              <w:rPr>
                <w:b/>
                <w:sz w:val="22"/>
                <w:szCs w:val="22"/>
                <w:lang w:val="en-GB"/>
              </w:rPr>
            </w:pPr>
            <w:r w:rsidRPr="0031164B">
              <w:rPr>
                <w:b/>
                <w:sz w:val="22"/>
                <w:szCs w:val="22"/>
                <w:lang w:val="en-GB"/>
              </w:rPr>
              <w:t>X</w:t>
            </w:r>
          </w:p>
        </w:tc>
        <w:tc>
          <w:tcPr>
            <w:tcW w:w="345" w:type="pct"/>
            <w:tcBorders>
              <w:bottom w:val="single" w:sz="4" w:space="0" w:color="auto"/>
            </w:tcBorders>
          </w:tcPr>
          <w:p w14:paraId="63E34DFB" w14:textId="77777777" w:rsidR="001F0D3F" w:rsidRPr="0031164B" w:rsidRDefault="00CA50DA" w:rsidP="001F0D3F">
            <w:pPr>
              <w:jc w:val="center"/>
              <w:rPr>
                <w:b/>
                <w:sz w:val="22"/>
                <w:szCs w:val="22"/>
                <w:lang w:val="en-GB"/>
              </w:rPr>
            </w:pPr>
            <w:r w:rsidRPr="0031164B">
              <w:rPr>
                <w:b/>
                <w:sz w:val="22"/>
                <w:szCs w:val="22"/>
                <w:lang w:val="en-GB"/>
              </w:rPr>
              <w:t>X</w:t>
            </w:r>
          </w:p>
        </w:tc>
      </w:tr>
      <w:tr w:rsidR="00205626" w:rsidRPr="0031164B" w14:paraId="63E34E03" w14:textId="77777777" w:rsidTr="00E85586">
        <w:trPr>
          <w:trHeight w:val="746"/>
          <w:jc w:val="center"/>
        </w:trPr>
        <w:tc>
          <w:tcPr>
            <w:tcW w:w="337" w:type="pct"/>
            <w:tcBorders>
              <w:bottom w:val="single" w:sz="4" w:space="0" w:color="auto"/>
            </w:tcBorders>
          </w:tcPr>
          <w:p w14:paraId="63E34DFD" w14:textId="77777777" w:rsidR="001636A6" w:rsidRPr="0031164B" w:rsidRDefault="001636A6" w:rsidP="008A5C23">
            <w:pPr>
              <w:pStyle w:val="Odstavecseseznamem"/>
              <w:numPr>
                <w:ilvl w:val="0"/>
                <w:numId w:val="18"/>
              </w:numPr>
              <w:rPr>
                <w:lang w:val="en-GB"/>
              </w:rPr>
            </w:pPr>
          </w:p>
        </w:tc>
        <w:tc>
          <w:tcPr>
            <w:tcW w:w="3153" w:type="pct"/>
            <w:tcBorders>
              <w:bottom w:val="single" w:sz="4" w:space="0" w:color="auto"/>
            </w:tcBorders>
          </w:tcPr>
          <w:p w14:paraId="63E34DFE" w14:textId="77777777" w:rsidR="001636A6" w:rsidRPr="0031164B" w:rsidRDefault="00CA50DA" w:rsidP="000E6C13">
            <w:pPr>
              <w:pStyle w:val="Bezmezer"/>
              <w:jc w:val="both"/>
              <w:rPr>
                <w:rFonts w:ascii="Times New Roman" w:hAnsi="Times New Roman"/>
                <w:sz w:val="22"/>
                <w:szCs w:val="22"/>
                <w:lang w:val="en-GB"/>
              </w:rPr>
            </w:pPr>
            <w:r w:rsidRPr="0031164B">
              <w:rPr>
                <w:rFonts w:ascii="Times New Roman" w:hAnsi="Times New Roman"/>
                <w:sz w:val="22"/>
                <w:szCs w:val="22"/>
                <w:lang w:val="en-GB"/>
              </w:rPr>
              <w:t>Zajistit, aby byla před podáním ATMP, na který se vztahuje tato smlouva, dodržena zásada čtyř očí.</w:t>
            </w:r>
            <w:r w:rsidRPr="0031164B">
              <w:rPr>
                <w:sz w:val="22"/>
                <w:szCs w:val="22"/>
                <w:lang w:val="en-GB"/>
              </w:rPr>
              <w:t xml:space="preserve"> </w:t>
            </w:r>
          </w:p>
        </w:tc>
        <w:tc>
          <w:tcPr>
            <w:tcW w:w="388" w:type="pct"/>
            <w:tcBorders>
              <w:bottom w:val="single" w:sz="4" w:space="0" w:color="auto"/>
            </w:tcBorders>
          </w:tcPr>
          <w:p w14:paraId="63E34DFF" w14:textId="77777777" w:rsidR="001636A6" w:rsidRPr="0031164B" w:rsidRDefault="001636A6" w:rsidP="001636A6">
            <w:pPr>
              <w:jc w:val="center"/>
              <w:rPr>
                <w:b/>
                <w:sz w:val="22"/>
                <w:szCs w:val="22"/>
                <w:lang w:val="en-GB"/>
              </w:rPr>
            </w:pPr>
          </w:p>
        </w:tc>
        <w:tc>
          <w:tcPr>
            <w:tcW w:w="518" w:type="pct"/>
            <w:tcBorders>
              <w:bottom w:val="single" w:sz="4" w:space="0" w:color="auto"/>
            </w:tcBorders>
          </w:tcPr>
          <w:p w14:paraId="63E34E00" w14:textId="77777777" w:rsidR="001636A6" w:rsidRPr="0031164B" w:rsidRDefault="001636A6" w:rsidP="001636A6">
            <w:pPr>
              <w:jc w:val="center"/>
              <w:rPr>
                <w:b/>
                <w:sz w:val="22"/>
                <w:szCs w:val="22"/>
                <w:lang w:val="en-GB"/>
              </w:rPr>
            </w:pPr>
          </w:p>
        </w:tc>
        <w:tc>
          <w:tcPr>
            <w:tcW w:w="259" w:type="pct"/>
            <w:tcBorders>
              <w:bottom w:val="single" w:sz="4" w:space="0" w:color="auto"/>
            </w:tcBorders>
          </w:tcPr>
          <w:p w14:paraId="63E34E01" w14:textId="77777777" w:rsidR="001636A6" w:rsidRPr="0031164B" w:rsidRDefault="001636A6" w:rsidP="001636A6">
            <w:pPr>
              <w:jc w:val="center"/>
              <w:rPr>
                <w:b/>
                <w:sz w:val="22"/>
                <w:szCs w:val="22"/>
                <w:lang w:val="en-GB"/>
              </w:rPr>
            </w:pPr>
          </w:p>
        </w:tc>
        <w:tc>
          <w:tcPr>
            <w:tcW w:w="345" w:type="pct"/>
            <w:tcBorders>
              <w:bottom w:val="single" w:sz="4" w:space="0" w:color="auto"/>
            </w:tcBorders>
          </w:tcPr>
          <w:p w14:paraId="63E34E02" w14:textId="77777777" w:rsidR="001636A6" w:rsidRPr="0031164B" w:rsidRDefault="00CA50DA" w:rsidP="001636A6">
            <w:pPr>
              <w:jc w:val="center"/>
              <w:rPr>
                <w:b/>
                <w:sz w:val="22"/>
                <w:szCs w:val="22"/>
                <w:lang w:val="en-GB"/>
              </w:rPr>
            </w:pPr>
            <w:r w:rsidRPr="0031164B">
              <w:rPr>
                <w:b/>
                <w:sz w:val="22"/>
                <w:szCs w:val="22"/>
                <w:lang w:val="en-GB"/>
              </w:rPr>
              <w:t>-X</w:t>
            </w:r>
          </w:p>
        </w:tc>
      </w:tr>
      <w:tr w:rsidR="00205626" w:rsidRPr="0031164B" w14:paraId="63E34E0A" w14:textId="77777777" w:rsidTr="00E85586">
        <w:trPr>
          <w:trHeight w:val="1052"/>
          <w:jc w:val="center"/>
        </w:trPr>
        <w:tc>
          <w:tcPr>
            <w:tcW w:w="337" w:type="pct"/>
            <w:tcBorders>
              <w:top w:val="single" w:sz="4" w:space="0" w:color="auto"/>
              <w:bottom w:val="single" w:sz="4" w:space="0" w:color="auto"/>
            </w:tcBorders>
          </w:tcPr>
          <w:p w14:paraId="63E34E04" w14:textId="77777777" w:rsidR="001636A6" w:rsidRPr="0031164B" w:rsidRDefault="001636A6" w:rsidP="008A5C23">
            <w:pPr>
              <w:pStyle w:val="Odstavecseseznamem"/>
              <w:numPr>
                <w:ilvl w:val="0"/>
                <w:numId w:val="18"/>
              </w:numPr>
              <w:rPr>
                <w:rFonts w:ascii="Times New Roman" w:eastAsia="Times New Roman" w:hAnsi="Times New Roman" w:cs="Times New Roman"/>
                <w:lang w:val="en-GB" w:eastAsia="ja-JP"/>
              </w:rPr>
            </w:pPr>
          </w:p>
        </w:tc>
        <w:tc>
          <w:tcPr>
            <w:tcW w:w="3153" w:type="pct"/>
            <w:tcBorders>
              <w:top w:val="single" w:sz="4" w:space="0" w:color="auto"/>
              <w:bottom w:val="single" w:sz="4" w:space="0" w:color="auto"/>
            </w:tcBorders>
          </w:tcPr>
          <w:p w14:paraId="63E34E05" w14:textId="77777777" w:rsidR="001636A6" w:rsidRPr="0031164B" w:rsidRDefault="00CA50DA" w:rsidP="000E6C13">
            <w:pPr>
              <w:jc w:val="both"/>
              <w:rPr>
                <w:sz w:val="22"/>
                <w:szCs w:val="22"/>
                <w:lang w:val="en-GB"/>
              </w:rPr>
            </w:pPr>
            <w:r w:rsidRPr="0031164B">
              <w:rPr>
                <w:sz w:val="22"/>
                <w:szCs w:val="22"/>
                <w:lang w:val="en-GB"/>
              </w:rPr>
              <w:t>Zajistit, aby ATMP předepisovali, vydávali a podávali pouze zdravotničtí pracovníci, kteří byli vybaveni vzdělávacími nástroji, a aby tito nad léčenými pacienty vykonávali lékařský dohled.</w:t>
            </w:r>
          </w:p>
        </w:tc>
        <w:tc>
          <w:tcPr>
            <w:tcW w:w="388" w:type="pct"/>
            <w:tcBorders>
              <w:top w:val="single" w:sz="4" w:space="0" w:color="auto"/>
              <w:bottom w:val="single" w:sz="4" w:space="0" w:color="auto"/>
            </w:tcBorders>
          </w:tcPr>
          <w:p w14:paraId="63E34E06" w14:textId="77777777" w:rsidR="001636A6" w:rsidRPr="0031164B" w:rsidRDefault="001636A6" w:rsidP="001636A6">
            <w:pPr>
              <w:pStyle w:val="Nadpis2"/>
              <w:rPr>
                <w:rFonts w:ascii="Times New Roman" w:eastAsia="Times New Roman" w:hAnsi="Times New Roman" w:cs="Times New Roman"/>
                <w:color w:val="auto"/>
                <w:sz w:val="22"/>
                <w:szCs w:val="22"/>
                <w:lang w:val="en-GB"/>
              </w:rPr>
            </w:pPr>
          </w:p>
        </w:tc>
        <w:tc>
          <w:tcPr>
            <w:tcW w:w="518" w:type="pct"/>
            <w:tcBorders>
              <w:top w:val="single" w:sz="4" w:space="0" w:color="auto"/>
              <w:bottom w:val="single" w:sz="4" w:space="0" w:color="auto"/>
            </w:tcBorders>
          </w:tcPr>
          <w:p w14:paraId="63E34E07" w14:textId="77777777" w:rsidR="001636A6" w:rsidRPr="0031164B" w:rsidRDefault="00CA50DA" w:rsidP="001636A6">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c>
          <w:tcPr>
            <w:tcW w:w="259" w:type="pct"/>
            <w:tcBorders>
              <w:top w:val="single" w:sz="4" w:space="0" w:color="auto"/>
              <w:bottom w:val="single" w:sz="4" w:space="0" w:color="auto"/>
            </w:tcBorders>
          </w:tcPr>
          <w:p w14:paraId="63E34E08" w14:textId="77777777" w:rsidR="001636A6" w:rsidRPr="0031164B" w:rsidRDefault="00CA50DA" w:rsidP="001636A6">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c>
          <w:tcPr>
            <w:tcW w:w="345" w:type="pct"/>
            <w:tcBorders>
              <w:top w:val="single" w:sz="4" w:space="0" w:color="auto"/>
              <w:bottom w:val="single" w:sz="4" w:space="0" w:color="auto"/>
            </w:tcBorders>
          </w:tcPr>
          <w:p w14:paraId="63E34E09" w14:textId="77777777" w:rsidR="001636A6" w:rsidRPr="0031164B" w:rsidRDefault="00CA50DA" w:rsidP="001636A6">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r>
      <w:tr w:rsidR="00205626" w:rsidRPr="0031164B" w14:paraId="63E34E11" w14:textId="77777777" w:rsidTr="00E85586">
        <w:trPr>
          <w:trHeight w:val="953"/>
          <w:jc w:val="center"/>
        </w:trPr>
        <w:tc>
          <w:tcPr>
            <w:tcW w:w="337" w:type="pct"/>
            <w:tcBorders>
              <w:top w:val="single" w:sz="4" w:space="0" w:color="auto"/>
            </w:tcBorders>
          </w:tcPr>
          <w:p w14:paraId="63E34E0B" w14:textId="77777777" w:rsidR="001636A6" w:rsidRPr="0031164B" w:rsidRDefault="001636A6" w:rsidP="008A5C23">
            <w:pPr>
              <w:pStyle w:val="Odstavecseseznamem"/>
              <w:numPr>
                <w:ilvl w:val="0"/>
                <w:numId w:val="18"/>
              </w:numPr>
              <w:rPr>
                <w:lang w:val="en-GB"/>
              </w:rPr>
            </w:pPr>
          </w:p>
        </w:tc>
        <w:tc>
          <w:tcPr>
            <w:tcW w:w="3153" w:type="pct"/>
            <w:tcBorders>
              <w:top w:val="single" w:sz="4" w:space="0" w:color="auto"/>
            </w:tcBorders>
          </w:tcPr>
          <w:p w14:paraId="63E34E0C" w14:textId="77777777" w:rsidR="001636A6" w:rsidRPr="0031164B" w:rsidRDefault="00CA50DA" w:rsidP="00056418">
            <w:pPr>
              <w:jc w:val="both"/>
              <w:rPr>
                <w:sz w:val="22"/>
                <w:szCs w:val="22"/>
                <w:lang w:val="en-GB"/>
              </w:rPr>
            </w:pPr>
            <w:r w:rsidRPr="0031164B">
              <w:rPr>
                <w:sz w:val="22"/>
                <w:szCs w:val="22"/>
                <w:lang w:val="en-GB"/>
              </w:rPr>
              <w:t xml:space="preserve">Zodpovídá za nástup jmenovaného zástupce PMR na pracovišti, který je zodpovědný za poskytování vzdělávacích nástrojů aRMM příslušným pracovníkům na pracovišti. </w:t>
            </w:r>
          </w:p>
        </w:tc>
        <w:tc>
          <w:tcPr>
            <w:tcW w:w="388" w:type="pct"/>
            <w:tcBorders>
              <w:top w:val="single" w:sz="4" w:space="0" w:color="auto"/>
            </w:tcBorders>
          </w:tcPr>
          <w:p w14:paraId="63E34E0D"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518" w:type="pct"/>
            <w:tcBorders>
              <w:top w:val="single" w:sz="4" w:space="0" w:color="auto"/>
            </w:tcBorders>
          </w:tcPr>
          <w:p w14:paraId="63E34E0E"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63E34E0F"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63E34E10" w14:textId="77777777" w:rsidR="001636A6" w:rsidRPr="0031164B" w:rsidRDefault="00CA50DA" w:rsidP="001636A6">
            <w:pPr>
              <w:jc w:val="center"/>
              <w:rPr>
                <w:b/>
                <w:caps/>
                <w:sz w:val="22"/>
                <w:szCs w:val="22"/>
                <w:lang w:val="en-GB"/>
              </w:rPr>
            </w:pPr>
            <w:r w:rsidRPr="0031164B">
              <w:rPr>
                <w:b/>
                <w:caps/>
                <w:sz w:val="22"/>
                <w:szCs w:val="22"/>
                <w:lang w:val="en-GB"/>
              </w:rPr>
              <w:t>X</w:t>
            </w:r>
          </w:p>
        </w:tc>
      </w:tr>
      <w:tr w:rsidR="00205626" w:rsidRPr="0031164B" w14:paraId="63E34E18" w14:textId="77777777" w:rsidTr="00E85586">
        <w:trPr>
          <w:trHeight w:val="665"/>
          <w:jc w:val="center"/>
        </w:trPr>
        <w:tc>
          <w:tcPr>
            <w:tcW w:w="337" w:type="pct"/>
            <w:tcBorders>
              <w:top w:val="single" w:sz="4" w:space="0" w:color="auto"/>
            </w:tcBorders>
          </w:tcPr>
          <w:p w14:paraId="63E34E12" w14:textId="77777777" w:rsidR="001636A6" w:rsidRPr="0031164B" w:rsidRDefault="001636A6" w:rsidP="008A5C23">
            <w:pPr>
              <w:pStyle w:val="Odstavecseseznamem"/>
              <w:numPr>
                <w:ilvl w:val="0"/>
                <w:numId w:val="18"/>
              </w:numPr>
              <w:rPr>
                <w:lang w:val="en-GB"/>
              </w:rPr>
            </w:pPr>
          </w:p>
        </w:tc>
        <w:tc>
          <w:tcPr>
            <w:tcW w:w="3153" w:type="pct"/>
            <w:tcBorders>
              <w:top w:val="single" w:sz="4" w:space="0" w:color="auto"/>
            </w:tcBorders>
          </w:tcPr>
          <w:p w14:paraId="63E34E13" w14:textId="77777777" w:rsidR="001636A6" w:rsidRPr="0031164B" w:rsidRDefault="00CA50DA" w:rsidP="000E6C13">
            <w:pPr>
              <w:jc w:val="both"/>
              <w:rPr>
                <w:sz w:val="22"/>
                <w:szCs w:val="22"/>
                <w:lang w:val="en-GB"/>
              </w:rPr>
            </w:pPr>
            <w:r w:rsidRPr="0031164B">
              <w:rPr>
                <w:sz w:val="22"/>
                <w:szCs w:val="22"/>
                <w:lang w:val="en-GB"/>
              </w:rPr>
              <w:t>Zodpovídá za školení příslušných pracovníků o nutnosti používat vzdělávací nástroje aRMM, včetně nutnosti předat kartu pacienta každému pacientovi na pracovišti.</w:t>
            </w:r>
          </w:p>
        </w:tc>
        <w:tc>
          <w:tcPr>
            <w:tcW w:w="388" w:type="pct"/>
            <w:tcBorders>
              <w:top w:val="single" w:sz="4" w:space="0" w:color="auto"/>
            </w:tcBorders>
          </w:tcPr>
          <w:p w14:paraId="63E34E14" w14:textId="77777777" w:rsidR="001636A6" w:rsidRPr="0031164B" w:rsidRDefault="001636A6" w:rsidP="001636A6">
            <w:pPr>
              <w:jc w:val="center"/>
              <w:rPr>
                <w:b/>
                <w:caps/>
                <w:sz w:val="22"/>
                <w:szCs w:val="22"/>
                <w:lang w:val="en-GB"/>
              </w:rPr>
            </w:pPr>
          </w:p>
        </w:tc>
        <w:tc>
          <w:tcPr>
            <w:tcW w:w="518" w:type="pct"/>
            <w:tcBorders>
              <w:top w:val="single" w:sz="4" w:space="0" w:color="auto"/>
            </w:tcBorders>
          </w:tcPr>
          <w:p w14:paraId="63E34E15"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63E34E16"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63E34E17" w14:textId="77777777" w:rsidR="001636A6" w:rsidRPr="0031164B" w:rsidRDefault="00CA50DA" w:rsidP="001636A6">
            <w:pPr>
              <w:jc w:val="center"/>
              <w:rPr>
                <w:b/>
                <w:caps/>
                <w:sz w:val="22"/>
                <w:szCs w:val="22"/>
                <w:lang w:val="en-GB"/>
              </w:rPr>
            </w:pPr>
            <w:r w:rsidRPr="0031164B">
              <w:rPr>
                <w:b/>
                <w:caps/>
                <w:sz w:val="22"/>
                <w:szCs w:val="22"/>
                <w:lang w:val="en-GB"/>
              </w:rPr>
              <w:t>X</w:t>
            </w:r>
          </w:p>
        </w:tc>
      </w:tr>
      <w:tr w:rsidR="00205626" w:rsidRPr="0031164B" w14:paraId="63E34E1F" w14:textId="77777777" w:rsidTr="00E85586">
        <w:trPr>
          <w:trHeight w:val="962"/>
          <w:jc w:val="center"/>
        </w:trPr>
        <w:tc>
          <w:tcPr>
            <w:tcW w:w="337" w:type="pct"/>
            <w:tcBorders>
              <w:top w:val="single" w:sz="4" w:space="0" w:color="auto"/>
            </w:tcBorders>
          </w:tcPr>
          <w:p w14:paraId="63E34E19" w14:textId="77777777" w:rsidR="001636A6" w:rsidRPr="0031164B" w:rsidRDefault="001636A6" w:rsidP="008A5C23">
            <w:pPr>
              <w:pStyle w:val="Odstavecseseznamem"/>
              <w:numPr>
                <w:ilvl w:val="0"/>
                <w:numId w:val="18"/>
              </w:numPr>
              <w:rPr>
                <w:lang w:val="en-GB"/>
              </w:rPr>
            </w:pPr>
          </w:p>
        </w:tc>
        <w:tc>
          <w:tcPr>
            <w:tcW w:w="3153" w:type="pct"/>
            <w:tcBorders>
              <w:top w:val="single" w:sz="4" w:space="0" w:color="auto"/>
            </w:tcBorders>
          </w:tcPr>
          <w:p w14:paraId="63E34E1A" w14:textId="77777777" w:rsidR="001636A6" w:rsidRPr="0031164B" w:rsidRDefault="00CA50DA" w:rsidP="000E6C13">
            <w:pPr>
              <w:jc w:val="both"/>
              <w:rPr>
                <w:sz w:val="22"/>
                <w:szCs w:val="22"/>
                <w:lang w:val="en-GB"/>
              </w:rPr>
            </w:pPr>
            <w:r w:rsidRPr="0031164B">
              <w:rPr>
                <w:sz w:val="22"/>
                <w:szCs w:val="22"/>
                <w:lang w:val="en-GB"/>
              </w:rPr>
              <w:t>Zajistit, aby byla pacientovi předána karta pacienta před podáním léku nebo při jeho podání a nejpozději při propuštění z nemocnice, a uchovávat dokumentaci pro každého pacienta o tom, že mu byla karta pacienta předána.</w:t>
            </w:r>
          </w:p>
        </w:tc>
        <w:tc>
          <w:tcPr>
            <w:tcW w:w="388" w:type="pct"/>
            <w:tcBorders>
              <w:top w:val="single" w:sz="4" w:space="0" w:color="auto"/>
            </w:tcBorders>
          </w:tcPr>
          <w:p w14:paraId="63E34E1B" w14:textId="77777777" w:rsidR="001636A6" w:rsidRPr="0031164B" w:rsidRDefault="001636A6" w:rsidP="001636A6">
            <w:pPr>
              <w:jc w:val="center"/>
              <w:rPr>
                <w:b/>
                <w:caps/>
                <w:sz w:val="22"/>
                <w:szCs w:val="22"/>
                <w:lang w:val="en-GB"/>
              </w:rPr>
            </w:pPr>
          </w:p>
        </w:tc>
        <w:tc>
          <w:tcPr>
            <w:tcW w:w="518" w:type="pct"/>
            <w:tcBorders>
              <w:top w:val="single" w:sz="4" w:space="0" w:color="auto"/>
            </w:tcBorders>
          </w:tcPr>
          <w:p w14:paraId="63E34E1C" w14:textId="77777777" w:rsidR="001636A6" w:rsidRPr="0031164B" w:rsidRDefault="001636A6" w:rsidP="001636A6">
            <w:pPr>
              <w:jc w:val="center"/>
              <w:rPr>
                <w:b/>
                <w:caps/>
                <w:sz w:val="22"/>
                <w:szCs w:val="22"/>
                <w:lang w:val="en-GB"/>
              </w:rPr>
            </w:pPr>
          </w:p>
        </w:tc>
        <w:tc>
          <w:tcPr>
            <w:tcW w:w="259" w:type="pct"/>
            <w:tcBorders>
              <w:top w:val="single" w:sz="4" w:space="0" w:color="auto"/>
            </w:tcBorders>
          </w:tcPr>
          <w:p w14:paraId="63E34E1D"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63E34E1E" w14:textId="77777777" w:rsidR="001636A6" w:rsidRPr="0031164B" w:rsidRDefault="00CA50DA" w:rsidP="001636A6">
            <w:pPr>
              <w:jc w:val="center"/>
              <w:rPr>
                <w:b/>
                <w:caps/>
                <w:sz w:val="22"/>
                <w:szCs w:val="22"/>
                <w:lang w:val="en-GB"/>
              </w:rPr>
            </w:pPr>
            <w:r w:rsidRPr="0031164B">
              <w:rPr>
                <w:b/>
                <w:caps/>
                <w:sz w:val="22"/>
                <w:szCs w:val="22"/>
                <w:lang w:val="en-GB"/>
              </w:rPr>
              <w:t>X</w:t>
            </w:r>
          </w:p>
        </w:tc>
      </w:tr>
      <w:tr w:rsidR="00205626" w:rsidRPr="0031164B" w14:paraId="63E34E26" w14:textId="77777777" w:rsidTr="00E85586">
        <w:trPr>
          <w:trHeight w:val="728"/>
          <w:jc w:val="center"/>
        </w:trPr>
        <w:tc>
          <w:tcPr>
            <w:tcW w:w="337" w:type="pct"/>
            <w:tcBorders>
              <w:top w:val="single" w:sz="4" w:space="0" w:color="auto"/>
            </w:tcBorders>
          </w:tcPr>
          <w:p w14:paraId="63E34E20" w14:textId="77777777" w:rsidR="001636A6" w:rsidRPr="0031164B" w:rsidRDefault="001636A6" w:rsidP="008A5C23">
            <w:pPr>
              <w:pStyle w:val="Odstavecseseznamem"/>
              <w:numPr>
                <w:ilvl w:val="0"/>
                <w:numId w:val="18"/>
              </w:numPr>
              <w:rPr>
                <w:lang w:val="en-GB"/>
              </w:rPr>
            </w:pPr>
          </w:p>
        </w:tc>
        <w:tc>
          <w:tcPr>
            <w:tcW w:w="3153" w:type="pct"/>
            <w:tcBorders>
              <w:top w:val="single" w:sz="4" w:space="0" w:color="auto"/>
            </w:tcBorders>
          </w:tcPr>
          <w:p w14:paraId="63E34E21" w14:textId="77777777" w:rsidR="001636A6" w:rsidRPr="0031164B" w:rsidRDefault="00CA50DA" w:rsidP="000E6C13">
            <w:pPr>
              <w:jc w:val="both"/>
              <w:rPr>
                <w:sz w:val="22"/>
                <w:szCs w:val="22"/>
                <w:lang w:val="en-GB"/>
              </w:rPr>
            </w:pPr>
            <w:r w:rsidRPr="0031164B">
              <w:rPr>
                <w:color w:val="000000"/>
                <w:sz w:val="22"/>
                <w:szCs w:val="22"/>
                <w:lang w:val="en-GB"/>
              </w:rPr>
              <w:t xml:space="preserve">V souladu s dokumentací GxP vést na pracovišti aktuální seznam zdravotnických pracovníků, kterým byly poskytnuty vzdělávací nástroje. </w:t>
            </w:r>
          </w:p>
        </w:tc>
        <w:tc>
          <w:tcPr>
            <w:tcW w:w="388" w:type="pct"/>
            <w:tcBorders>
              <w:top w:val="single" w:sz="4" w:space="0" w:color="auto"/>
            </w:tcBorders>
          </w:tcPr>
          <w:p w14:paraId="63E34E22" w14:textId="77777777" w:rsidR="001636A6" w:rsidRPr="0031164B" w:rsidRDefault="001636A6" w:rsidP="001636A6">
            <w:pPr>
              <w:jc w:val="center"/>
              <w:rPr>
                <w:b/>
                <w:caps/>
                <w:sz w:val="22"/>
                <w:szCs w:val="22"/>
                <w:lang w:val="en-GB"/>
              </w:rPr>
            </w:pPr>
          </w:p>
        </w:tc>
        <w:tc>
          <w:tcPr>
            <w:tcW w:w="518" w:type="pct"/>
            <w:tcBorders>
              <w:top w:val="single" w:sz="4" w:space="0" w:color="auto"/>
            </w:tcBorders>
          </w:tcPr>
          <w:p w14:paraId="63E34E23" w14:textId="2DD56533" w:rsidR="001636A6" w:rsidRPr="0031164B" w:rsidRDefault="00CA50DA" w:rsidP="001636A6">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63E34E24" w14:textId="77777777" w:rsidR="001636A6" w:rsidRPr="0031164B" w:rsidRDefault="00CA50DA" w:rsidP="001636A6">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63E34E25" w14:textId="77777777" w:rsidR="001636A6" w:rsidRPr="0031164B" w:rsidRDefault="00CA50DA" w:rsidP="001636A6">
            <w:pPr>
              <w:jc w:val="center"/>
              <w:rPr>
                <w:b/>
                <w:caps/>
                <w:sz w:val="22"/>
                <w:szCs w:val="22"/>
                <w:lang w:val="en-GB"/>
              </w:rPr>
            </w:pPr>
            <w:r w:rsidRPr="0031164B">
              <w:rPr>
                <w:b/>
                <w:caps/>
                <w:sz w:val="22"/>
                <w:szCs w:val="22"/>
                <w:lang w:val="en-GB"/>
              </w:rPr>
              <w:t>X</w:t>
            </w:r>
          </w:p>
        </w:tc>
      </w:tr>
      <w:tr w:rsidR="00205626" w:rsidRPr="0031164B" w14:paraId="63E34E2D" w14:textId="77777777" w:rsidTr="00E85586">
        <w:trPr>
          <w:trHeight w:val="845"/>
          <w:jc w:val="center"/>
        </w:trPr>
        <w:tc>
          <w:tcPr>
            <w:tcW w:w="337" w:type="pct"/>
            <w:tcBorders>
              <w:top w:val="single" w:sz="4" w:space="0" w:color="auto"/>
            </w:tcBorders>
          </w:tcPr>
          <w:p w14:paraId="63E34E27" w14:textId="77777777" w:rsidR="008B2CC1" w:rsidRPr="0031164B" w:rsidRDefault="00CA50DA" w:rsidP="008A5C23">
            <w:pPr>
              <w:pStyle w:val="Odstavecseseznamem"/>
              <w:numPr>
                <w:ilvl w:val="0"/>
                <w:numId w:val="18"/>
              </w:numPr>
              <w:rPr>
                <w:lang w:val="en-GB"/>
              </w:rPr>
            </w:pPr>
            <w:r w:rsidRPr="0031164B">
              <w:rPr>
                <w:lang w:val="en-GB"/>
              </w:rPr>
              <w:t xml:space="preserve"> </w:t>
            </w:r>
          </w:p>
        </w:tc>
        <w:tc>
          <w:tcPr>
            <w:tcW w:w="3153" w:type="pct"/>
            <w:tcBorders>
              <w:top w:val="single" w:sz="4" w:space="0" w:color="auto"/>
            </w:tcBorders>
          </w:tcPr>
          <w:p w14:paraId="63E34E28" w14:textId="77777777" w:rsidR="008B2CC1" w:rsidRPr="0031164B" w:rsidRDefault="00CA50DA" w:rsidP="000E6C13">
            <w:pPr>
              <w:jc w:val="both"/>
              <w:rPr>
                <w:sz w:val="22"/>
                <w:szCs w:val="22"/>
                <w:lang w:val="en-GB"/>
              </w:rPr>
            </w:pPr>
            <w:r w:rsidRPr="0031164B">
              <w:rPr>
                <w:sz w:val="22"/>
                <w:szCs w:val="22"/>
                <w:lang w:val="en-GB"/>
              </w:rPr>
              <w:t>Zajistit, aby byly zavedeny písemné postupy zahrnující požadavky programu minimalizace rizik.</w:t>
            </w:r>
          </w:p>
        </w:tc>
        <w:tc>
          <w:tcPr>
            <w:tcW w:w="388" w:type="pct"/>
            <w:tcBorders>
              <w:top w:val="single" w:sz="4" w:space="0" w:color="auto"/>
            </w:tcBorders>
          </w:tcPr>
          <w:p w14:paraId="63E34E29" w14:textId="77777777" w:rsidR="008B2CC1" w:rsidRPr="0031164B" w:rsidRDefault="008B2CC1" w:rsidP="008B2CC1">
            <w:pPr>
              <w:jc w:val="center"/>
              <w:rPr>
                <w:b/>
                <w:caps/>
                <w:sz w:val="22"/>
                <w:szCs w:val="22"/>
                <w:lang w:val="en-GB"/>
              </w:rPr>
            </w:pPr>
          </w:p>
        </w:tc>
        <w:tc>
          <w:tcPr>
            <w:tcW w:w="518" w:type="pct"/>
            <w:tcBorders>
              <w:top w:val="single" w:sz="4" w:space="0" w:color="auto"/>
            </w:tcBorders>
          </w:tcPr>
          <w:p w14:paraId="63E34E2A" w14:textId="77777777" w:rsidR="008B2CC1" w:rsidRPr="0031164B" w:rsidRDefault="008B2CC1" w:rsidP="008B2CC1">
            <w:pPr>
              <w:jc w:val="center"/>
              <w:rPr>
                <w:b/>
                <w:caps/>
                <w:sz w:val="22"/>
                <w:szCs w:val="22"/>
                <w:lang w:val="en-GB"/>
              </w:rPr>
            </w:pPr>
          </w:p>
        </w:tc>
        <w:tc>
          <w:tcPr>
            <w:tcW w:w="259" w:type="pct"/>
            <w:tcBorders>
              <w:top w:val="single" w:sz="4" w:space="0" w:color="auto"/>
            </w:tcBorders>
          </w:tcPr>
          <w:p w14:paraId="63E34E2B" w14:textId="77777777" w:rsidR="008B2CC1" w:rsidRPr="0031164B" w:rsidRDefault="008B2CC1" w:rsidP="008B2CC1">
            <w:pPr>
              <w:jc w:val="center"/>
              <w:rPr>
                <w:b/>
                <w:caps/>
                <w:sz w:val="22"/>
                <w:szCs w:val="22"/>
                <w:lang w:val="en-GB"/>
              </w:rPr>
            </w:pPr>
          </w:p>
        </w:tc>
        <w:tc>
          <w:tcPr>
            <w:tcW w:w="345" w:type="pct"/>
            <w:tcBorders>
              <w:top w:val="single" w:sz="4" w:space="0" w:color="auto"/>
            </w:tcBorders>
          </w:tcPr>
          <w:p w14:paraId="63E34E2C" w14:textId="77777777" w:rsidR="008B2CC1" w:rsidRPr="0031164B" w:rsidRDefault="00CA50DA" w:rsidP="008B2CC1">
            <w:pPr>
              <w:jc w:val="center"/>
              <w:rPr>
                <w:b/>
                <w:caps/>
                <w:sz w:val="22"/>
                <w:szCs w:val="22"/>
                <w:lang w:val="en-GB"/>
              </w:rPr>
            </w:pPr>
            <w:r w:rsidRPr="0031164B">
              <w:rPr>
                <w:b/>
                <w:caps/>
                <w:sz w:val="22"/>
                <w:szCs w:val="22"/>
                <w:lang w:val="en-GB"/>
              </w:rPr>
              <w:t>X</w:t>
            </w:r>
          </w:p>
        </w:tc>
      </w:tr>
      <w:bookmarkEnd w:id="282"/>
      <w:bookmarkEnd w:id="283"/>
    </w:tbl>
    <w:p w14:paraId="63E34E2E" w14:textId="77777777" w:rsidR="003543BD" w:rsidRPr="0031164B" w:rsidRDefault="003543BD" w:rsidP="003C6972">
      <w:pPr>
        <w:pStyle w:val="Titulek"/>
        <w:rPr>
          <w:rFonts w:ascii="Arial" w:hAnsi="Arial" w:cs="Arial"/>
          <w:lang w:val="en-GB"/>
        </w:rPr>
      </w:pPr>
    </w:p>
    <w:tbl>
      <w:tblPr>
        <w:tblW w:w="48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3"/>
        <w:gridCol w:w="6574"/>
        <w:gridCol w:w="809"/>
        <w:gridCol w:w="1080"/>
        <w:gridCol w:w="540"/>
        <w:gridCol w:w="719"/>
      </w:tblGrid>
      <w:tr w:rsidR="00186A79" w:rsidRPr="0031164B" w14:paraId="6C8D6F0E" w14:textId="77777777" w:rsidTr="00D23897">
        <w:trPr>
          <w:trHeight w:val="555"/>
          <w:tblHeader/>
          <w:jc w:val="center"/>
        </w:trPr>
        <w:tc>
          <w:tcPr>
            <w:tcW w:w="337" w:type="pct"/>
            <w:tcBorders>
              <w:bottom w:val="nil"/>
            </w:tcBorders>
          </w:tcPr>
          <w:p w14:paraId="2F88DFDA" w14:textId="77777777" w:rsidR="00186A79" w:rsidRPr="0031164B" w:rsidRDefault="00186A79" w:rsidP="00D23897">
            <w:pPr>
              <w:spacing w:before="40"/>
              <w:rPr>
                <w:b/>
                <w:sz w:val="22"/>
                <w:szCs w:val="22"/>
                <w:lang w:val="en-GB"/>
              </w:rPr>
            </w:pPr>
            <w:r w:rsidRPr="0031164B">
              <w:rPr>
                <w:caps/>
                <w:sz w:val="22"/>
                <w:szCs w:val="22"/>
                <w:lang w:val="en-GB"/>
              </w:rPr>
              <w:br w:type="page"/>
            </w:r>
            <w:r w:rsidRPr="0031164B">
              <w:rPr>
                <w:sz w:val="22"/>
                <w:szCs w:val="22"/>
                <w:lang w:val="en-GB"/>
              </w:rPr>
              <w:br w:type="page"/>
            </w:r>
          </w:p>
        </w:tc>
        <w:tc>
          <w:tcPr>
            <w:tcW w:w="3153" w:type="pct"/>
            <w:tcBorders>
              <w:bottom w:val="nil"/>
            </w:tcBorders>
          </w:tcPr>
          <w:p w14:paraId="31007D65" w14:textId="77777777" w:rsidR="00186A79" w:rsidRPr="0031164B" w:rsidRDefault="00186A79" w:rsidP="00D23897">
            <w:pPr>
              <w:spacing w:before="40"/>
              <w:rPr>
                <w:b/>
                <w:sz w:val="22"/>
                <w:szCs w:val="22"/>
                <w:lang w:val="en-GB"/>
              </w:rPr>
            </w:pPr>
          </w:p>
        </w:tc>
        <w:tc>
          <w:tcPr>
            <w:tcW w:w="388" w:type="pct"/>
            <w:tcBorders>
              <w:bottom w:val="nil"/>
            </w:tcBorders>
          </w:tcPr>
          <w:p w14:paraId="7AD7654D" w14:textId="77777777" w:rsidR="00186A79" w:rsidRPr="0031164B" w:rsidRDefault="00186A79" w:rsidP="00D23897">
            <w:pPr>
              <w:spacing w:before="40"/>
              <w:jc w:val="center"/>
              <w:rPr>
                <w:b/>
                <w:bCs/>
                <w:sz w:val="22"/>
                <w:szCs w:val="22"/>
                <w:lang w:val="en-GB"/>
              </w:rPr>
            </w:pPr>
            <w:r w:rsidRPr="0031164B">
              <w:rPr>
                <w:b/>
                <w:bCs/>
                <w:lang w:val="en-GB"/>
              </w:rPr>
              <w:t>BMS</w:t>
            </w:r>
          </w:p>
        </w:tc>
        <w:tc>
          <w:tcPr>
            <w:tcW w:w="1122" w:type="pct"/>
            <w:gridSpan w:val="3"/>
            <w:tcBorders>
              <w:bottom w:val="nil"/>
            </w:tcBorders>
          </w:tcPr>
          <w:p w14:paraId="34564478" w14:textId="77777777" w:rsidR="00186A79" w:rsidRPr="0031164B" w:rsidRDefault="00186A79" w:rsidP="00D23897">
            <w:pPr>
              <w:spacing w:before="40"/>
              <w:jc w:val="center"/>
              <w:rPr>
                <w:b/>
                <w:sz w:val="22"/>
                <w:szCs w:val="22"/>
                <w:lang w:val="en-GB"/>
              </w:rPr>
            </w:pPr>
            <w:r w:rsidRPr="0031164B">
              <w:rPr>
                <w:b/>
                <w:sz w:val="22"/>
                <w:szCs w:val="22"/>
                <w:lang w:val="en-GB"/>
              </w:rPr>
              <w:t>CENTER</w:t>
            </w:r>
          </w:p>
        </w:tc>
      </w:tr>
      <w:tr w:rsidR="00186A79" w:rsidRPr="0031164B" w14:paraId="5154B2FC" w14:textId="77777777" w:rsidTr="00D23897">
        <w:trPr>
          <w:trHeight w:val="540"/>
          <w:tblHeader/>
          <w:jc w:val="center"/>
        </w:trPr>
        <w:tc>
          <w:tcPr>
            <w:tcW w:w="337" w:type="pct"/>
            <w:tcBorders>
              <w:top w:val="nil"/>
              <w:bottom w:val="single" w:sz="4" w:space="0" w:color="auto"/>
            </w:tcBorders>
          </w:tcPr>
          <w:p w14:paraId="08EA6686" w14:textId="77777777" w:rsidR="00186A79" w:rsidRPr="0031164B" w:rsidRDefault="00186A79" w:rsidP="00D23897">
            <w:pPr>
              <w:spacing w:before="40"/>
              <w:rPr>
                <w:caps/>
                <w:sz w:val="22"/>
                <w:szCs w:val="22"/>
                <w:lang w:val="en-GB"/>
              </w:rPr>
            </w:pPr>
          </w:p>
        </w:tc>
        <w:tc>
          <w:tcPr>
            <w:tcW w:w="3153" w:type="pct"/>
            <w:tcBorders>
              <w:top w:val="nil"/>
              <w:bottom w:val="single" w:sz="4" w:space="0" w:color="auto"/>
            </w:tcBorders>
          </w:tcPr>
          <w:p w14:paraId="236BCEAA" w14:textId="77777777" w:rsidR="00186A79" w:rsidRPr="0031164B" w:rsidRDefault="00186A79" w:rsidP="00D23897">
            <w:pPr>
              <w:spacing w:before="40"/>
              <w:rPr>
                <w:b/>
                <w:sz w:val="22"/>
                <w:szCs w:val="22"/>
                <w:lang w:val="en-GB"/>
              </w:rPr>
            </w:pPr>
          </w:p>
        </w:tc>
        <w:tc>
          <w:tcPr>
            <w:tcW w:w="388" w:type="pct"/>
            <w:tcBorders>
              <w:top w:val="nil"/>
              <w:bottom w:val="single" w:sz="4" w:space="0" w:color="auto"/>
            </w:tcBorders>
          </w:tcPr>
          <w:p w14:paraId="79E41B22" w14:textId="77777777" w:rsidR="00186A79" w:rsidRPr="0031164B" w:rsidRDefault="00186A79" w:rsidP="00D23897">
            <w:pPr>
              <w:spacing w:before="40"/>
              <w:jc w:val="center"/>
              <w:rPr>
                <w:b/>
                <w:sz w:val="20"/>
                <w:szCs w:val="20"/>
                <w:lang w:val="en-GB"/>
              </w:rPr>
            </w:pPr>
          </w:p>
        </w:tc>
        <w:tc>
          <w:tcPr>
            <w:tcW w:w="518" w:type="pct"/>
            <w:tcBorders>
              <w:top w:val="nil"/>
              <w:bottom w:val="single" w:sz="4" w:space="0" w:color="auto"/>
            </w:tcBorders>
          </w:tcPr>
          <w:p w14:paraId="3EF1DD37" w14:textId="77777777" w:rsidR="00186A79" w:rsidRPr="0031164B" w:rsidRDefault="00186A79" w:rsidP="00D23897">
            <w:pPr>
              <w:spacing w:before="40"/>
              <w:jc w:val="center"/>
              <w:rPr>
                <w:b/>
                <w:sz w:val="20"/>
                <w:szCs w:val="20"/>
                <w:lang w:val="en-GB"/>
              </w:rPr>
            </w:pPr>
            <w:r w:rsidRPr="0031164B">
              <w:rPr>
                <w:b/>
                <w:sz w:val="20"/>
                <w:szCs w:val="20"/>
                <w:lang w:val="en-GB"/>
              </w:rPr>
              <w:t>TE/</w:t>
            </w:r>
          </w:p>
          <w:p w14:paraId="5FC0562E" w14:textId="77777777" w:rsidR="00186A79" w:rsidRPr="0031164B" w:rsidRDefault="00186A79" w:rsidP="00D23897">
            <w:pPr>
              <w:spacing w:before="40"/>
              <w:jc w:val="center"/>
              <w:rPr>
                <w:b/>
                <w:sz w:val="20"/>
                <w:szCs w:val="20"/>
                <w:lang w:val="en-GB"/>
              </w:rPr>
            </w:pPr>
            <w:r w:rsidRPr="0031164B">
              <w:rPr>
                <w:b/>
                <w:sz w:val="20"/>
                <w:szCs w:val="20"/>
                <w:lang w:val="en-GB"/>
              </w:rPr>
              <w:t>CTU</w:t>
            </w:r>
          </w:p>
        </w:tc>
        <w:tc>
          <w:tcPr>
            <w:tcW w:w="259" w:type="pct"/>
            <w:tcBorders>
              <w:top w:val="nil"/>
              <w:bottom w:val="single" w:sz="4" w:space="0" w:color="auto"/>
            </w:tcBorders>
          </w:tcPr>
          <w:p w14:paraId="70B6FC53" w14:textId="77777777" w:rsidR="00186A79" w:rsidRPr="0031164B" w:rsidRDefault="00186A79" w:rsidP="00D23897">
            <w:pPr>
              <w:spacing w:before="40"/>
              <w:jc w:val="center"/>
              <w:rPr>
                <w:b/>
                <w:sz w:val="20"/>
                <w:szCs w:val="20"/>
                <w:lang w:val="en-GB"/>
              </w:rPr>
            </w:pPr>
            <w:r w:rsidRPr="0031164B">
              <w:rPr>
                <w:b/>
                <w:sz w:val="20"/>
                <w:szCs w:val="20"/>
                <w:lang w:val="en-GB"/>
              </w:rPr>
              <w:t>PH</w:t>
            </w:r>
          </w:p>
        </w:tc>
        <w:tc>
          <w:tcPr>
            <w:tcW w:w="345" w:type="pct"/>
            <w:tcBorders>
              <w:top w:val="nil"/>
              <w:bottom w:val="single" w:sz="4" w:space="0" w:color="auto"/>
            </w:tcBorders>
          </w:tcPr>
          <w:p w14:paraId="36FADF49" w14:textId="77777777" w:rsidR="00186A79" w:rsidRPr="0031164B" w:rsidRDefault="00186A79" w:rsidP="00D23897">
            <w:pPr>
              <w:spacing w:before="40"/>
              <w:jc w:val="center"/>
              <w:rPr>
                <w:b/>
                <w:sz w:val="20"/>
                <w:szCs w:val="20"/>
                <w:lang w:val="en-GB"/>
              </w:rPr>
            </w:pPr>
            <w:r w:rsidRPr="0031164B">
              <w:rPr>
                <w:b/>
                <w:sz w:val="20"/>
                <w:szCs w:val="20"/>
                <w:lang w:val="en-GB"/>
              </w:rPr>
              <w:t>AU</w:t>
            </w:r>
          </w:p>
        </w:tc>
      </w:tr>
      <w:tr w:rsidR="00186A79" w:rsidRPr="0031164B" w14:paraId="65B6B07B" w14:textId="77777777" w:rsidTr="00D23897">
        <w:trPr>
          <w:trHeight w:val="665"/>
          <w:jc w:val="center"/>
        </w:trPr>
        <w:tc>
          <w:tcPr>
            <w:tcW w:w="337" w:type="pct"/>
            <w:tcBorders>
              <w:top w:val="single" w:sz="4" w:space="0" w:color="auto"/>
              <w:bottom w:val="single" w:sz="4" w:space="0" w:color="auto"/>
            </w:tcBorders>
          </w:tcPr>
          <w:p w14:paraId="3963419E" w14:textId="77777777" w:rsidR="00186A79" w:rsidRPr="0031164B" w:rsidRDefault="00186A79" w:rsidP="00CD4205">
            <w:pPr>
              <w:pStyle w:val="Level1"/>
              <w:numPr>
                <w:ilvl w:val="0"/>
                <w:numId w:val="21"/>
              </w:numPr>
              <w:rPr>
                <w:lang w:val="en-GB"/>
              </w:rPr>
            </w:pPr>
          </w:p>
        </w:tc>
        <w:tc>
          <w:tcPr>
            <w:tcW w:w="3153" w:type="pct"/>
            <w:tcBorders>
              <w:top w:val="single" w:sz="4" w:space="0" w:color="auto"/>
              <w:bottom w:val="single" w:sz="4" w:space="0" w:color="auto"/>
            </w:tcBorders>
          </w:tcPr>
          <w:p w14:paraId="2FD91C99" w14:textId="77777777" w:rsidR="00186A79" w:rsidRPr="0031164B" w:rsidRDefault="00186A79" w:rsidP="00D23897">
            <w:pPr>
              <w:jc w:val="both"/>
              <w:rPr>
                <w:sz w:val="22"/>
                <w:szCs w:val="22"/>
                <w:lang w:val="en-GB"/>
              </w:rPr>
            </w:pPr>
            <w:r w:rsidRPr="0031164B">
              <w:rPr>
                <w:sz w:val="22"/>
                <w:szCs w:val="22"/>
                <w:lang w:val="en-GB"/>
              </w:rPr>
              <w:t>Nominate a Risk Minimization Program (RMinP) Representative and provide contact details.</w:t>
            </w:r>
          </w:p>
        </w:tc>
        <w:tc>
          <w:tcPr>
            <w:tcW w:w="388" w:type="pct"/>
            <w:tcBorders>
              <w:top w:val="single" w:sz="4" w:space="0" w:color="auto"/>
              <w:bottom w:val="single" w:sz="4" w:space="0" w:color="auto"/>
            </w:tcBorders>
          </w:tcPr>
          <w:p w14:paraId="372AD706" w14:textId="77777777" w:rsidR="00186A79" w:rsidRPr="0031164B" w:rsidRDefault="00186A79" w:rsidP="00D23897">
            <w:pPr>
              <w:jc w:val="center"/>
              <w:rPr>
                <w:b/>
                <w:caps/>
                <w:sz w:val="22"/>
                <w:szCs w:val="22"/>
                <w:lang w:val="en-GB"/>
              </w:rPr>
            </w:pPr>
          </w:p>
        </w:tc>
        <w:tc>
          <w:tcPr>
            <w:tcW w:w="518" w:type="pct"/>
            <w:tcBorders>
              <w:top w:val="single" w:sz="4" w:space="0" w:color="auto"/>
              <w:bottom w:val="single" w:sz="4" w:space="0" w:color="auto"/>
            </w:tcBorders>
          </w:tcPr>
          <w:p w14:paraId="0187D8ED" w14:textId="77777777" w:rsidR="00186A79" w:rsidRPr="0031164B" w:rsidRDefault="00186A79" w:rsidP="00D23897">
            <w:pPr>
              <w:pStyle w:val="boxesBOLDCENTRE"/>
              <w:rPr>
                <w:rFonts w:ascii="Times New Roman" w:hAnsi="Times New Roman"/>
                <w:szCs w:val="22"/>
                <w:lang w:val="en-GB"/>
              </w:rPr>
            </w:pPr>
          </w:p>
        </w:tc>
        <w:tc>
          <w:tcPr>
            <w:tcW w:w="259" w:type="pct"/>
            <w:tcBorders>
              <w:top w:val="single" w:sz="4" w:space="0" w:color="auto"/>
              <w:bottom w:val="single" w:sz="4" w:space="0" w:color="auto"/>
            </w:tcBorders>
          </w:tcPr>
          <w:p w14:paraId="5399A41C" w14:textId="77777777" w:rsidR="00186A79" w:rsidRPr="0031164B" w:rsidRDefault="00186A79" w:rsidP="00D23897">
            <w:pPr>
              <w:pStyle w:val="boxesBOLDCENTRE"/>
              <w:rPr>
                <w:rFonts w:ascii="Times New Roman" w:hAnsi="Times New Roman"/>
                <w:szCs w:val="22"/>
                <w:lang w:val="en-GB"/>
              </w:rPr>
            </w:pPr>
          </w:p>
        </w:tc>
        <w:tc>
          <w:tcPr>
            <w:tcW w:w="345" w:type="pct"/>
            <w:tcBorders>
              <w:top w:val="single" w:sz="4" w:space="0" w:color="auto"/>
              <w:bottom w:val="single" w:sz="4" w:space="0" w:color="auto"/>
            </w:tcBorders>
          </w:tcPr>
          <w:p w14:paraId="48399FDD" w14:textId="77777777" w:rsidR="00186A79" w:rsidRPr="0031164B" w:rsidRDefault="00186A79" w:rsidP="00D23897">
            <w:pPr>
              <w:pStyle w:val="boxesBOLDCENTRE"/>
              <w:rPr>
                <w:rFonts w:ascii="Times New Roman" w:hAnsi="Times New Roman"/>
                <w:szCs w:val="22"/>
                <w:lang w:val="en-GB"/>
              </w:rPr>
            </w:pPr>
            <w:r w:rsidRPr="0031164B">
              <w:rPr>
                <w:rFonts w:ascii="Times New Roman" w:hAnsi="Times New Roman"/>
                <w:szCs w:val="22"/>
                <w:lang w:val="en-GB"/>
              </w:rPr>
              <w:t>X</w:t>
            </w:r>
          </w:p>
        </w:tc>
      </w:tr>
      <w:tr w:rsidR="00186A79" w:rsidRPr="0031164B" w14:paraId="1143C5B7" w14:textId="77777777" w:rsidTr="00D23897">
        <w:trPr>
          <w:trHeight w:val="629"/>
          <w:jc w:val="center"/>
        </w:trPr>
        <w:tc>
          <w:tcPr>
            <w:tcW w:w="337" w:type="pct"/>
            <w:tcBorders>
              <w:top w:val="single" w:sz="4" w:space="0" w:color="auto"/>
              <w:bottom w:val="single" w:sz="4" w:space="0" w:color="auto"/>
            </w:tcBorders>
          </w:tcPr>
          <w:p w14:paraId="2C9D5EAA" w14:textId="77777777" w:rsidR="00186A79" w:rsidRPr="0031164B" w:rsidRDefault="00186A79" w:rsidP="00CD4205">
            <w:pPr>
              <w:pStyle w:val="Level1"/>
              <w:numPr>
                <w:ilvl w:val="0"/>
                <w:numId w:val="21"/>
              </w:numPr>
              <w:rPr>
                <w:lang w:val="en-GB"/>
              </w:rPr>
            </w:pPr>
          </w:p>
        </w:tc>
        <w:tc>
          <w:tcPr>
            <w:tcW w:w="3153" w:type="pct"/>
            <w:tcBorders>
              <w:top w:val="single" w:sz="4" w:space="0" w:color="auto"/>
              <w:bottom w:val="single" w:sz="4" w:space="0" w:color="auto"/>
            </w:tcBorders>
          </w:tcPr>
          <w:p w14:paraId="2C455C87" w14:textId="77777777" w:rsidR="00186A79" w:rsidRPr="0031164B" w:rsidRDefault="00186A79" w:rsidP="00D23897">
            <w:pPr>
              <w:jc w:val="both"/>
              <w:rPr>
                <w:sz w:val="22"/>
                <w:szCs w:val="22"/>
                <w:lang w:val="en-GB"/>
              </w:rPr>
            </w:pPr>
            <w:r w:rsidRPr="0031164B">
              <w:rPr>
                <w:sz w:val="22"/>
                <w:szCs w:val="22"/>
                <w:lang w:val="en-GB"/>
              </w:rPr>
              <w:t>Inform BMS of changes to the nominated RMinP Representative and provide new contact details within 3 business day.</w:t>
            </w:r>
          </w:p>
        </w:tc>
        <w:tc>
          <w:tcPr>
            <w:tcW w:w="388" w:type="pct"/>
            <w:tcBorders>
              <w:top w:val="single" w:sz="4" w:space="0" w:color="auto"/>
              <w:bottom w:val="single" w:sz="4" w:space="0" w:color="auto"/>
            </w:tcBorders>
          </w:tcPr>
          <w:p w14:paraId="7BFB666E" w14:textId="77777777" w:rsidR="00186A79" w:rsidRPr="0031164B" w:rsidRDefault="00186A79" w:rsidP="00D23897">
            <w:pPr>
              <w:jc w:val="center"/>
              <w:rPr>
                <w:b/>
                <w:sz w:val="22"/>
                <w:szCs w:val="22"/>
                <w:lang w:val="en-GB"/>
              </w:rPr>
            </w:pPr>
          </w:p>
        </w:tc>
        <w:tc>
          <w:tcPr>
            <w:tcW w:w="518" w:type="pct"/>
            <w:tcBorders>
              <w:top w:val="single" w:sz="4" w:space="0" w:color="auto"/>
              <w:bottom w:val="single" w:sz="4" w:space="0" w:color="auto"/>
            </w:tcBorders>
          </w:tcPr>
          <w:p w14:paraId="76957D6C" w14:textId="77777777" w:rsidR="00186A79" w:rsidRPr="0031164B" w:rsidRDefault="00186A79" w:rsidP="00D23897">
            <w:pPr>
              <w:pStyle w:val="boxesBOLDCENTRE"/>
              <w:rPr>
                <w:rFonts w:ascii="Times New Roman" w:hAnsi="Times New Roman"/>
                <w:szCs w:val="22"/>
                <w:lang w:val="en-GB"/>
              </w:rPr>
            </w:pPr>
          </w:p>
        </w:tc>
        <w:tc>
          <w:tcPr>
            <w:tcW w:w="259" w:type="pct"/>
            <w:tcBorders>
              <w:top w:val="single" w:sz="4" w:space="0" w:color="auto"/>
              <w:bottom w:val="single" w:sz="4" w:space="0" w:color="auto"/>
            </w:tcBorders>
          </w:tcPr>
          <w:p w14:paraId="5FF994FD" w14:textId="77777777" w:rsidR="00186A79" w:rsidRPr="0031164B" w:rsidRDefault="00186A79" w:rsidP="00D23897">
            <w:pPr>
              <w:pStyle w:val="boxesBOLDCENTRE"/>
              <w:rPr>
                <w:rFonts w:ascii="Times New Roman" w:hAnsi="Times New Roman"/>
                <w:szCs w:val="22"/>
                <w:lang w:val="en-GB"/>
              </w:rPr>
            </w:pPr>
          </w:p>
        </w:tc>
        <w:tc>
          <w:tcPr>
            <w:tcW w:w="345" w:type="pct"/>
            <w:tcBorders>
              <w:top w:val="single" w:sz="4" w:space="0" w:color="auto"/>
              <w:bottom w:val="single" w:sz="4" w:space="0" w:color="auto"/>
            </w:tcBorders>
          </w:tcPr>
          <w:p w14:paraId="04D59863" w14:textId="77777777" w:rsidR="00186A79" w:rsidRPr="0031164B" w:rsidRDefault="00186A79" w:rsidP="00D23897">
            <w:pPr>
              <w:pStyle w:val="boxesBOLDCENTRE"/>
              <w:rPr>
                <w:rFonts w:ascii="Times New Roman" w:hAnsi="Times New Roman"/>
                <w:szCs w:val="22"/>
                <w:lang w:val="en-GB"/>
              </w:rPr>
            </w:pPr>
            <w:r w:rsidRPr="0031164B">
              <w:rPr>
                <w:rFonts w:ascii="Times New Roman" w:hAnsi="Times New Roman"/>
                <w:szCs w:val="22"/>
                <w:lang w:val="en-GB"/>
              </w:rPr>
              <w:t>X</w:t>
            </w:r>
          </w:p>
        </w:tc>
      </w:tr>
      <w:tr w:rsidR="00186A79" w:rsidRPr="0031164B" w14:paraId="45C229F9" w14:textId="77777777" w:rsidTr="00D23897">
        <w:trPr>
          <w:trHeight w:val="989"/>
          <w:jc w:val="center"/>
        </w:trPr>
        <w:tc>
          <w:tcPr>
            <w:tcW w:w="337" w:type="pct"/>
            <w:tcBorders>
              <w:bottom w:val="single" w:sz="4" w:space="0" w:color="auto"/>
            </w:tcBorders>
          </w:tcPr>
          <w:p w14:paraId="7004B659" w14:textId="77777777" w:rsidR="00186A79" w:rsidRPr="0031164B" w:rsidRDefault="00186A79" w:rsidP="00CD4205">
            <w:pPr>
              <w:pStyle w:val="Odstavecseseznamem"/>
              <w:numPr>
                <w:ilvl w:val="0"/>
                <w:numId w:val="21"/>
              </w:numPr>
              <w:rPr>
                <w:lang w:val="en-GB"/>
              </w:rPr>
            </w:pPr>
          </w:p>
        </w:tc>
        <w:tc>
          <w:tcPr>
            <w:tcW w:w="3153" w:type="pct"/>
            <w:tcBorders>
              <w:bottom w:val="single" w:sz="4" w:space="0" w:color="auto"/>
            </w:tcBorders>
          </w:tcPr>
          <w:p w14:paraId="7FD46F5C" w14:textId="77777777" w:rsidR="00186A79" w:rsidRPr="0031164B" w:rsidRDefault="00186A79" w:rsidP="00D23897">
            <w:pPr>
              <w:jc w:val="both"/>
              <w:rPr>
                <w:sz w:val="22"/>
                <w:szCs w:val="22"/>
                <w:lang w:val="en-GB"/>
              </w:rPr>
            </w:pPr>
            <w:r w:rsidRPr="0031164B">
              <w:rPr>
                <w:sz w:val="22"/>
                <w:szCs w:val="22"/>
                <w:lang w:val="en-GB"/>
              </w:rPr>
              <w:t>Ensure access to a multidisciplinary team to be able to handle patients with Cytokine Release Syndrome and Neurotoxicity including access to required equipment (i.e. Intensive Care Unit, Magnet Resonance Imaging)</w:t>
            </w:r>
          </w:p>
        </w:tc>
        <w:tc>
          <w:tcPr>
            <w:tcW w:w="388" w:type="pct"/>
            <w:tcBorders>
              <w:bottom w:val="single" w:sz="4" w:space="0" w:color="auto"/>
            </w:tcBorders>
          </w:tcPr>
          <w:p w14:paraId="13C12685" w14:textId="77777777" w:rsidR="00186A79" w:rsidRPr="0031164B" w:rsidRDefault="00186A79" w:rsidP="00D23897">
            <w:pPr>
              <w:jc w:val="center"/>
              <w:rPr>
                <w:b/>
                <w:sz w:val="22"/>
                <w:szCs w:val="22"/>
                <w:lang w:val="en-GB"/>
              </w:rPr>
            </w:pPr>
          </w:p>
        </w:tc>
        <w:tc>
          <w:tcPr>
            <w:tcW w:w="518" w:type="pct"/>
            <w:tcBorders>
              <w:bottom w:val="single" w:sz="4" w:space="0" w:color="auto"/>
            </w:tcBorders>
          </w:tcPr>
          <w:p w14:paraId="73EF66CC" w14:textId="77777777" w:rsidR="00186A79" w:rsidRPr="0031164B" w:rsidRDefault="00186A79" w:rsidP="00D23897">
            <w:pPr>
              <w:jc w:val="center"/>
              <w:rPr>
                <w:b/>
                <w:sz w:val="22"/>
                <w:szCs w:val="22"/>
                <w:lang w:val="en-GB"/>
              </w:rPr>
            </w:pPr>
          </w:p>
        </w:tc>
        <w:tc>
          <w:tcPr>
            <w:tcW w:w="259" w:type="pct"/>
            <w:tcBorders>
              <w:bottom w:val="single" w:sz="4" w:space="0" w:color="auto"/>
            </w:tcBorders>
          </w:tcPr>
          <w:p w14:paraId="42479FF0" w14:textId="77777777" w:rsidR="00186A79" w:rsidRPr="0031164B" w:rsidRDefault="00186A79" w:rsidP="00D23897">
            <w:pPr>
              <w:jc w:val="center"/>
              <w:rPr>
                <w:b/>
                <w:sz w:val="22"/>
                <w:szCs w:val="22"/>
                <w:lang w:val="en-GB"/>
              </w:rPr>
            </w:pPr>
          </w:p>
        </w:tc>
        <w:tc>
          <w:tcPr>
            <w:tcW w:w="345" w:type="pct"/>
            <w:tcBorders>
              <w:bottom w:val="single" w:sz="4" w:space="0" w:color="auto"/>
            </w:tcBorders>
          </w:tcPr>
          <w:p w14:paraId="50CF8F88" w14:textId="77777777" w:rsidR="00186A79" w:rsidRPr="0031164B" w:rsidRDefault="00186A79" w:rsidP="00D23897">
            <w:pPr>
              <w:jc w:val="center"/>
              <w:rPr>
                <w:b/>
                <w:sz w:val="22"/>
                <w:szCs w:val="22"/>
                <w:lang w:val="en-GB"/>
              </w:rPr>
            </w:pPr>
            <w:r w:rsidRPr="0031164B">
              <w:rPr>
                <w:sz w:val="22"/>
                <w:szCs w:val="22"/>
                <w:lang w:val="en-GB"/>
              </w:rPr>
              <w:t>X</w:t>
            </w:r>
          </w:p>
        </w:tc>
      </w:tr>
      <w:tr w:rsidR="00186A79" w:rsidRPr="0031164B" w14:paraId="7F25E8F4" w14:textId="77777777" w:rsidTr="00D23897">
        <w:trPr>
          <w:trHeight w:val="1655"/>
          <w:jc w:val="center"/>
        </w:trPr>
        <w:tc>
          <w:tcPr>
            <w:tcW w:w="337" w:type="pct"/>
            <w:tcBorders>
              <w:bottom w:val="single" w:sz="4" w:space="0" w:color="auto"/>
            </w:tcBorders>
          </w:tcPr>
          <w:p w14:paraId="44D11FEE" w14:textId="77777777" w:rsidR="00186A79" w:rsidRPr="0031164B" w:rsidRDefault="00186A79" w:rsidP="00CD4205">
            <w:pPr>
              <w:pStyle w:val="Odstavecseseznamem"/>
              <w:numPr>
                <w:ilvl w:val="0"/>
                <w:numId w:val="21"/>
              </w:numPr>
              <w:rPr>
                <w:lang w:val="en-GB"/>
              </w:rPr>
            </w:pPr>
          </w:p>
        </w:tc>
        <w:tc>
          <w:tcPr>
            <w:tcW w:w="3153" w:type="pct"/>
            <w:tcBorders>
              <w:bottom w:val="single" w:sz="4" w:space="0" w:color="auto"/>
            </w:tcBorders>
          </w:tcPr>
          <w:p w14:paraId="25C2CB93" w14:textId="77777777" w:rsidR="00186A79" w:rsidRPr="0031164B" w:rsidRDefault="00186A79" w:rsidP="00D23897">
            <w:pPr>
              <w:pStyle w:val="Bezmezer"/>
              <w:jc w:val="both"/>
              <w:rPr>
                <w:rFonts w:ascii="Times New Roman" w:hAnsi="Times New Roman"/>
                <w:sz w:val="22"/>
                <w:szCs w:val="22"/>
                <w:lang w:val="en-GB"/>
              </w:rPr>
            </w:pPr>
            <w:r w:rsidRPr="0031164B">
              <w:rPr>
                <w:rFonts w:ascii="Times New Roman" w:hAnsi="Times New Roman"/>
                <w:sz w:val="22"/>
                <w:szCs w:val="22"/>
                <w:lang w:val="en-GB" w:eastAsia="ja-JP"/>
              </w:rPr>
              <w:t>Ensure documented on-site access to tocilizumab for each patient prior to administration of an ATMP covered within this agreement and access to additional doses of tocilizumab as outlined in the applicable aRMM. In the exceptional case where tocilizumab is not available due to a shortage that is listed in the European Medicines Agency shortages catalogue, ensure suitable alternative measures to treat CRS instead of tocilizumab are available on-site.</w:t>
            </w:r>
          </w:p>
        </w:tc>
        <w:tc>
          <w:tcPr>
            <w:tcW w:w="388" w:type="pct"/>
            <w:tcBorders>
              <w:bottom w:val="single" w:sz="4" w:space="0" w:color="auto"/>
            </w:tcBorders>
          </w:tcPr>
          <w:p w14:paraId="3D087F46" w14:textId="77777777" w:rsidR="00186A79" w:rsidRPr="0031164B" w:rsidRDefault="00186A79" w:rsidP="00D23897">
            <w:pPr>
              <w:jc w:val="center"/>
              <w:rPr>
                <w:b/>
                <w:sz w:val="22"/>
                <w:szCs w:val="22"/>
                <w:lang w:val="en-GB"/>
              </w:rPr>
            </w:pPr>
          </w:p>
        </w:tc>
        <w:tc>
          <w:tcPr>
            <w:tcW w:w="518" w:type="pct"/>
            <w:tcBorders>
              <w:bottom w:val="single" w:sz="4" w:space="0" w:color="auto"/>
            </w:tcBorders>
          </w:tcPr>
          <w:p w14:paraId="0A07751A" w14:textId="77777777" w:rsidR="00186A79" w:rsidRPr="0031164B" w:rsidRDefault="00186A79" w:rsidP="00D23897">
            <w:pPr>
              <w:jc w:val="center"/>
              <w:rPr>
                <w:b/>
                <w:sz w:val="22"/>
                <w:szCs w:val="22"/>
                <w:lang w:val="en-GB"/>
              </w:rPr>
            </w:pPr>
          </w:p>
        </w:tc>
        <w:tc>
          <w:tcPr>
            <w:tcW w:w="259" w:type="pct"/>
            <w:tcBorders>
              <w:bottom w:val="single" w:sz="4" w:space="0" w:color="auto"/>
            </w:tcBorders>
          </w:tcPr>
          <w:p w14:paraId="5B2423A9" w14:textId="77777777" w:rsidR="00186A79" w:rsidRPr="0031164B" w:rsidRDefault="00186A79" w:rsidP="00D23897">
            <w:pPr>
              <w:jc w:val="center"/>
              <w:rPr>
                <w:b/>
                <w:sz w:val="22"/>
                <w:szCs w:val="22"/>
                <w:lang w:val="en-GB"/>
              </w:rPr>
            </w:pPr>
            <w:r w:rsidRPr="0031164B">
              <w:rPr>
                <w:b/>
                <w:sz w:val="22"/>
                <w:szCs w:val="22"/>
                <w:lang w:val="en-GB"/>
              </w:rPr>
              <w:t>X</w:t>
            </w:r>
          </w:p>
        </w:tc>
        <w:tc>
          <w:tcPr>
            <w:tcW w:w="345" w:type="pct"/>
            <w:tcBorders>
              <w:bottom w:val="single" w:sz="4" w:space="0" w:color="auto"/>
            </w:tcBorders>
          </w:tcPr>
          <w:p w14:paraId="1478F399" w14:textId="77777777" w:rsidR="00186A79" w:rsidRPr="0031164B" w:rsidRDefault="00186A79" w:rsidP="00D23897">
            <w:pPr>
              <w:jc w:val="center"/>
              <w:rPr>
                <w:b/>
                <w:sz w:val="22"/>
                <w:szCs w:val="22"/>
                <w:lang w:val="en-GB"/>
              </w:rPr>
            </w:pPr>
            <w:r w:rsidRPr="0031164B">
              <w:rPr>
                <w:b/>
                <w:sz w:val="22"/>
                <w:szCs w:val="22"/>
                <w:lang w:val="en-GB"/>
              </w:rPr>
              <w:t>X</w:t>
            </w:r>
          </w:p>
        </w:tc>
      </w:tr>
      <w:tr w:rsidR="00186A79" w:rsidRPr="0031164B" w14:paraId="05524FE6" w14:textId="77777777" w:rsidTr="00D23897">
        <w:trPr>
          <w:trHeight w:val="746"/>
          <w:jc w:val="center"/>
        </w:trPr>
        <w:tc>
          <w:tcPr>
            <w:tcW w:w="337" w:type="pct"/>
            <w:tcBorders>
              <w:bottom w:val="single" w:sz="4" w:space="0" w:color="auto"/>
            </w:tcBorders>
          </w:tcPr>
          <w:p w14:paraId="6C66D791" w14:textId="77777777" w:rsidR="00186A79" w:rsidRPr="0031164B" w:rsidRDefault="00186A79" w:rsidP="00CD4205">
            <w:pPr>
              <w:pStyle w:val="Odstavecseseznamem"/>
              <w:numPr>
                <w:ilvl w:val="0"/>
                <w:numId w:val="21"/>
              </w:numPr>
              <w:rPr>
                <w:lang w:val="en-GB"/>
              </w:rPr>
            </w:pPr>
          </w:p>
        </w:tc>
        <w:tc>
          <w:tcPr>
            <w:tcW w:w="3153" w:type="pct"/>
            <w:tcBorders>
              <w:bottom w:val="single" w:sz="4" w:space="0" w:color="auto"/>
            </w:tcBorders>
          </w:tcPr>
          <w:p w14:paraId="4068CA7D" w14:textId="77777777" w:rsidR="00186A79" w:rsidRPr="0031164B" w:rsidRDefault="00186A79" w:rsidP="00D23897">
            <w:pPr>
              <w:pStyle w:val="Bezmezer"/>
              <w:jc w:val="both"/>
              <w:rPr>
                <w:rFonts w:ascii="Times New Roman" w:hAnsi="Times New Roman"/>
                <w:sz w:val="22"/>
                <w:szCs w:val="22"/>
                <w:lang w:val="en-GB"/>
              </w:rPr>
            </w:pPr>
            <w:r w:rsidRPr="0031164B">
              <w:rPr>
                <w:rFonts w:ascii="Times New Roman" w:hAnsi="Times New Roman"/>
                <w:sz w:val="22"/>
                <w:szCs w:val="22"/>
                <w:lang w:val="en-GB" w:eastAsia="ja-JP"/>
              </w:rPr>
              <w:t>Ensure that a 4-eyes principle prior to administration of an ATMP covered within this agreement is followed.</w:t>
            </w:r>
            <w:r w:rsidRPr="0031164B">
              <w:rPr>
                <w:sz w:val="22"/>
                <w:szCs w:val="22"/>
                <w:lang w:val="en-GB"/>
              </w:rPr>
              <w:t xml:space="preserve"> </w:t>
            </w:r>
          </w:p>
        </w:tc>
        <w:tc>
          <w:tcPr>
            <w:tcW w:w="388" w:type="pct"/>
            <w:tcBorders>
              <w:bottom w:val="single" w:sz="4" w:space="0" w:color="auto"/>
            </w:tcBorders>
          </w:tcPr>
          <w:p w14:paraId="0F2CFE25" w14:textId="77777777" w:rsidR="00186A79" w:rsidRPr="0031164B" w:rsidRDefault="00186A79" w:rsidP="00D23897">
            <w:pPr>
              <w:jc w:val="center"/>
              <w:rPr>
                <w:b/>
                <w:sz w:val="22"/>
                <w:szCs w:val="22"/>
                <w:lang w:val="en-GB"/>
              </w:rPr>
            </w:pPr>
          </w:p>
        </w:tc>
        <w:tc>
          <w:tcPr>
            <w:tcW w:w="518" w:type="pct"/>
            <w:tcBorders>
              <w:bottom w:val="single" w:sz="4" w:space="0" w:color="auto"/>
            </w:tcBorders>
          </w:tcPr>
          <w:p w14:paraId="4C1E9806" w14:textId="77777777" w:rsidR="00186A79" w:rsidRPr="0031164B" w:rsidRDefault="00186A79" w:rsidP="00D23897">
            <w:pPr>
              <w:jc w:val="center"/>
              <w:rPr>
                <w:b/>
                <w:sz w:val="22"/>
                <w:szCs w:val="22"/>
                <w:lang w:val="en-GB"/>
              </w:rPr>
            </w:pPr>
          </w:p>
        </w:tc>
        <w:tc>
          <w:tcPr>
            <w:tcW w:w="259" w:type="pct"/>
            <w:tcBorders>
              <w:bottom w:val="single" w:sz="4" w:space="0" w:color="auto"/>
            </w:tcBorders>
          </w:tcPr>
          <w:p w14:paraId="4CBAFC10" w14:textId="77777777" w:rsidR="00186A79" w:rsidRPr="0031164B" w:rsidRDefault="00186A79" w:rsidP="00D23897">
            <w:pPr>
              <w:jc w:val="center"/>
              <w:rPr>
                <w:b/>
                <w:sz w:val="22"/>
                <w:szCs w:val="22"/>
                <w:lang w:val="en-GB"/>
              </w:rPr>
            </w:pPr>
          </w:p>
        </w:tc>
        <w:tc>
          <w:tcPr>
            <w:tcW w:w="345" w:type="pct"/>
            <w:tcBorders>
              <w:bottom w:val="single" w:sz="4" w:space="0" w:color="auto"/>
            </w:tcBorders>
          </w:tcPr>
          <w:p w14:paraId="3C64E281" w14:textId="77777777" w:rsidR="00186A79" w:rsidRPr="0031164B" w:rsidRDefault="00186A79" w:rsidP="00D23897">
            <w:pPr>
              <w:jc w:val="center"/>
              <w:rPr>
                <w:b/>
                <w:sz w:val="22"/>
                <w:szCs w:val="22"/>
                <w:lang w:val="en-GB"/>
              </w:rPr>
            </w:pPr>
            <w:r w:rsidRPr="0031164B">
              <w:rPr>
                <w:b/>
                <w:sz w:val="22"/>
                <w:szCs w:val="22"/>
                <w:lang w:val="en-GB"/>
              </w:rPr>
              <w:t>-X</w:t>
            </w:r>
          </w:p>
        </w:tc>
      </w:tr>
      <w:tr w:rsidR="00186A79" w:rsidRPr="0031164B" w14:paraId="020088DE" w14:textId="77777777" w:rsidTr="00D23897">
        <w:trPr>
          <w:trHeight w:val="1052"/>
          <w:jc w:val="center"/>
        </w:trPr>
        <w:tc>
          <w:tcPr>
            <w:tcW w:w="337" w:type="pct"/>
            <w:tcBorders>
              <w:top w:val="single" w:sz="4" w:space="0" w:color="auto"/>
              <w:bottom w:val="single" w:sz="4" w:space="0" w:color="auto"/>
            </w:tcBorders>
          </w:tcPr>
          <w:p w14:paraId="41CFE6A6" w14:textId="77777777" w:rsidR="00186A79" w:rsidRPr="0031164B" w:rsidRDefault="00186A79" w:rsidP="00CD4205">
            <w:pPr>
              <w:pStyle w:val="Odstavecseseznamem"/>
              <w:numPr>
                <w:ilvl w:val="0"/>
                <w:numId w:val="21"/>
              </w:numPr>
              <w:rPr>
                <w:rFonts w:ascii="Times New Roman" w:eastAsia="Times New Roman" w:hAnsi="Times New Roman" w:cs="Times New Roman"/>
                <w:lang w:val="en-GB" w:eastAsia="ja-JP"/>
              </w:rPr>
            </w:pPr>
          </w:p>
        </w:tc>
        <w:tc>
          <w:tcPr>
            <w:tcW w:w="3153" w:type="pct"/>
            <w:tcBorders>
              <w:top w:val="single" w:sz="4" w:space="0" w:color="auto"/>
              <w:bottom w:val="single" w:sz="4" w:space="0" w:color="auto"/>
            </w:tcBorders>
          </w:tcPr>
          <w:p w14:paraId="5FD03BB4" w14:textId="77777777" w:rsidR="00186A79" w:rsidRPr="0031164B" w:rsidRDefault="00186A79" w:rsidP="00D23897">
            <w:pPr>
              <w:jc w:val="both"/>
              <w:rPr>
                <w:sz w:val="22"/>
                <w:szCs w:val="22"/>
                <w:lang w:val="en-GB"/>
              </w:rPr>
            </w:pPr>
            <w:r w:rsidRPr="0031164B">
              <w:rPr>
                <w:sz w:val="22"/>
                <w:szCs w:val="22"/>
                <w:lang w:val="en-GB"/>
              </w:rPr>
              <w:t>Ensure that only healthcare professionals who have been provided with the educational tools, prescribe, dispense, and administer the ATMP’s and have medical oversight of treated patients.</w:t>
            </w:r>
          </w:p>
        </w:tc>
        <w:tc>
          <w:tcPr>
            <w:tcW w:w="388" w:type="pct"/>
            <w:tcBorders>
              <w:top w:val="single" w:sz="4" w:space="0" w:color="auto"/>
              <w:bottom w:val="single" w:sz="4" w:space="0" w:color="auto"/>
            </w:tcBorders>
          </w:tcPr>
          <w:p w14:paraId="528F5A95" w14:textId="77777777" w:rsidR="00186A79" w:rsidRPr="0031164B" w:rsidRDefault="00186A79" w:rsidP="00D23897">
            <w:pPr>
              <w:pStyle w:val="Nadpis2"/>
              <w:rPr>
                <w:rFonts w:ascii="Times New Roman" w:eastAsia="Times New Roman" w:hAnsi="Times New Roman" w:cs="Times New Roman"/>
                <w:color w:val="auto"/>
                <w:sz w:val="22"/>
                <w:szCs w:val="22"/>
                <w:lang w:val="en-GB"/>
              </w:rPr>
            </w:pPr>
          </w:p>
        </w:tc>
        <w:tc>
          <w:tcPr>
            <w:tcW w:w="518" w:type="pct"/>
            <w:tcBorders>
              <w:top w:val="single" w:sz="4" w:space="0" w:color="auto"/>
              <w:bottom w:val="single" w:sz="4" w:space="0" w:color="auto"/>
            </w:tcBorders>
          </w:tcPr>
          <w:p w14:paraId="6092D913" w14:textId="77777777" w:rsidR="00186A79" w:rsidRPr="0031164B" w:rsidRDefault="00186A79" w:rsidP="00D23897">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c>
          <w:tcPr>
            <w:tcW w:w="259" w:type="pct"/>
            <w:tcBorders>
              <w:top w:val="single" w:sz="4" w:space="0" w:color="auto"/>
              <w:bottom w:val="single" w:sz="4" w:space="0" w:color="auto"/>
            </w:tcBorders>
          </w:tcPr>
          <w:p w14:paraId="7C9E8AA9" w14:textId="77777777" w:rsidR="00186A79" w:rsidRPr="0031164B" w:rsidRDefault="00186A79" w:rsidP="00D23897">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c>
          <w:tcPr>
            <w:tcW w:w="345" w:type="pct"/>
            <w:tcBorders>
              <w:top w:val="single" w:sz="4" w:space="0" w:color="auto"/>
              <w:bottom w:val="single" w:sz="4" w:space="0" w:color="auto"/>
            </w:tcBorders>
          </w:tcPr>
          <w:p w14:paraId="693A70A6" w14:textId="77777777" w:rsidR="00186A79" w:rsidRPr="0031164B" w:rsidRDefault="00186A79" w:rsidP="00D23897">
            <w:pPr>
              <w:pStyle w:val="Nadpis2"/>
              <w:rPr>
                <w:rFonts w:ascii="Times New Roman" w:eastAsia="Times New Roman" w:hAnsi="Times New Roman" w:cs="Times New Roman"/>
                <w:b/>
                <w:bCs/>
                <w:color w:val="auto"/>
                <w:sz w:val="22"/>
                <w:szCs w:val="22"/>
                <w:lang w:val="en-GB"/>
              </w:rPr>
            </w:pPr>
            <w:r w:rsidRPr="0031164B">
              <w:rPr>
                <w:rFonts w:ascii="Times New Roman" w:hAnsi="Times New Roman"/>
                <w:b/>
                <w:bCs/>
                <w:color w:val="auto"/>
                <w:sz w:val="22"/>
                <w:szCs w:val="22"/>
                <w:lang w:val="en-GB"/>
              </w:rPr>
              <w:t>X</w:t>
            </w:r>
          </w:p>
        </w:tc>
      </w:tr>
      <w:tr w:rsidR="00186A79" w:rsidRPr="0031164B" w14:paraId="4E378632" w14:textId="77777777" w:rsidTr="00D23897">
        <w:trPr>
          <w:trHeight w:val="953"/>
          <w:jc w:val="center"/>
        </w:trPr>
        <w:tc>
          <w:tcPr>
            <w:tcW w:w="337" w:type="pct"/>
            <w:tcBorders>
              <w:top w:val="single" w:sz="4" w:space="0" w:color="auto"/>
            </w:tcBorders>
          </w:tcPr>
          <w:p w14:paraId="698F6A16" w14:textId="77777777" w:rsidR="00186A79" w:rsidRPr="0031164B" w:rsidRDefault="00186A79" w:rsidP="00CD4205">
            <w:pPr>
              <w:pStyle w:val="Odstavecseseznamem"/>
              <w:numPr>
                <w:ilvl w:val="0"/>
                <w:numId w:val="21"/>
              </w:numPr>
              <w:rPr>
                <w:lang w:val="en-GB"/>
              </w:rPr>
            </w:pPr>
          </w:p>
        </w:tc>
        <w:tc>
          <w:tcPr>
            <w:tcW w:w="3153" w:type="pct"/>
            <w:tcBorders>
              <w:top w:val="single" w:sz="4" w:space="0" w:color="auto"/>
            </w:tcBorders>
          </w:tcPr>
          <w:p w14:paraId="3DE5CC19" w14:textId="77777777" w:rsidR="00186A79" w:rsidRPr="0031164B" w:rsidRDefault="00186A79" w:rsidP="00D23897">
            <w:pPr>
              <w:jc w:val="both"/>
              <w:rPr>
                <w:sz w:val="22"/>
                <w:szCs w:val="22"/>
                <w:lang w:val="en-GB"/>
              </w:rPr>
            </w:pPr>
            <w:r w:rsidRPr="0031164B">
              <w:rPr>
                <w:sz w:val="22"/>
                <w:szCs w:val="22"/>
                <w:lang w:val="en-GB"/>
              </w:rPr>
              <w:t xml:space="preserve">Responsible for onboarding of a nominated RMinP Representative at the site who is responsible for the provision of the aRMM educational tools to the relevant personnel at site. </w:t>
            </w:r>
          </w:p>
        </w:tc>
        <w:tc>
          <w:tcPr>
            <w:tcW w:w="388" w:type="pct"/>
            <w:tcBorders>
              <w:top w:val="single" w:sz="4" w:space="0" w:color="auto"/>
            </w:tcBorders>
          </w:tcPr>
          <w:p w14:paraId="33D3C076"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518" w:type="pct"/>
            <w:tcBorders>
              <w:top w:val="single" w:sz="4" w:space="0" w:color="auto"/>
            </w:tcBorders>
          </w:tcPr>
          <w:p w14:paraId="5D8B3F7D"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420F8955"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6914636F" w14:textId="77777777" w:rsidR="00186A79" w:rsidRPr="0031164B" w:rsidRDefault="00186A79" w:rsidP="00D23897">
            <w:pPr>
              <w:jc w:val="center"/>
              <w:rPr>
                <w:b/>
                <w:caps/>
                <w:sz w:val="22"/>
                <w:szCs w:val="22"/>
                <w:lang w:val="en-GB"/>
              </w:rPr>
            </w:pPr>
            <w:r w:rsidRPr="0031164B">
              <w:rPr>
                <w:b/>
                <w:caps/>
                <w:sz w:val="22"/>
                <w:szCs w:val="22"/>
                <w:lang w:val="en-GB"/>
              </w:rPr>
              <w:t>X</w:t>
            </w:r>
          </w:p>
        </w:tc>
      </w:tr>
      <w:tr w:rsidR="00186A79" w:rsidRPr="0031164B" w14:paraId="29942852" w14:textId="77777777" w:rsidTr="00D23897">
        <w:trPr>
          <w:trHeight w:val="665"/>
          <w:jc w:val="center"/>
        </w:trPr>
        <w:tc>
          <w:tcPr>
            <w:tcW w:w="337" w:type="pct"/>
            <w:tcBorders>
              <w:top w:val="single" w:sz="4" w:space="0" w:color="auto"/>
            </w:tcBorders>
          </w:tcPr>
          <w:p w14:paraId="43240315" w14:textId="77777777" w:rsidR="00186A79" w:rsidRPr="0031164B" w:rsidRDefault="00186A79" w:rsidP="00CD4205">
            <w:pPr>
              <w:pStyle w:val="Odstavecseseznamem"/>
              <w:numPr>
                <w:ilvl w:val="0"/>
                <w:numId w:val="21"/>
              </w:numPr>
              <w:rPr>
                <w:lang w:val="en-GB"/>
              </w:rPr>
            </w:pPr>
          </w:p>
        </w:tc>
        <w:tc>
          <w:tcPr>
            <w:tcW w:w="3153" w:type="pct"/>
            <w:tcBorders>
              <w:top w:val="single" w:sz="4" w:space="0" w:color="auto"/>
            </w:tcBorders>
          </w:tcPr>
          <w:p w14:paraId="57970B14" w14:textId="77777777" w:rsidR="00186A79" w:rsidRPr="0031164B" w:rsidRDefault="00186A79" w:rsidP="00D23897">
            <w:pPr>
              <w:jc w:val="both"/>
              <w:rPr>
                <w:sz w:val="22"/>
                <w:szCs w:val="22"/>
                <w:lang w:val="en-GB"/>
              </w:rPr>
            </w:pPr>
            <w:r w:rsidRPr="0031164B">
              <w:rPr>
                <w:sz w:val="22"/>
                <w:szCs w:val="22"/>
                <w:lang w:val="en-GB"/>
              </w:rPr>
              <w:t>Responsible for training relevant personnel on the need to use the aRMM educational tools, including the need to hand out the Patient Card to each patient at the site.</w:t>
            </w:r>
          </w:p>
        </w:tc>
        <w:tc>
          <w:tcPr>
            <w:tcW w:w="388" w:type="pct"/>
            <w:tcBorders>
              <w:top w:val="single" w:sz="4" w:space="0" w:color="auto"/>
            </w:tcBorders>
          </w:tcPr>
          <w:p w14:paraId="5890DEEC" w14:textId="77777777" w:rsidR="00186A79" w:rsidRPr="0031164B" w:rsidRDefault="00186A79" w:rsidP="00D23897">
            <w:pPr>
              <w:jc w:val="center"/>
              <w:rPr>
                <w:b/>
                <w:caps/>
                <w:sz w:val="22"/>
                <w:szCs w:val="22"/>
                <w:lang w:val="en-GB"/>
              </w:rPr>
            </w:pPr>
          </w:p>
        </w:tc>
        <w:tc>
          <w:tcPr>
            <w:tcW w:w="518" w:type="pct"/>
            <w:tcBorders>
              <w:top w:val="single" w:sz="4" w:space="0" w:color="auto"/>
            </w:tcBorders>
          </w:tcPr>
          <w:p w14:paraId="48C4E9B6"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4546CD20"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48380E94" w14:textId="77777777" w:rsidR="00186A79" w:rsidRPr="0031164B" w:rsidRDefault="00186A79" w:rsidP="00D23897">
            <w:pPr>
              <w:jc w:val="center"/>
              <w:rPr>
                <w:b/>
                <w:caps/>
                <w:sz w:val="22"/>
                <w:szCs w:val="22"/>
                <w:lang w:val="en-GB"/>
              </w:rPr>
            </w:pPr>
            <w:r w:rsidRPr="0031164B">
              <w:rPr>
                <w:b/>
                <w:caps/>
                <w:sz w:val="22"/>
                <w:szCs w:val="22"/>
                <w:lang w:val="en-GB"/>
              </w:rPr>
              <w:t>X</w:t>
            </w:r>
          </w:p>
        </w:tc>
      </w:tr>
      <w:tr w:rsidR="00186A79" w:rsidRPr="0031164B" w14:paraId="067B0821" w14:textId="77777777" w:rsidTr="00D23897">
        <w:trPr>
          <w:trHeight w:val="962"/>
          <w:jc w:val="center"/>
        </w:trPr>
        <w:tc>
          <w:tcPr>
            <w:tcW w:w="337" w:type="pct"/>
            <w:tcBorders>
              <w:top w:val="single" w:sz="4" w:space="0" w:color="auto"/>
            </w:tcBorders>
          </w:tcPr>
          <w:p w14:paraId="33DBA27D" w14:textId="77777777" w:rsidR="00186A79" w:rsidRPr="0031164B" w:rsidRDefault="00186A79" w:rsidP="00CD4205">
            <w:pPr>
              <w:pStyle w:val="Odstavecseseznamem"/>
              <w:numPr>
                <w:ilvl w:val="0"/>
                <w:numId w:val="21"/>
              </w:numPr>
              <w:rPr>
                <w:lang w:val="en-GB"/>
              </w:rPr>
            </w:pPr>
          </w:p>
        </w:tc>
        <w:tc>
          <w:tcPr>
            <w:tcW w:w="3153" w:type="pct"/>
            <w:tcBorders>
              <w:top w:val="single" w:sz="4" w:space="0" w:color="auto"/>
            </w:tcBorders>
          </w:tcPr>
          <w:p w14:paraId="0BF560F1" w14:textId="77777777" w:rsidR="00186A79" w:rsidRPr="0031164B" w:rsidRDefault="00186A79" w:rsidP="00D23897">
            <w:pPr>
              <w:jc w:val="both"/>
              <w:rPr>
                <w:sz w:val="22"/>
                <w:szCs w:val="22"/>
                <w:lang w:val="en-GB"/>
              </w:rPr>
            </w:pPr>
            <w:r w:rsidRPr="0031164B">
              <w:rPr>
                <w:sz w:val="22"/>
                <w:szCs w:val="22"/>
                <w:lang w:val="en-GB"/>
              </w:rPr>
              <w:t>Ensure that the patient card is handed out to the patient prior to or at administration and latest at discharge from the hospital and maintain documentation per patient that the patient card has been handed out.</w:t>
            </w:r>
          </w:p>
        </w:tc>
        <w:tc>
          <w:tcPr>
            <w:tcW w:w="388" w:type="pct"/>
            <w:tcBorders>
              <w:top w:val="single" w:sz="4" w:space="0" w:color="auto"/>
            </w:tcBorders>
          </w:tcPr>
          <w:p w14:paraId="5F94B49F" w14:textId="77777777" w:rsidR="00186A79" w:rsidRPr="0031164B" w:rsidRDefault="00186A79" w:rsidP="00D23897">
            <w:pPr>
              <w:jc w:val="center"/>
              <w:rPr>
                <w:b/>
                <w:caps/>
                <w:sz w:val="22"/>
                <w:szCs w:val="22"/>
                <w:lang w:val="en-GB"/>
              </w:rPr>
            </w:pPr>
          </w:p>
        </w:tc>
        <w:tc>
          <w:tcPr>
            <w:tcW w:w="518" w:type="pct"/>
            <w:tcBorders>
              <w:top w:val="single" w:sz="4" w:space="0" w:color="auto"/>
            </w:tcBorders>
          </w:tcPr>
          <w:p w14:paraId="66E22501" w14:textId="77777777" w:rsidR="00186A79" w:rsidRPr="0031164B" w:rsidRDefault="00186A79" w:rsidP="00D23897">
            <w:pPr>
              <w:jc w:val="center"/>
              <w:rPr>
                <w:b/>
                <w:caps/>
                <w:sz w:val="22"/>
                <w:szCs w:val="22"/>
                <w:lang w:val="en-GB"/>
              </w:rPr>
            </w:pPr>
          </w:p>
        </w:tc>
        <w:tc>
          <w:tcPr>
            <w:tcW w:w="259" w:type="pct"/>
            <w:tcBorders>
              <w:top w:val="single" w:sz="4" w:space="0" w:color="auto"/>
            </w:tcBorders>
          </w:tcPr>
          <w:p w14:paraId="0CB29120"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39763278" w14:textId="77777777" w:rsidR="00186A79" w:rsidRPr="0031164B" w:rsidRDefault="00186A79" w:rsidP="00D23897">
            <w:pPr>
              <w:jc w:val="center"/>
              <w:rPr>
                <w:b/>
                <w:caps/>
                <w:sz w:val="22"/>
                <w:szCs w:val="22"/>
                <w:lang w:val="en-GB"/>
              </w:rPr>
            </w:pPr>
            <w:r w:rsidRPr="0031164B">
              <w:rPr>
                <w:b/>
                <w:caps/>
                <w:sz w:val="22"/>
                <w:szCs w:val="22"/>
                <w:lang w:val="en-GB"/>
              </w:rPr>
              <w:t>X</w:t>
            </w:r>
          </w:p>
        </w:tc>
      </w:tr>
      <w:tr w:rsidR="00186A79" w:rsidRPr="0031164B" w14:paraId="587A7D55" w14:textId="77777777" w:rsidTr="00D23897">
        <w:trPr>
          <w:trHeight w:val="728"/>
          <w:jc w:val="center"/>
        </w:trPr>
        <w:tc>
          <w:tcPr>
            <w:tcW w:w="337" w:type="pct"/>
            <w:tcBorders>
              <w:top w:val="single" w:sz="4" w:space="0" w:color="auto"/>
            </w:tcBorders>
          </w:tcPr>
          <w:p w14:paraId="38F387FF" w14:textId="77777777" w:rsidR="00186A79" w:rsidRPr="0031164B" w:rsidRDefault="00186A79" w:rsidP="00CD4205">
            <w:pPr>
              <w:pStyle w:val="Odstavecseseznamem"/>
              <w:numPr>
                <w:ilvl w:val="0"/>
                <w:numId w:val="21"/>
              </w:numPr>
              <w:rPr>
                <w:lang w:val="en-GB"/>
              </w:rPr>
            </w:pPr>
          </w:p>
        </w:tc>
        <w:tc>
          <w:tcPr>
            <w:tcW w:w="3153" w:type="pct"/>
            <w:tcBorders>
              <w:top w:val="single" w:sz="4" w:space="0" w:color="auto"/>
            </w:tcBorders>
          </w:tcPr>
          <w:p w14:paraId="71B50957" w14:textId="77777777" w:rsidR="00186A79" w:rsidRPr="0031164B" w:rsidRDefault="00186A79" w:rsidP="00D23897">
            <w:pPr>
              <w:jc w:val="both"/>
              <w:rPr>
                <w:sz w:val="22"/>
                <w:szCs w:val="22"/>
                <w:lang w:val="en-GB"/>
              </w:rPr>
            </w:pPr>
            <w:r w:rsidRPr="0031164B">
              <w:rPr>
                <w:color w:val="000000"/>
                <w:sz w:val="22"/>
                <w:szCs w:val="22"/>
                <w:lang w:val="en-GB" w:eastAsia="en-US"/>
              </w:rPr>
              <w:t xml:space="preserve">Maintain, in accordance with GxP documentation, an up-to date list of healthcare professionals who have been provided with the educational tools, at the site. </w:t>
            </w:r>
          </w:p>
        </w:tc>
        <w:tc>
          <w:tcPr>
            <w:tcW w:w="388" w:type="pct"/>
            <w:tcBorders>
              <w:top w:val="single" w:sz="4" w:space="0" w:color="auto"/>
            </w:tcBorders>
          </w:tcPr>
          <w:p w14:paraId="4934484A" w14:textId="77777777" w:rsidR="00186A79" w:rsidRPr="0031164B" w:rsidRDefault="00186A79" w:rsidP="00D23897">
            <w:pPr>
              <w:jc w:val="center"/>
              <w:rPr>
                <w:b/>
                <w:caps/>
                <w:sz w:val="22"/>
                <w:szCs w:val="22"/>
                <w:lang w:val="en-GB"/>
              </w:rPr>
            </w:pPr>
          </w:p>
        </w:tc>
        <w:tc>
          <w:tcPr>
            <w:tcW w:w="518" w:type="pct"/>
            <w:tcBorders>
              <w:top w:val="single" w:sz="4" w:space="0" w:color="auto"/>
            </w:tcBorders>
          </w:tcPr>
          <w:p w14:paraId="75C6181F"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259" w:type="pct"/>
            <w:tcBorders>
              <w:top w:val="single" w:sz="4" w:space="0" w:color="auto"/>
            </w:tcBorders>
          </w:tcPr>
          <w:p w14:paraId="4B9843EA" w14:textId="77777777" w:rsidR="00186A79" w:rsidRPr="0031164B" w:rsidRDefault="00186A79" w:rsidP="00D23897">
            <w:pPr>
              <w:jc w:val="center"/>
              <w:rPr>
                <w:b/>
                <w:caps/>
                <w:sz w:val="22"/>
                <w:szCs w:val="22"/>
                <w:lang w:val="en-GB"/>
              </w:rPr>
            </w:pPr>
            <w:r w:rsidRPr="0031164B">
              <w:rPr>
                <w:b/>
                <w:caps/>
                <w:sz w:val="22"/>
                <w:szCs w:val="22"/>
                <w:lang w:val="en-GB"/>
              </w:rPr>
              <w:t>X</w:t>
            </w:r>
          </w:p>
        </w:tc>
        <w:tc>
          <w:tcPr>
            <w:tcW w:w="345" w:type="pct"/>
            <w:tcBorders>
              <w:top w:val="single" w:sz="4" w:space="0" w:color="auto"/>
            </w:tcBorders>
          </w:tcPr>
          <w:p w14:paraId="2B723C27" w14:textId="77777777" w:rsidR="00186A79" w:rsidRPr="0031164B" w:rsidRDefault="00186A79" w:rsidP="00D23897">
            <w:pPr>
              <w:jc w:val="center"/>
              <w:rPr>
                <w:b/>
                <w:caps/>
                <w:sz w:val="22"/>
                <w:szCs w:val="22"/>
                <w:lang w:val="en-GB"/>
              </w:rPr>
            </w:pPr>
            <w:r w:rsidRPr="0031164B">
              <w:rPr>
                <w:b/>
                <w:caps/>
                <w:sz w:val="22"/>
                <w:szCs w:val="22"/>
                <w:lang w:val="en-GB"/>
              </w:rPr>
              <w:t>X</w:t>
            </w:r>
          </w:p>
        </w:tc>
      </w:tr>
      <w:tr w:rsidR="00186A79" w:rsidRPr="0031164B" w14:paraId="18520D44" w14:textId="77777777" w:rsidTr="00D23897">
        <w:trPr>
          <w:trHeight w:val="845"/>
          <w:jc w:val="center"/>
        </w:trPr>
        <w:tc>
          <w:tcPr>
            <w:tcW w:w="337" w:type="pct"/>
            <w:tcBorders>
              <w:top w:val="single" w:sz="4" w:space="0" w:color="auto"/>
            </w:tcBorders>
          </w:tcPr>
          <w:p w14:paraId="6E27058F" w14:textId="77777777" w:rsidR="00186A79" w:rsidRPr="0031164B" w:rsidRDefault="00186A79" w:rsidP="00CD4205">
            <w:pPr>
              <w:pStyle w:val="Odstavecseseznamem"/>
              <w:numPr>
                <w:ilvl w:val="0"/>
                <w:numId w:val="21"/>
              </w:numPr>
              <w:rPr>
                <w:lang w:val="en-GB"/>
              </w:rPr>
            </w:pPr>
            <w:r w:rsidRPr="0031164B">
              <w:rPr>
                <w:lang w:val="en-GB"/>
              </w:rPr>
              <w:t xml:space="preserve"> </w:t>
            </w:r>
          </w:p>
        </w:tc>
        <w:tc>
          <w:tcPr>
            <w:tcW w:w="3153" w:type="pct"/>
            <w:tcBorders>
              <w:top w:val="single" w:sz="4" w:space="0" w:color="auto"/>
            </w:tcBorders>
          </w:tcPr>
          <w:p w14:paraId="6A0D3D6D" w14:textId="77777777" w:rsidR="00186A79" w:rsidRPr="0031164B" w:rsidRDefault="00186A79" w:rsidP="00D23897">
            <w:pPr>
              <w:jc w:val="both"/>
              <w:rPr>
                <w:sz w:val="22"/>
                <w:szCs w:val="22"/>
                <w:lang w:val="en-GB"/>
              </w:rPr>
            </w:pPr>
            <w:r w:rsidRPr="0031164B">
              <w:rPr>
                <w:sz w:val="22"/>
                <w:szCs w:val="22"/>
                <w:lang w:val="en-GB"/>
              </w:rPr>
              <w:t>Ensure written procedures covering the Risk Minimization Program requirements are in place.</w:t>
            </w:r>
          </w:p>
        </w:tc>
        <w:tc>
          <w:tcPr>
            <w:tcW w:w="388" w:type="pct"/>
            <w:tcBorders>
              <w:top w:val="single" w:sz="4" w:space="0" w:color="auto"/>
            </w:tcBorders>
          </w:tcPr>
          <w:p w14:paraId="18FA6FD1" w14:textId="77777777" w:rsidR="00186A79" w:rsidRPr="0031164B" w:rsidRDefault="00186A79" w:rsidP="00D23897">
            <w:pPr>
              <w:jc w:val="center"/>
              <w:rPr>
                <w:b/>
                <w:caps/>
                <w:sz w:val="22"/>
                <w:szCs w:val="22"/>
                <w:lang w:val="en-GB"/>
              </w:rPr>
            </w:pPr>
          </w:p>
        </w:tc>
        <w:tc>
          <w:tcPr>
            <w:tcW w:w="518" w:type="pct"/>
            <w:tcBorders>
              <w:top w:val="single" w:sz="4" w:space="0" w:color="auto"/>
            </w:tcBorders>
          </w:tcPr>
          <w:p w14:paraId="5AA06A02" w14:textId="77777777" w:rsidR="00186A79" w:rsidRPr="0031164B" w:rsidRDefault="00186A79" w:rsidP="00D23897">
            <w:pPr>
              <w:jc w:val="center"/>
              <w:rPr>
                <w:b/>
                <w:caps/>
                <w:sz w:val="22"/>
                <w:szCs w:val="22"/>
                <w:lang w:val="en-GB"/>
              </w:rPr>
            </w:pPr>
          </w:p>
        </w:tc>
        <w:tc>
          <w:tcPr>
            <w:tcW w:w="259" w:type="pct"/>
            <w:tcBorders>
              <w:top w:val="single" w:sz="4" w:space="0" w:color="auto"/>
            </w:tcBorders>
          </w:tcPr>
          <w:p w14:paraId="570FBAB2" w14:textId="77777777" w:rsidR="00186A79" w:rsidRPr="0031164B" w:rsidRDefault="00186A79" w:rsidP="00D23897">
            <w:pPr>
              <w:jc w:val="center"/>
              <w:rPr>
                <w:b/>
                <w:caps/>
                <w:sz w:val="22"/>
                <w:szCs w:val="22"/>
                <w:lang w:val="en-GB"/>
              </w:rPr>
            </w:pPr>
          </w:p>
        </w:tc>
        <w:tc>
          <w:tcPr>
            <w:tcW w:w="345" w:type="pct"/>
            <w:tcBorders>
              <w:top w:val="single" w:sz="4" w:space="0" w:color="auto"/>
            </w:tcBorders>
          </w:tcPr>
          <w:p w14:paraId="117A350E" w14:textId="77777777" w:rsidR="00186A79" w:rsidRPr="0031164B" w:rsidRDefault="00186A79" w:rsidP="00D23897">
            <w:pPr>
              <w:jc w:val="center"/>
              <w:rPr>
                <w:b/>
                <w:caps/>
                <w:sz w:val="22"/>
                <w:szCs w:val="22"/>
                <w:lang w:val="en-GB"/>
              </w:rPr>
            </w:pPr>
            <w:r w:rsidRPr="0031164B">
              <w:rPr>
                <w:b/>
                <w:caps/>
                <w:sz w:val="22"/>
                <w:szCs w:val="22"/>
                <w:lang w:val="en-GB"/>
              </w:rPr>
              <w:t>X</w:t>
            </w:r>
          </w:p>
        </w:tc>
      </w:tr>
    </w:tbl>
    <w:p w14:paraId="651D4910" w14:textId="77777777" w:rsidR="00186A79" w:rsidRPr="0031164B" w:rsidRDefault="00186A79" w:rsidP="00186A79">
      <w:pPr>
        <w:rPr>
          <w:lang w:val="en-GB" w:eastAsia="en-US"/>
        </w:rPr>
      </w:pPr>
    </w:p>
    <w:sectPr w:rsidR="00186A79" w:rsidRPr="0031164B" w:rsidSect="00525766">
      <w:pgSz w:w="12240" w:h="15840"/>
      <w:pgMar w:top="1098" w:right="360" w:bottom="851" w:left="993" w:header="720"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C470" w14:textId="77777777" w:rsidR="00A5483A" w:rsidRDefault="00A5483A">
      <w:r>
        <w:separator/>
      </w:r>
    </w:p>
  </w:endnote>
  <w:endnote w:type="continuationSeparator" w:id="0">
    <w:p w14:paraId="00EE6C58" w14:textId="77777777" w:rsidR="00A5483A" w:rsidRDefault="00A5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0348847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3E34E5A" w14:textId="3A0F95BF" w:rsidR="005D6320" w:rsidRPr="008102D8" w:rsidRDefault="005D6320" w:rsidP="008102D8">
            <w:pPr>
              <w:pStyle w:val="Zpat"/>
              <w:rPr>
                <w:sz w:val="16"/>
                <w:szCs w:val="16"/>
              </w:rPr>
            </w:pPr>
            <w:r>
              <w:rPr>
                <w:sz w:val="16"/>
                <w:szCs w:val="16"/>
              </w:rPr>
              <w:t xml:space="preserve">CZ_CAR T Rámcová smlouva o dodávkách produktů a službách aferézy_V1_PL_Final DŮVĚRNÉ Strana </w:t>
            </w:r>
            <w:r w:rsidRPr="008102D8">
              <w:rPr>
                <w:b/>
                <w:bCs/>
                <w:sz w:val="16"/>
                <w:szCs w:val="16"/>
              </w:rPr>
              <w:fldChar w:fldCharType="begin"/>
            </w:r>
            <w:r w:rsidRPr="008102D8">
              <w:rPr>
                <w:b/>
                <w:bCs/>
                <w:sz w:val="16"/>
                <w:szCs w:val="16"/>
              </w:rPr>
              <w:instrText xml:space="preserve"> PAGE </w:instrText>
            </w:r>
            <w:r w:rsidRPr="008102D8">
              <w:rPr>
                <w:b/>
                <w:bCs/>
                <w:sz w:val="16"/>
                <w:szCs w:val="16"/>
              </w:rPr>
              <w:fldChar w:fldCharType="separate"/>
            </w:r>
            <w:r>
              <w:rPr>
                <w:b/>
                <w:bCs/>
                <w:noProof/>
                <w:sz w:val="16"/>
                <w:szCs w:val="16"/>
              </w:rPr>
              <w:t>5</w:t>
            </w:r>
            <w:r w:rsidRPr="008102D8">
              <w:rPr>
                <w:b/>
                <w:bCs/>
                <w:sz w:val="16"/>
                <w:szCs w:val="16"/>
              </w:rPr>
              <w:fldChar w:fldCharType="end"/>
            </w:r>
            <w:r>
              <w:rPr>
                <w:sz w:val="16"/>
                <w:szCs w:val="16"/>
              </w:rPr>
              <w:t xml:space="preserve"> z </w:t>
            </w:r>
            <w:r w:rsidRPr="008102D8">
              <w:rPr>
                <w:b/>
                <w:bCs/>
                <w:sz w:val="16"/>
                <w:szCs w:val="16"/>
              </w:rPr>
              <w:fldChar w:fldCharType="begin"/>
            </w:r>
            <w:r w:rsidRPr="008102D8">
              <w:rPr>
                <w:b/>
                <w:bCs/>
                <w:sz w:val="16"/>
                <w:szCs w:val="16"/>
              </w:rPr>
              <w:instrText xml:space="preserve"> NUMPAGES  </w:instrText>
            </w:r>
            <w:r w:rsidRPr="008102D8">
              <w:rPr>
                <w:b/>
                <w:bCs/>
                <w:sz w:val="16"/>
                <w:szCs w:val="16"/>
              </w:rPr>
              <w:fldChar w:fldCharType="separate"/>
            </w:r>
            <w:r>
              <w:rPr>
                <w:b/>
                <w:bCs/>
                <w:noProof/>
                <w:sz w:val="16"/>
                <w:szCs w:val="16"/>
              </w:rPr>
              <w:t>69</w:t>
            </w:r>
            <w:r w:rsidRPr="008102D8">
              <w:rPr>
                <w:b/>
                <w:bCs/>
                <w:sz w:val="16"/>
                <w:szCs w:val="16"/>
              </w:rPr>
              <w:fldChar w:fldCharType="end"/>
            </w:r>
          </w:p>
        </w:sdtContent>
      </w:sdt>
    </w:sdtContent>
  </w:sdt>
  <w:p w14:paraId="63E34E5B" w14:textId="77777777" w:rsidR="005D6320" w:rsidRDefault="005D63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7568414"/>
      <w:docPartObj>
        <w:docPartGallery w:val="Page Numbers (Bottom of Page)"/>
        <w:docPartUnique/>
      </w:docPartObj>
    </w:sdtPr>
    <w:sdtContent>
      <w:sdt>
        <w:sdtPr>
          <w:rPr>
            <w:sz w:val="16"/>
            <w:szCs w:val="16"/>
          </w:rPr>
          <w:id w:val="-200014397"/>
          <w:docPartObj>
            <w:docPartGallery w:val="Page Numbers (Top of Page)"/>
            <w:docPartUnique/>
          </w:docPartObj>
        </w:sdtPr>
        <w:sdtContent>
          <w:p w14:paraId="63E34E5E" w14:textId="77777777" w:rsidR="005D6320" w:rsidRDefault="005D6320" w:rsidP="00D90D68">
            <w:pPr>
              <w:pStyle w:val="Zpat"/>
              <w:rPr>
                <w:sz w:val="16"/>
                <w:szCs w:val="16"/>
              </w:rPr>
            </w:pPr>
            <w:r>
              <w:rPr>
                <w:sz w:val="16"/>
                <w:szCs w:val="16"/>
              </w:rPr>
              <w:t xml:space="preserve">CZ_CAR T Rámcová smlouva o dodávkách produktů a službách aferézy_Vers1            </w:t>
            </w:r>
          </w:p>
          <w:p w14:paraId="6766B265" w14:textId="2F842C54" w:rsidR="005D6320" w:rsidRDefault="005D6320" w:rsidP="00D90D68">
            <w:pPr>
              <w:pStyle w:val="Zpat"/>
              <w:rPr>
                <w:b/>
                <w:bCs/>
                <w:sz w:val="16"/>
                <w:szCs w:val="16"/>
              </w:rPr>
            </w:pPr>
            <w:r>
              <w:rPr>
                <w:sz w:val="16"/>
                <w:szCs w:val="16"/>
              </w:rPr>
              <w:t>DŮVĚRNÉ</w:t>
            </w:r>
            <w:r>
              <w:rPr>
                <w:sz w:val="16"/>
                <w:szCs w:val="16"/>
              </w:rPr>
              <w:tab/>
            </w:r>
            <w:r>
              <w:rPr>
                <w:sz w:val="16"/>
                <w:szCs w:val="16"/>
              </w:rPr>
              <w:tab/>
              <w:t xml:space="preserve">Strana </w:t>
            </w:r>
            <w:r w:rsidRPr="008102D8">
              <w:rPr>
                <w:b/>
                <w:bCs/>
                <w:sz w:val="16"/>
                <w:szCs w:val="16"/>
              </w:rPr>
              <w:fldChar w:fldCharType="begin"/>
            </w:r>
            <w:r w:rsidRPr="008102D8">
              <w:rPr>
                <w:b/>
                <w:bCs/>
                <w:sz w:val="16"/>
                <w:szCs w:val="16"/>
              </w:rPr>
              <w:instrText xml:space="preserve"> PAGE </w:instrText>
            </w:r>
            <w:r w:rsidRPr="008102D8">
              <w:rPr>
                <w:b/>
                <w:bCs/>
                <w:sz w:val="16"/>
                <w:szCs w:val="16"/>
              </w:rPr>
              <w:fldChar w:fldCharType="separate"/>
            </w:r>
            <w:r>
              <w:rPr>
                <w:b/>
                <w:bCs/>
                <w:noProof/>
                <w:sz w:val="16"/>
                <w:szCs w:val="16"/>
              </w:rPr>
              <w:t>69</w:t>
            </w:r>
            <w:r w:rsidRPr="008102D8">
              <w:rPr>
                <w:b/>
                <w:bCs/>
                <w:sz w:val="16"/>
                <w:szCs w:val="16"/>
              </w:rPr>
              <w:fldChar w:fldCharType="end"/>
            </w:r>
            <w:r>
              <w:rPr>
                <w:sz w:val="16"/>
                <w:szCs w:val="16"/>
              </w:rPr>
              <w:t xml:space="preserve"> z </w:t>
            </w:r>
            <w:r w:rsidRPr="008102D8">
              <w:rPr>
                <w:b/>
                <w:bCs/>
                <w:sz w:val="16"/>
                <w:szCs w:val="16"/>
              </w:rPr>
              <w:fldChar w:fldCharType="begin"/>
            </w:r>
            <w:r w:rsidRPr="008102D8">
              <w:rPr>
                <w:b/>
                <w:bCs/>
                <w:sz w:val="16"/>
                <w:szCs w:val="16"/>
              </w:rPr>
              <w:instrText xml:space="preserve"> NUMPAGES  </w:instrText>
            </w:r>
            <w:r w:rsidRPr="008102D8">
              <w:rPr>
                <w:b/>
                <w:bCs/>
                <w:sz w:val="16"/>
                <w:szCs w:val="16"/>
              </w:rPr>
              <w:fldChar w:fldCharType="separate"/>
            </w:r>
            <w:r>
              <w:rPr>
                <w:b/>
                <w:bCs/>
                <w:noProof/>
                <w:sz w:val="16"/>
                <w:szCs w:val="16"/>
              </w:rPr>
              <w:t>69</w:t>
            </w:r>
            <w:r w:rsidRPr="008102D8">
              <w:rPr>
                <w:b/>
                <w:bCs/>
                <w:sz w:val="16"/>
                <w:szCs w:val="16"/>
              </w:rPr>
              <w:fldChar w:fldCharType="end"/>
            </w:r>
          </w:p>
          <w:sdt>
            <w:sdtPr>
              <w:rPr>
                <w:sz w:val="16"/>
                <w:szCs w:val="16"/>
              </w:rPr>
              <w:id w:val="-1032034490"/>
              <w:docPartObj>
                <w:docPartGallery w:val="Page Numbers (Top of Page)"/>
                <w:docPartUnique/>
              </w:docPartObj>
            </w:sdtPr>
            <w:sdtContent>
              <w:p w14:paraId="177A388E" w14:textId="77777777" w:rsidR="005D6320" w:rsidRPr="008D174D" w:rsidRDefault="005D6320" w:rsidP="00186A79">
                <w:pPr>
                  <w:pStyle w:val="Zpat"/>
                  <w:rPr>
                    <w:sz w:val="16"/>
                    <w:szCs w:val="16"/>
                  </w:rPr>
                </w:pPr>
                <w:r w:rsidRPr="008D174D">
                  <w:rPr>
                    <w:sz w:val="16"/>
                    <w:szCs w:val="16"/>
                  </w:rPr>
                  <w:t xml:space="preserve">CZ_CAR T Master Product Supply and Apheresis Services Agreement_Vers1            </w:t>
                </w:r>
              </w:p>
              <w:p w14:paraId="63E34E60" w14:textId="799E786A" w:rsidR="005D6320" w:rsidRPr="008D174D" w:rsidRDefault="005D6320" w:rsidP="00D90D68">
                <w:pPr>
                  <w:pStyle w:val="Zpat"/>
                  <w:rPr>
                    <w:b/>
                    <w:bCs/>
                    <w:sz w:val="16"/>
                    <w:szCs w:val="16"/>
                  </w:rPr>
                </w:pPr>
                <w:r w:rsidRPr="008D174D">
                  <w:rPr>
                    <w:sz w:val="16"/>
                    <w:szCs w:val="16"/>
                  </w:rPr>
                  <w:t>CONFIDENTIAL</w:t>
                </w:r>
                <w:r w:rsidRPr="008D174D">
                  <w:rPr>
                    <w:sz w:val="16"/>
                    <w:szCs w:val="16"/>
                  </w:rPr>
                  <w:tab/>
                </w:r>
                <w:r w:rsidRPr="008D174D">
                  <w:rPr>
                    <w:sz w:val="16"/>
                    <w:szCs w:val="16"/>
                  </w:rPr>
                  <w:tab/>
                  <w:t xml:space="preserve">Page </w:t>
                </w:r>
                <w:r w:rsidRPr="008D174D">
                  <w:rPr>
                    <w:b/>
                    <w:bCs/>
                    <w:sz w:val="16"/>
                    <w:szCs w:val="16"/>
                  </w:rPr>
                  <w:fldChar w:fldCharType="begin"/>
                </w:r>
                <w:r w:rsidRPr="008D174D">
                  <w:rPr>
                    <w:b/>
                    <w:bCs/>
                    <w:sz w:val="16"/>
                    <w:szCs w:val="16"/>
                  </w:rPr>
                  <w:instrText xml:space="preserve"> PAGE </w:instrText>
                </w:r>
                <w:r w:rsidRPr="008D174D">
                  <w:rPr>
                    <w:b/>
                    <w:bCs/>
                    <w:sz w:val="16"/>
                    <w:szCs w:val="16"/>
                  </w:rPr>
                  <w:fldChar w:fldCharType="separate"/>
                </w:r>
                <w:r>
                  <w:rPr>
                    <w:b/>
                    <w:bCs/>
                    <w:noProof/>
                    <w:sz w:val="16"/>
                    <w:szCs w:val="16"/>
                  </w:rPr>
                  <w:t>69</w:t>
                </w:r>
                <w:r w:rsidRPr="008D174D">
                  <w:rPr>
                    <w:b/>
                    <w:bCs/>
                    <w:sz w:val="16"/>
                    <w:szCs w:val="16"/>
                  </w:rPr>
                  <w:fldChar w:fldCharType="end"/>
                </w:r>
                <w:r w:rsidRPr="008D174D">
                  <w:rPr>
                    <w:sz w:val="16"/>
                    <w:szCs w:val="16"/>
                  </w:rPr>
                  <w:t xml:space="preserve"> of </w:t>
                </w:r>
                <w:r w:rsidRPr="008D174D">
                  <w:rPr>
                    <w:b/>
                    <w:bCs/>
                    <w:sz w:val="16"/>
                    <w:szCs w:val="16"/>
                  </w:rPr>
                  <w:fldChar w:fldCharType="begin"/>
                </w:r>
                <w:r w:rsidRPr="008D174D">
                  <w:rPr>
                    <w:b/>
                    <w:bCs/>
                    <w:sz w:val="16"/>
                    <w:szCs w:val="16"/>
                  </w:rPr>
                  <w:instrText xml:space="preserve"> NUMPAGES  </w:instrText>
                </w:r>
                <w:r w:rsidRPr="008D174D">
                  <w:rPr>
                    <w:b/>
                    <w:bCs/>
                    <w:sz w:val="16"/>
                    <w:szCs w:val="16"/>
                  </w:rPr>
                  <w:fldChar w:fldCharType="separate"/>
                </w:r>
                <w:r>
                  <w:rPr>
                    <w:b/>
                    <w:bCs/>
                    <w:noProof/>
                    <w:sz w:val="16"/>
                    <w:szCs w:val="16"/>
                  </w:rPr>
                  <w:t>69</w:t>
                </w:r>
                <w:r w:rsidRPr="008D174D">
                  <w:rPr>
                    <w:b/>
                    <w:bCs/>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CC53" w14:textId="77777777" w:rsidR="00A5483A" w:rsidRDefault="00A5483A">
      <w:r>
        <w:separator/>
      </w:r>
    </w:p>
  </w:footnote>
  <w:footnote w:type="continuationSeparator" w:id="0">
    <w:p w14:paraId="5994FD91" w14:textId="77777777" w:rsidR="00A5483A" w:rsidRDefault="00A5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E26FA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335FC9"/>
    <w:multiLevelType w:val="hybridMultilevel"/>
    <w:tmpl w:val="C9E6245A"/>
    <w:lvl w:ilvl="0" w:tplc="74ECE294">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D6E8C"/>
    <w:multiLevelType w:val="hybridMultilevel"/>
    <w:tmpl w:val="A6C0BA72"/>
    <w:lvl w:ilvl="0" w:tplc="D84ED238">
      <w:start w:val="1"/>
      <w:numFmt w:val="lowerRoma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A3405"/>
    <w:multiLevelType w:val="hybridMultilevel"/>
    <w:tmpl w:val="5DA26C58"/>
    <w:lvl w:ilvl="0" w:tplc="0700D53A">
      <w:start w:val="1"/>
      <w:numFmt w:val="bullet"/>
      <w:lvlText w:val=""/>
      <w:lvlJc w:val="left"/>
      <w:pPr>
        <w:ind w:left="720" w:hanging="360"/>
      </w:pPr>
      <w:rPr>
        <w:rFonts w:ascii="Symbol" w:hAnsi="Symbol" w:hint="default"/>
      </w:rPr>
    </w:lvl>
    <w:lvl w:ilvl="1" w:tplc="90BAADEA" w:tentative="1">
      <w:start w:val="1"/>
      <w:numFmt w:val="bullet"/>
      <w:lvlText w:val="o"/>
      <w:lvlJc w:val="left"/>
      <w:pPr>
        <w:ind w:left="1440" w:hanging="360"/>
      </w:pPr>
      <w:rPr>
        <w:rFonts w:ascii="Courier New" w:hAnsi="Courier New" w:cs="Courier New" w:hint="default"/>
      </w:rPr>
    </w:lvl>
    <w:lvl w:ilvl="2" w:tplc="66A06E02" w:tentative="1">
      <w:start w:val="1"/>
      <w:numFmt w:val="bullet"/>
      <w:lvlText w:val=""/>
      <w:lvlJc w:val="left"/>
      <w:pPr>
        <w:ind w:left="2160" w:hanging="360"/>
      </w:pPr>
      <w:rPr>
        <w:rFonts w:ascii="Wingdings" w:hAnsi="Wingdings" w:hint="default"/>
      </w:rPr>
    </w:lvl>
    <w:lvl w:ilvl="3" w:tplc="AEDA575E" w:tentative="1">
      <w:start w:val="1"/>
      <w:numFmt w:val="bullet"/>
      <w:lvlText w:val=""/>
      <w:lvlJc w:val="left"/>
      <w:pPr>
        <w:ind w:left="2880" w:hanging="360"/>
      </w:pPr>
      <w:rPr>
        <w:rFonts w:ascii="Symbol" w:hAnsi="Symbol" w:hint="default"/>
      </w:rPr>
    </w:lvl>
    <w:lvl w:ilvl="4" w:tplc="1A2ED608" w:tentative="1">
      <w:start w:val="1"/>
      <w:numFmt w:val="bullet"/>
      <w:lvlText w:val="o"/>
      <w:lvlJc w:val="left"/>
      <w:pPr>
        <w:ind w:left="3600" w:hanging="360"/>
      </w:pPr>
      <w:rPr>
        <w:rFonts w:ascii="Courier New" w:hAnsi="Courier New" w:cs="Courier New" w:hint="default"/>
      </w:rPr>
    </w:lvl>
    <w:lvl w:ilvl="5" w:tplc="A9989D8C" w:tentative="1">
      <w:start w:val="1"/>
      <w:numFmt w:val="bullet"/>
      <w:lvlText w:val=""/>
      <w:lvlJc w:val="left"/>
      <w:pPr>
        <w:ind w:left="4320" w:hanging="360"/>
      </w:pPr>
      <w:rPr>
        <w:rFonts w:ascii="Wingdings" w:hAnsi="Wingdings" w:hint="default"/>
      </w:rPr>
    </w:lvl>
    <w:lvl w:ilvl="6" w:tplc="AE7E985A" w:tentative="1">
      <w:start w:val="1"/>
      <w:numFmt w:val="bullet"/>
      <w:lvlText w:val=""/>
      <w:lvlJc w:val="left"/>
      <w:pPr>
        <w:ind w:left="5040" w:hanging="360"/>
      </w:pPr>
      <w:rPr>
        <w:rFonts w:ascii="Symbol" w:hAnsi="Symbol" w:hint="default"/>
      </w:rPr>
    </w:lvl>
    <w:lvl w:ilvl="7" w:tplc="539CFE56" w:tentative="1">
      <w:start w:val="1"/>
      <w:numFmt w:val="bullet"/>
      <w:lvlText w:val="o"/>
      <w:lvlJc w:val="left"/>
      <w:pPr>
        <w:ind w:left="5760" w:hanging="360"/>
      </w:pPr>
      <w:rPr>
        <w:rFonts w:ascii="Courier New" w:hAnsi="Courier New" w:cs="Courier New" w:hint="default"/>
      </w:rPr>
    </w:lvl>
    <w:lvl w:ilvl="8" w:tplc="C58C09F4" w:tentative="1">
      <w:start w:val="1"/>
      <w:numFmt w:val="bullet"/>
      <w:lvlText w:val=""/>
      <w:lvlJc w:val="left"/>
      <w:pPr>
        <w:ind w:left="6480" w:hanging="360"/>
      </w:pPr>
      <w:rPr>
        <w:rFonts w:ascii="Wingdings" w:hAnsi="Wingdings" w:hint="default"/>
      </w:rPr>
    </w:lvl>
  </w:abstractNum>
  <w:abstractNum w:abstractNumId="4" w15:restartNumberingAfterBreak="0">
    <w:nsid w:val="0FE74F7D"/>
    <w:multiLevelType w:val="multilevel"/>
    <w:tmpl w:val="29A294C6"/>
    <w:name w:val="CustomListNum"/>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color w:val="auto"/>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1D28D7"/>
    <w:multiLevelType w:val="hybridMultilevel"/>
    <w:tmpl w:val="BB96DBA2"/>
    <w:lvl w:ilvl="0" w:tplc="832A8848">
      <w:start w:val="1"/>
      <w:numFmt w:val="decimal"/>
      <w:lvlText w:val="%1."/>
      <w:lvlJc w:val="left"/>
      <w:pPr>
        <w:ind w:left="720" w:hanging="360"/>
      </w:pPr>
      <w:rPr>
        <w:b/>
        <w:bCs w:val="0"/>
      </w:rPr>
    </w:lvl>
    <w:lvl w:ilvl="1" w:tplc="C1D493EE" w:tentative="1">
      <w:start w:val="1"/>
      <w:numFmt w:val="lowerLetter"/>
      <w:lvlText w:val="%2."/>
      <w:lvlJc w:val="left"/>
      <w:pPr>
        <w:ind w:left="1440" w:hanging="360"/>
      </w:pPr>
    </w:lvl>
    <w:lvl w:ilvl="2" w:tplc="977255DA" w:tentative="1">
      <w:start w:val="1"/>
      <w:numFmt w:val="lowerRoman"/>
      <w:lvlText w:val="%3."/>
      <w:lvlJc w:val="right"/>
      <w:pPr>
        <w:ind w:left="2160" w:hanging="180"/>
      </w:pPr>
    </w:lvl>
    <w:lvl w:ilvl="3" w:tplc="FB825E8A" w:tentative="1">
      <w:start w:val="1"/>
      <w:numFmt w:val="decimal"/>
      <w:lvlText w:val="%4."/>
      <w:lvlJc w:val="left"/>
      <w:pPr>
        <w:ind w:left="2880" w:hanging="360"/>
      </w:pPr>
    </w:lvl>
    <w:lvl w:ilvl="4" w:tplc="3530FA68" w:tentative="1">
      <w:start w:val="1"/>
      <w:numFmt w:val="lowerLetter"/>
      <w:lvlText w:val="%5."/>
      <w:lvlJc w:val="left"/>
      <w:pPr>
        <w:ind w:left="3600" w:hanging="360"/>
      </w:pPr>
    </w:lvl>
    <w:lvl w:ilvl="5" w:tplc="FDB0E8BA" w:tentative="1">
      <w:start w:val="1"/>
      <w:numFmt w:val="lowerRoman"/>
      <w:lvlText w:val="%6."/>
      <w:lvlJc w:val="right"/>
      <w:pPr>
        <w:ind w:left="4320" w:hanging="180"/>
      </w:pPr>
    </w:lvl>
    <w:lvl w:ilvl="6" w:tplc="B2702A90" w:tentative="1">
      <w:start w:val="1"/>
      <w:numFmt w:val="decimal"/>
      <w:lvlText w:val="%7."/>
      <w:lvlJc w:val="left"/>
      <w:pPr>
        <w:ind w:left="5040" w:hanging="360"/>
      </w:pPr>
    </w:lvl>
    <w:lvl w:ilvl="7" w:tplc="2AB00BB8" w:tentative="1">
      <w:start w:val="1"/>
      <w:numFmt w:val="lowerLetter"/>
      <w:lvlText w:val="%8."/>
      <w:lvlJc w:val="left"/>
      <w:pPr>
        <w:ind w:left="5760" w:hanging="360"/>
      </w:pPr>
    </w:lvl>
    <w:lvl w:ilvl="8" w:tplc="CF1CE76A" w:tentative="1">
      <w:start w:val="1"/>
      <w:numFmt w:val="lowerRoman"/>
      <w:lvlText w:val="%9."/>
      <w:lvlJc w:val="right"/>
      <w:pPr>
        <w:ind w:left="6480" w:hanging="180"/>
      </w:pPr>
    </w:lvl>
  </w:abstractNum>
  <w:abstractNum w:abstractNumId="6" w15:restartNumberingAfterBreak="0">
    <w:nsid w:val="13CD5C2A"/>
    <w:multiLevelType w:val="hybridMultilevel"/>
    <w:tmpl w:val="661E2B0C"/>
    <w:lvl w:ilvl="0" w:tplc="416648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53D50"/>
    <w:multiLevelType w:val="multilevel"/>
    <w:tmpl w:val="1CF40D12"/>
    <w:lvl w:ilvl="0">
      <w:start w:val="3"/>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8" w15:restartNumberingAfterBreak="0">
    <w:nsid w:val="19DB2086"/>
    <w:multiLevelType w:val="multilevel"/>
    <w:tmpl w:val="6ADE1FAE"/>
    <w:lvl w:ilvl="0">
      <w:start w:val="1"/>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lang w:val="en-US"/>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9" w15:restartNumberingAfterBreak="0">
    <w:nsid w:val="1DAC0C8D"/>
    <w:multiLevelType w:val="hybridMultilevel"/>
    <w:tmpl w:val="58AA073A"/>
    <w:lvl w:ilvl="0" w:tplc="5D26F00A">
      <w:start w:val="1"/>
      <w:numFmt w:val="lowerRoman"/>
      <w:lvlText w:val="%1."/>
      <w:lvlJc w:val="right"/>
      <w:pPr>
        <w:tabs>
          <w:tab w:val="num" w:pos="2160"/>
        </w:tabs>
        <w:ind w:left="2160" w:hanging="18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2017C"/>
    <w:multiLevelType w:val="hybridMultilevel"/>
    <w:tmpl w:val="3D869554"/>
    <w:lvl w:ilvl="0" w:tplc="2A4E4654">
      <w:start w:val="1"/>
      <w:numFmt w:val="bullet"/>
      <w:lvlText w:val=""/>
      <w:lvlJc w:val="left"/>
      <w:pPr>
        <w:ind w:left="1080" w:hanging="360"/>
      </w:pPr>
      <w:rPr>
        <w:rFonts w:ascii="Symbol" w:hAnsi="Symbol" w:hint="default"/>
      </w:rPr>
    </w:lvl>
    <w:lvl w:ilvl="1" w:tplc="7868A262" w:tentative="1">
      <w:start w:val="1"/>
      <w:numFmt w:val="bullet"/>
      <w:lvlText w:val="o"/>
      <w:lvlJc w:val="left"/>
      <w:pPr>
        <w:ind w:left="1800" w:hanging="360"/>
      </w:pPr>
      <w:rPr>
        <w:rFonts w:ascii="Courier New" w:hAnsi="Courier New" w:cs="Courier New" w:hint="default"/>
      </w:rPr>
    </w:lvl>
    <w:lvl w:ilvl="2" w:tplc="1A9AEA7E" w:tentative="1">
      <w:start w:val="1"/>
      <w:numFmt w:val="bullet"/>
      <w:lvlText w:val=""/>
      <w:lvlJc w:val="left"/>
      <w:pPr>
        <w:ind w:left="2520" w:hanging="360"/>
      </w:pPr>
      <w:rPr>
        <w:rFonts w:ascii="Wingdings" w:hAnsi="Wingdings" w:hint="default"/>
      </w:rPr>
    </w:lvl>
    <w:lvl w:ilvl="3" w:tplc="78CE07DC" w:tentative="1">
      <w:start w:val="1"/>
      <w:numFmt w:val="bullet"/>
      <w:lvlText w:val=""/>
      <w:lvlJc w:val="left"/>
      <w:pPr>
        <w:ind w:left="3240" w:hanging="360"/>
      </w:pPr>
      <w:rPr>
        <w:rFonts w:ascii="Symbol" w:hAnsi="Symbol" w:hint="default"/>
      </w:rPr>
    </w:lvl>
    <w:lvl w:ilvl="4" w:tplc="D5AA7746" w:tentative="1">
      <w:start w:val="1"/>
      <w:numFmt w:val="bullet"/>
      <w:lvlText w:val="o"/>
      <w:lvlJc w:val="left"/>
      <w:pPr>
        <w:ind w:left="3960" w:hanging="360"/>
      </w:pPr>
      <w:rPr>
        <w:rFonts w:ascii="Courier New" w:hAnsi="Courier New" w:cs="Courier New" w:hint="default"/>
      </w:rPr>
    </w:lvl>
    <w:lvl w:ilvl="5" w:tplc="36445F14" w:tentative="1">
      <w:start w:val="1"/>
      <w:numFmt w:val="bullet"/>
      <w:lvlText w:val=""/>
      <w:lvlJc w:val="left"/>
      <w:pPr>
        <w:ind w:left="4680" w:hanging="360"/>
      </w:pPr>
      <w:rPr>
        <w:rFonts w:ascii="Wingdings" w:hAnsi="Wingdings" w:hint="default"/>
      </w:rPr>
    </w:lvl>
    <w:lvl w:ilvl="6" w:tplc="17BABAD6" w:tentative="1">
      <w:start w:val="1"/>
      <w:numFmt w:val="bullet"/>
      <w:lvlText w:val=""/>
      <w:lvlJc w:val="left"/>
      <w:pPr>
        <w:ind w:left="5400" w:hanging="360"/>
      </w:pPr>
      <w:rPr>
        <w:rFonts w:ascii="Symbol" w:hAnsi="Symbol" w:hint="default"/>
      </w:rPr>
    </w:lvl>
    <w:lvl w:ilvl="7" w:tplc="22649E40" w:tentative="1">
      <w:start w:val="1"/>
      <w:numFmt w:val="bullet"/>
      <w:lvlText w:val="o"/>
      <w:lvlJc w:val="left"/>
      <w:pPr>
        <w:ind w:left="6120" w:hanging="360"/>
      </w:pPr>
      <w:rPr>
        <w:rFonts w:ascii="Courier New" w:hAnsi="Courier New" w:cs="Courier New" w:hint="default"/>
      </w:rPr>
    </w:lvl>
    <w:lvl w:ilvl="8" w:tplc="760C2C92" w:tentative="1">
      <w:start w:val="1"/>
      <w:numFmt w:val="bullet"/>
      <w:lvlText w:val=""/>
      <w:lvlJc w:val="left"/>
      <w:pPr>
        <w:ind w:left="6840" w:hanging="360"/>
      </w:pPr>
      <w:rPr>
        <w:rFonts w:ascii="Wingdings" w:hAnsi="Wingdings" w:hint="default"/>
      </w:rPr>
    </w:lvl>
  </w:abstractNum>
  <w:abstractNum w:abstractNumId="11" w15:restartNumberingAfterBreak="0">
    <w:nsid w:val="23E8323C"/>
    <w:multiLevelType w:val="multilevel"/>
    <w:tmpl w:val="46B0218C"/>
    <w:lvl w:ilvl="0">
      <w:start w:val="2"/>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2" w15:restartNumberingAfterBreak="0">
    <w:nsid w:val="25210EBE"/>
    <w:multiLevelType w:val="hybridMultilevel"/>
    <w:tmpl w:val="E586C302"/>
    <w:lvl w:ilvl="0" w:tplc="D84ED238">
      <w:start w:val="1"/>
      <w:numFmt w:val="lowerRoman"/>
      <w:lvlText w:val="(%1)"/>
      <w:lvlJc w:val="left"/>
      <w:pPr>
        <w:ind w:left="1080" w:hanging="720"/>
      </w:pPr>
    </w:lvl>
    <w:lvl w:ilvl="1" w:tplc="2B48D0A4">
      <w:start w:val="1"/>
      <w:numFmt w:val="decimal"/>
      <w:lvlText w:val="%2."/>
      <w:lvlJc w:val="left"/>
      <w:pPr>
        <w:tabs>
          <w:tab w:val="num" w:pos="1440"/>
        </w:tabs>
        <w:ind w:left="1440" w:hanging="360"/>
      </w:pPr>
    </w:lvl>
    <w:lvl w:ilvl="2" w:tplc="9EE89354">
      <w:start w:val="1"/>
      <w:numFmt w:val="decimal"/>
      <w:lvlText w:val="%3."/>
      <w:lvlJc w:val="left"/>
      <w:pPr>
        <w:tabs>
          <w:tab w:val="num" w:pos="2160"/>
        </w:tabs>
        <w:ind w:left="2160" w:hanging="360"/>
      </w:pPr>
    </w:lvl>
    <w:lvl w:ilvl="3" w:tplc="8D8CA372">
      <w:start w:val="1"/>
      <w:numFmt w:val="decimal"/>
      <w:lvlText w:val="%4."/>
      <w:lvlJc w:val="left"/>
      <w:pPr>
        <w:tabs>
          <w:tab w:val="num" w:pos="2880"/>
        </w:tabs>
        <w:ind w:left="2880" w:hanging="360"/>
      </w:pPr>
    </w:lvl>
    <w:lvl w:ilvl="4" w:tplc="C69A9E46">
      <w:start w:val="1"/>
      <w:numFmt w:val="decimal"/>
      <w:lvlText w:val="%5."/>
      <w:lvlJc w:val="left"/>
      <w:pPr>
        <w:tabs>
          <w:tab w:val="num" w:pos="3600"/>
        </w:tabs>
        <w:ind w:left="3600" w:hanging="360"/>
      </w:pPr>
    </w:lvl>
    <w:lvl w:ilvl="5" w:tplc="8DAC93AC">
      <w:start w:val="1"/>
      <w:numFmt w:val="decimal"/>
      <w:lvlText w:val="%6."/>
      <w:lvlJc w:val="left"/>
      <w:pPr>
        <w:tabs>
          <w:tab w:val="num" w:pos="4320"/>
        </w:tabs>
        <w:ind w:left="4320" w:hanging="360"/>
      </w:pPr>
    </w:lvl>
    <w:lvl w:ilvl="6" w:tplc="A4C83E3C">
      <w:start w:val="1"/>
      <w:numFmt w:val="decimal"/>
      <w:lvlText w:val="%7."/>
      <w:lvlJc w:val="left"/>
      <w:pPr>
        <w:tabs>
          <w:tab w:val="num" w:pos="5040"/>
        </w:tabs>
        <w:ind w:left="5040" w:hanging="360"/>
      </w:pPr>
    </w:lvl>
    <w:lvl w:ilvl="7" w:tplc="1272069C">
      <w:start w:val="1"/>
      <w:numFmt w:val="decimal"/>
      <w:lvlText w:val="%8."/>
      <w:lvlJc w:val="left"/>
      <w:pPr>
        <w:tabs>
          <w:tab w:val="num" w:pos="5760"/>
        </w:tabs>
        <w:ind w:left="5760" w:hanging="360"/>
      </w:pPr>
    </w:lvl>
    <w:lvl w:ilvl="8" w:tplc="F112EF5C">
      <w:start w:val="1"/>
      <w:numFmt w:val="decimal"/>
      <w:lvlText w:val="%9."/>
      <w:lvlJc w:val="left"/>
      <w:pPr>
        <w:tabs>
          <w:tab w:val="num" w:pos="6480"/>
        </w:tabs>
        <w:ind w:left="6480" w:hanging="360"/>
      </w:pPr>
    </w:lvl>
  </w:abstractNum>
  <w:abstractNum w:abstractNumId="13" w15:restartNumberingAfterBreak="0">
    <w:nsid w:val="27CE3598"/>
    <w:multiLevelType w:val="hybridMultilevel"/>
    <w:tmpl w:val="E586C302"/>
    <w:lvl w:ilvl="0" w:tplc="FFFFFFFF">
      <w:start w:val="1"/>
      <w:numFmt w:val="lowerRoman"/>
      <w:lvlText w:val="(%1)"/>
      <w:lvlJc w:val="left"/>
      <w:pPr>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1F08EC"/>
    <w:multiLevelType w:val="multilevel"/>
    <w:tmpl w:val="1CF2B8E6"/>
    <w:lvl w:ilvl="0">
      <w:start w:val="1"/>
      <w:numFmt w:val="decimal"/>
      <w:pStyle w:val="slovanseznam"/>
      <w:lvlText w:val="%1."/>
      <w:lvlJc w:val="left"/>
      <w:pPr>
        <w:tabs>
          <w:tab w:val="num" w:pos="1440"/>
        </w:tabs>
        <w:ind w:left="1440" w:hanging="720"/>
      </w:pPr>
      <w:rPr>
        <w:rFonts w:ascii="Times New Roman" w:hAnsi="Times New Roman" w:hint="default"/>
        <w:b w:val="0"/>
        <w:i w:val="0"/>
        <w:sz w:val="22"/>
      </w:rPr>
    </w:lvl>
    <w:lvl w:ilvl="1">
      <w:start w:val="1"/>
      <w:numFmt w:val="lowerLetter"/>
      <w:pStyle w:val="slovanseznam2"/>
      <w:lvlText w:val="%2."/>
      <w:lvlJc w:val="left"/>
      <w:pPr>
        <w:tabs>
          <w:tab w:val="num" w:pos="9900"/>
        </w:tabs>
        <w:ind w:left="9900" w:hanging="720"/>
      </w:pPr>
      <w:rPr>
        <w:rFonts w:ascii="Times New Roman" w:hAnsi="Times New Roman" w:hint="default"/>
        <w:b w:val="0"/>
        <w:i w:val="0"/>
        <w:sz w:val="22"/>
      </w:rPr>
    </w:lvl>
    <w:lvl w:ilvl="2">
      <w:start w:val="1"/>
      <w:numFmt w:val="lowerRoman"/>
      <w:pStyle w:val="slovanseznam3"/>
      <w:lvlText w:val="%3."/>
      <w:lvlJc w:val="left"/>
      <w:pPr>
        <w:tabs>
          <w:tab w:val="num" w:pos="2880"/>
        </w:tabs>
        <w:ind w:left="2880" w:hanging="720"/>
      </w:pPr>
      <w:rPr>
        <w:rFonts w:ascii="Times New Roman" w:hAnsi="Times New Roman" w:hint="default"/>
        <w:b w:val="0"/>
        <w:i w:val="0"/>
        <w:sz w:val="22"/>
      </w:rPr>
    </w:lvl>
    <w:lvl w:ilvl="3">
      <w:start w:val="1"/>
      <w:numFmt w:val="decimal"/>
      <w:lvlRestart w:val="0"/>
      <w:pStyle w:val="slovanseznam4"/>
      <w:lvlText w:val="%4."/>
      <w:lvlJc w:val="left"/>
      <w:pPr>
        <w:tabs>
          <w:tab w:val="num" w:pos="2880"/>
        </w:tabs>
        <w:ind w:left="2880" w:hanging="720"/>
      </w:pPr>
      <w:rPr>
        <w:rFonts w:hint="default"/>
      </w:rPr>
    </w:lvl>
    <w:lvl w:ilvl="4">
      <w:start w:val="1"/>
      <w:numFmt w:val="decimal"/>
      <w:lvlRestart w:val="0"/>
      <w:pStyle w:val="slovanseznam5"/>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5" w15:restartNumberingAfterBreak="0">
    <w:nsid w:val="32F23AD5"/>
    <w:multiLevelType w:val="hybridMultilevel"/>
    <w:tmpl w:val="3C1A08CC"/>
    <w:lvl w:ilvl="0" w:tplc="BB5E7A38">
      <w:start w:val="1"/>
      <w:numFmt w:val="lowerLetter"/>
      <w:lvlText w:val="(%1)"/>
      <w:lvlJc w:val="left"/>
      <w:pPr>
        <w:ind w:left="927" w:hanging="360"/>
      </w:pPr>
      <w:rPr>
        <w:rFonts w:hint="default"/>
      </w:rPr>
    </w:lvl>
    <w:lvl w:ilvl="1" w:tplc="415E309C" w:tentative="1">
      <w:start w:val="1"/>
      <w:numFmt w:val="lowerLetter"/>
      <w:lvlText w:val="%2."/>
      <w:lvlJc w:val="left"/>
      <w:pPr>
        <w:ind w:left="1647" w:hanging="360"/>
      </w:pPr>
    </w:lvl>
    <w:lvl w:ilvl="2" w:tplc="452E4FB2" w:tentative="1">
      <w:start w:val="1"/>
      <w:numFmt w:val="lowerRoman"/>
      <w:lvlText w:val="%3."/>
      <w:lvlJc w:val="right"/>
      <w:pPr>
        <w:ind w:left="2367" w:hanging="180"/>
      </w:pPr>
    </w:lvl>
    <w:lvl w:ilvl="3" w:tplc="C9EE4112" w:tentative="1">
      <w:start w:val="1"/>
      <w:numFmt w:val="decimal"/>
      <w:lvlText w:val="%4."/>
      <w:lvlJc w:val="left"/>
      <w:pPr>
        <w:ind w:left="3087" w:hanging="360"/>
      </w:pPr>
    </w:lvl>
    <w:lvl w:ilvl="4" w:tplc="CF2C6A9C" w:tentative="1">
      <w:start w:val="1"/>
      <w:numFmt w:val="lowerLetter"/>
      <w:lvlText w:val="%5."/>
      <w:lvlJc w:val="left"/>
      <w:pPr>
        <w:ind w:left="3807" w:hanging="360"/>
      </w:pPr>
    </w:lvl>
    <w:lvl w:ilvl="5" w:tplc="55D8C000" w:tentative="1">
      <w:start w:val="1"/>
      <w:numFmt w:val="lowerRoman"/>
      <w:lvlText w:val="%6."/>
      <w:lvlJc w:val="right"/>
      <w:pPr>
        <w:ind w:left="4527" w:hanging="180"/>
      </w:pPr>
    </w:lvl>
    <w:lvl w:ilvl="6" w:tplc="52C81CDC" w:tentative="1">
      <w:start w:val="1"/>
      <w:numFmt w:val="decimal"/>
      <w:lvlText w:val="%7."/>
      <w:lvlJc w:val="left"/>
      <w:pPr>
        <w:ind w:left="5247" w:hanging="360"/>
      </w:pPr>
    </w:lvl>
    <w:lvl w:ilvl="7" w:tplc="7C0689FC" w:tentative="1">
      <w:start w:val="1"/>
      <w:numFmt w:val="lowerLetter"/>
      <w:lvlText w:val="%8."/>
      <w:lvlJc w:val="left"/>
      <w:pPr>
        <w:ind w:left="5967" w:hanging="360"/>
      </w:pPr>
    </w:lvl>
    <w:lvl w:ilvl="8" w:tplc="F8D213A0" w:tentative="1">
      <w:start w:val="1"/>
      <w:numFmt w:val="lowerRoman"/>
      <w:lvlText w:val="%9."/>
      <w:lvlJc w:val="right"/>
      <w:pPr>
        <w:ind w:left="6687" w:hanging="180"/>
      </w:pPr>
    </w:lvl>
  </w:abstractNum>
  <w:abstractNum w:abstractNumId="16" w15:restartNumberingAfterBreak="0">
    <w:nsid w:val="33DD61B2"/>
    <w:multiLevelType w:val="hybridMultilevel"/>
    <w:tmpl w:val="8DF469BC"/>
    <w:lvl w:ilvl="0" w:tplc="D84ED238">
      <w:start w:val="1"/>
      <w:numFmt w:val="lowerRoma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755664"/>
    <w:multiLevelType w:val="hybridMultilevel"/>
    <w:tmpl w:val="DDF6BA62"/>
    <w:lvl w:ilvl="0" w:tplc="5ADC24EA">
      <w:start w:val="1"/>
      <w:numFmt w:val="lowerRoman"/>
      <w:lvlText w:val="(%1)"/>
      <w:lvlJc w:val="left"/>
      <w:pPr>
        <w:ind w:left="1287" w:hanging="720"/>
      </w:pPr>
      <w:rPr>
        <w:rFonts w:hint="default"/>
      </w:rPr>
    </w:lvl>
    <w:lvl w:ilvl="1" w:tplc="8B0AA492" w:tentative="1">
      <w:start w:val="1"/>
      <w:numFmt w:val="lowerLetter"/>
      <w:lvlText w:val="%2."/>
      <w:lvlJc w:val="left"/>
      <w:pPr>
        <w:ind w:left="1647" w:hanging="360"/>
      </w:pPr>
    </w:lvl>
    <w:lvl w:ilvl="2" w:tplc="1D8033F8" w:tentative="1">
      <w:start w:val="1"/>
      <w:numFmt w:val="lowerRoman"/>
      <w:lvlText w:val="%3."/>
      <w:lvlJc w:val="right"/>
      <w:pPr>
        <w:ind w:left="2367" w:hanging="180"/>
      </w:pPr>
    </w:lvl>
    <w:lvl w:ilvl="3" w:tplc="36A01DB8" w:tentative="1">
      <w:start w:val="1"/>
      <w:numFmt w:val="decimal"/>
      <w:lvlText w:val="%4."/>
      <w:lvlJc w:val="left"/>
      <w:pPr>
        <w:ind w:left="3087" w:hanging="360"/>
      </w:pPr>
    </w:lvl>
    <w:lvl w:ilvl="4" w:tplc="78B40028" w:tentative="1">
      <w:start w:val="1"/>
      <w:numFmt w:val="lowerLetter"/>
      <w:lvlText w:val="%5."/>
      <w:lvlJc w:val="left"/>
      <w:pPr>
        <w:ind w:left="3807" w:hanging="360"/>
      </w:pPr>
    </w:lvl>
    <w:lvl w:ilvl="5" w:tplc="4BAC97AE" w:tentative="1">
      <w:start w:val="1"/>
      <w:numFmt w:val="lowerRoman"/>
      <w:lvlText w:val="%6."/>
      <w:lvlJc w:val="right"/>
      <w:pPr>
        <w:ind w:left="4527" w:hanging="180"/>
      </w:pPr>
    </w:lvl>
    <w:lvl w:ilvl="6" w:tplc="6DA6D480" w:tentative="1">
      <w:start w:val="1"/>
      <w:numFmt w:val="decimal"/>
      <w:lvlText w:val="%7."/>
      <w:lvlJc w:val="left"/>
      <w:pPr>
        <w:ind w:left="5247" w:hanging="360"/>
      </w:pPr>
    </w:lvl>
    <w:lvl w:ilvl="7" w:tplc="C75EE086" w:tentative="1">
      <w:start w:val="1"/>
      <w:numFmt w:val="lowerLetter"/>
      <w:lvlText w:val="%8."/>
      <w:lvlJc w:val="left"/>
      <w:pPr>
        <w:ind w:left="5967" w:hanging="360"/>
      </w:pPr>
    </w:lvl>
    <w:lvl w:ilvl="8" w:tplc="32486050" w:tentative="1">
      <w:start w:val="1"/>
      <w:numFmt w:val="lowerRoman"/>
      <w:lvlText w:val="%9."/>
      <w:lvlJc w:val="right"/>
      <w:pPr>
        <w:ind w:left="6687" w:hanging="180"/>
      </w:pPr>
    </w:lvl>
  </w:abstractNum>
  <w:abstractNum w:abstractNumId="18" w15:restartNumberingAfterBreak="0">
    <w:nsid w:val="3DA40D48"/>
    <w:multiLevelType w:val="multilevel"/>
    <w:tmpl w:val="BAB2E67E"/>
    <w:lvl w:ilvl="0">
      <w:start w:val="1"/>
      <w:numFmt w:val="decimal"/>
      <w:lvlText w:val="%1."/>
      <w:lvlJc w:val="left"/>
      <w:pPr>
        <w:tabs>
          <w:tab w:val="num" w:pos="720"/>
        </w:tabs>
        <w:ind w:left="1440" w:hanging="1440"/>
      </w:pPr>
      <w:rPr>
        <w:rFonts w:hint="default"/>
        <w:b/>
        <w:bCs w:val="0"/>
        <w:i w:val="0"/>
        <w:iCs w:val="0"/>
        <w:caps w:val="0"/>
        <w:smallCaps w:val="0"/>
        <w:strike w:val="0"/>
        <w:dstrike w:val="0"/>
        <w:color w:val="auto"/>
        <w:sz w:val="24"/>
        <w:szCs w:val="24"/>
        <w:u w:val="none"/>
        <w:effect w:val="none"/>
      </w:rPr>
    </w:lvl>
    <w:lvl w:ilvl="1">
      <w:start w:val="1"/>
      <w:numFmt w:val="decimal"/>
      <w:pStyle w:val="Legal1L2"/>
      <w:lvlText w:val="%1.%2"/>
      <w:lvlJc w:val="left"/>
      <w:pPr>
        <w:tabs>
          <w:tab w:val="num" w:pos="180"/>
        </w:tabs>
        <w:ind w:left="-540" w:firstLine="720"/>
      </w:pPr>
      <w:rPr>
        <w:rFonts w:ascii="Times New Roman" w:hAnsi="Times New Roman" w:cs="Times New Roman" w:hint="default"/>
        <w:b w:val="0"/>
        <w:bCs w:val="0"/>
        <w:i w:val="0"/>
        <w:iCs w:val="0"/>
        <w:caps w:val="0"/>
        <w:strike w:val="0"/>
        <w:dstrike w:val="0"/>
        <w:color w:val="auto"/>
        <w:sz w:val="24"/>
        <w:szCs w:val="24"/>
        <w:u w:val="none"/>
        <w:effect w:val="none"/>
      </w:rPr>
    </w:lvl>
    <w:lvl w:ilvl="2">
      <w:start w:val="1"/>
      <w:numFmt w:val="lowerLetter"/>
      <w:lvlText w:val="(%3)"/>
      <w:lvlJc w:val="left"/>
      <w:pPr>
        <w:tabs>
          <w:tab w:val="num" w:pos="-990"/>
        </w:tabs>
        <w:ind w:left="-1710" w:firstLine="0"/>
      </w:pPr>
      <w:rPr>
        <w:rFonts w:ascii="Times New Roman" w:hAnsi="Times New Roman" w:cs="Times New Roman" w:hint="default"/>
        <w:b w:val="0"/>
        <w:bCs w:val="0"/>
        <w:i w:val="0"/>
        <w:iCs w:val="0"/>
        <w:caps w:val="0"/>
        <w:strike w:val="0"/>
        <w:dstrike w:val="0"/>
        <w:color w:val="auto"/>
        <w:sz w:val="24"/>
        <w:szCs w:val="24"/>
        <w:u w:val="none"/>
        <w:effect w:val="none"/>
      </w:rPr>
    </w:lvl>
    <w:lvl w:ilvl="3">
      <w:start w:val="1"/>
      <w:numFmt w:val="lowerRoman"/>
      <w:lvlText w:val="(%4)"/>
      <w:lvlJc w:val="left"/>
      <w:pPr>
        <w:tabs>
          <w:tab w:val="num" w:pos="-990"/>
        </w:tabs>
        <w:ind w:left="-1710" w:firstLine="2160"/>
      </w:pPr>
      <w:rPr>
        <w:rFonts w:hint="default"/>
        <w:b w:val="0"/>
        <w:bCs w:val="0"/>
        <w:i w:val="0"/>
        <w:iCs w:val="0"/>
        <w:caps w:val="0"/>
        <w:strike w:val="0"/>
        <w:dstrike w:val="0"/>
        <w:color w:val="auto"/>
        <w:sz w:val="22"/>
        <w:szCs w:val="22"/>
        <w:u w:val="none"/>
        <w:effect w:val="none"/>
      </w:rPr>
    </w:lvl>
    <w:lvl w:ilvl="4">
      <w:start w:val="1"/>
      <w:numFmt w:val="decimal"/>
      <w:lvlText w:val="(%5)"/>
      <w:lvlJc w:val="left"/>
      <w:pPr>
        <w:tabs>
          <w:tab w:val="num" w:pos="1890"/>
        </w:tabs>
        <w:ind w:left="-1710" w:firstLine="2880"/>
      </w:pPr>
      <w:rPr>
        <w:rFonts w:hint="default"/>
        <w:b/>
        <w:bCs/>
        <w:i w:val="0"/>
        <w:iCs w:val="0"/>
        <w:caps w:val="0"/>
        <w:strike w:val="0"/>
        <w:dstrike w:val="0"/>
        <w:color w:val="auto"/>
        <w:u w:val="none"/>
        <w:effect w:val="none"/>
      </w:rPr>
    </w:lvl>
    <w:lvl w:ilvl="5">
      <w:start w:val="1"/>
      <w:numFmt w:val="lowerLetter"/>
      <w:lvlText w:val="%6."/>
      <w:lvlJc w:val="left"/>
      <w:pPr>
        <w:tabs>
          <w:tab w:val="num" w:pos="2610"/>
        </w:tabs>
        <w:ind w:left="-1710" w:firstLine="3600"/>
      </w:pPr>
      <w:rPr>
        <w:rFonts w:hint="default"/>
        <w:b/>
        <w:bCs/>
        <w:i w:val="0"/>
        <w:iCs w:val="0"/>
        <w:caps w:val="0"/>
        <w:strike w:val="0"/>
        <w:dstrike w:val="0"/>
        <w:color w:val="auto"/>
        <w:u w:val="none"/>
        <w:effect w:val="none"/>
      </w:rPr>
    </w:lvl>
    <w:lvl w:ilvl="6">
      <w:start w:val="1"/>
      <w:numFmt w:val="lowerRoman"/>
      <w:lvlText w:val="%7."/>
      <w:lvlJc w:val="left"/>
      <w:pPr>
        <w:tabs>
          <w:tab w:val="num" w:pos="3330"/>
        </w:tabs>
        <w:ind w:left="-1710" w:firstLine="4320"/>
      </w:pPr>
      <w:rPr>
        <w:rFonts w:hint="default"/>
        <w:b/>
        <w:bCs/>
        <w:i w:val="0"/>
        <w:iCs w:val="0"/>
        <w:caps w:val="0"/>
        <w:strike w:val="0"/>
        <w:dstrike w:val="0"/>
        <w:color w:val="auto"/>
        <w:u w:val="none"/>
        <w:effect w:val="none"/>
      </w:rPr>
    </w:lvl>
    <w:lvl w:ilvl="7">
      <w:start w:val="1"/>
      <w:numFmt w:val="lowerLetter"/>
      <w:lvlText w:val="%8)"/>
      <w:lvlJc w:val="left"/>
      <w:pPr>
        <w:tabs>
          <w:tab w:val="num" w:pos="4050"/>
        </w:tabs>
        <w:ind w:left="-1710" w:firstLine="5040"/>
      </w:pPr>
      <w:rPr>
        <w:rFonts w:hint="default"/>
        <w:b/>
        <w:bCs/>
        <w:i w:val="0"/>
        <w:iCs w:val="0"/>
        <w:caps w:val="0"/>
        <w:strike w:val="0"/>
        <w:dstrike w:val="0"/>
        <w:color w:val="auto"/>
        <w:u w:val="none"/>
        <w:effect w:val="none"/>
      </w:rPr>
    </w:lvl>
    <w:lvl w:ilvl="8">
      <w:start w:val="1"/>
      <w:numFmt w:val="lowerRoman"/>
      <w:lvlText w:val="%9)"/>
      <w:lvlJc w:val="left"/>
      <w:pPr>
        <w:tabs>
          <w:tab w:val="num" w:pos="4770"/>
        </w:tabs>
        <w:ind w:left="-1710" w:firstLine="5760"/>
      </w:pPr>
      <w:rPr>
        <w:rFonts w:hint="default"/>
        <w:b/>
        <w:bCs/>
        <w:i w:val="0"/>
        <w:iCs w:val="0"/>
        <w:caps w:val="0"/>
        <w:strike w:val="0"/>
        <w:dstrike w:val="0"/>
        <w:color w:val="auto"/>
        <w:u w:val="none"/>
        <w:effect w:val="none"/>
      </w:rPr>
    </w:lvl>
  </w:abstractNum>
  <w:abstractNum w:abstractNumId="19" w15:restartNumberingAfterBreak="0">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20" w15:restartNumberingAfterBreak="0">
    <w:nsid w:val="4242197A"/>
    <w:multiLevelType w:val="hybridMultilevel"/>
    <w:tmpl w:val="77D4992A"/>
    <w:lvl w:ilvl="0" w:tplc="41664894">
      <w:start w:val="1"/>
      <w:numFmt w:val="decimal"/>
      <w:lvlText w:val="%1."/>
      <w:lvlJc w:val="left"/>
      <w:pPr>
        <w:ind w:left="360" w:hanging="360"/>
      </w:pPr>
      <w:rPr>
        <w:b w:val="0"/>
      </w:rPr>
    </w:lvl>
    <w:lvl w:ilvl="1" w:tplc="D8EECEAE">
      <w:start w:val="1"/>
      <w:numFmt w:val="lowerLetter"/>
      <w:lvlText w:val="%2."/>
      <w:lvlJc w:val="left"/>
      <w:pPr>
        <w:ind w:left="1080" w:hanging="360"/>
      </w:pPr>
    </w:lvl>
    <w:lvl w:ilvl="2" w:tplc="A96C46A6">
      <w:start w:val="1"/>
      <w:numFmt w:val="lowerRoman"/>
      <w:lvlText w:val="%3."/>
      <w:lvlJc w:val="right"/>
      <w:pPr>
        <w:ind w:left="1800" w:hanging="180"/>
      </w:pPr>
    </w:lvl>
    <w:lvl w:ilvl="3" w:tplc="A4B66E16">
      <w:start w:val="1"/>
      <w:numFmt w:val="decimal"/>
      <w:lvlText w:val="%4."/>
      <w:lvlJc w:val="left"/>
      <w:pPr>
        <w:ind w:left="2520" w:hanging="360"/>
      </w:pPr>
    </w:lvl>
    <w:lvl w:ilvl="4" w:tplc="C59ECD80">
      <w:start w:val="1"/>
      <w:numFmt w:val="lowerLetter"/>
      <w:lvlText w:val="%5."/>
      <w:lvlJc w:val="left"/>
      <w:pPr>
        <w:ind w:left="3240" w:hanging="360"/>
      </w:pPr>
    </w:lvl>
    <w:lvl w:ilvl="5" w:tplc="1BAE42B6">
      <w:start w:val="1"/>
      <w:numFmt w:val="lowerRoman"/>
      <w:lvlText w:val="%6."/>
      <w:lvlJc w:val="right"/>
      <w:pPr>
        <w:ind w:left="3960" w:hanging="180"/>
      </w:pPr>
    </w:lvl>
    <w:lvl w:ilvl="6" w:tplc="BB46258C">
      <w:start w:val="1"/>
      <w:numFmt w:val="decimal"/>
      <w:lvlText w:val="%7."/>
      <w:lvlJc w:val="left"/>
      <w:pPr>
        <w:ind w:left="4680" w:hanging="360"/>
      </w:pPr>
    </w:lvl>
    <w:lvl w:ilvl="7" w:tplc="BC442266">
      <w:start w:val="1"/>
      <w:numFmt w:val="lowerLetter"/>
      <w:lvlText w:val="%8."/>
      <w:lvlJc w:val="left"/>
      <w:pPr>
        <w:ind w:left="5400" w:hanging="360"/>
      </w:pPr>
    </w:lvl>
    <w:lvl w:ilvl="8" w:tplc="E6ACEF96">
      <w:start w:val="1"/>
      <w:numFmt w:val="lowerRoman"/>
      <w:lvlText w:val="%9."/>
      <w:lvlJc w:val="right"/>
      <w:pPr>
        <w:ind w:left="6120" w:hanging="180"/>
      </w:pPr>
    </w:lvl>
  </w:abstractNum>
  <w:abstractNum w:abstractNumId="21" w15:restartNumberingAfterBreak="0">
    <w:nsid w:val="42B44403"/>
    <w:multiLevelType w:val="hybridMultilevel"/>
    <w:tmpl w:val="388804C0"/>
    <w:lvl w:ilvl="0" w:tplc="D5943502">
      <w:start w:val="1"/>
      <w:numFmt w:val="decimal"/>
      <w:lvlText w:val="%1."/>
      <w:lvlJc w:val="left"/>
      <w:pPr>
        <w:ind w:left="0" w:hanging="360"/>
      </w:pPr>
      <w:rPr>
        <w:rFonts w:ascii="Times New Roman" w:eastAsiaTheme="minorEastAsia" w:hAnsi="Times New Roman" w:cs="Times New Roman"/>
      </w:rPr>
    </w:lvl>
    <w:lvl w:ilvl="1" w:tplc="DB7E1B62">
      <w:start w:val="1"/>
      <w:numFmt w:val="bullet"/>
      <w:lvlText w:val=""/>
      <w:lvlJc w:val="left"/>
      <w:pPr>
        <w:tabs>
          <w:tab w:val="num" w:pos="720"/>
        </w:tabs>
        <w:ind w:left="720" w:hanging="360"/>
      </w:pPr>
      <w:rPr>
        <w:rFonts w:ascii="Symbol" w:hAnsi="Symbol" w:hint="default"/>
      </w:rPr>
    </w:lvl>
    <w:lvl w:ilvl="2" w:tplc="D7625C00">
      <w:start w:val="1"/>
      <w:numFmt w:val="lowerRoman"/>
      <w:lvlText w:val="%3."/>
      <w:lvlJc w:val="right"/>
      <w:pPr>
        <w:tabs>
          <w:tab w:val="num" w:pos="1440"/>
        </w:tabs>
        <w:ind w:left="1440" w:hanging="180"/>
      </w:pPr>
      <w:rPr>
        <w:rFonts w:cs="Times New Roman"/>
      </w:rPr>
    </w:lvl>
    <w:lvl w:ilvl="3" w:tplc="E4845950">
      <w:start w:val="1"/>
      <w:numFmt w:val="decimal"/>
      <w:lvlText w:val="%4."/>
      <w:lvlJc w:val="left"/>
      <w:pPr>
        <w:tabs>
          <w:tab w:val="num" w:pos="2160"/>
        </w:tabs>
        <w:ind w:left="2160" w:hanging="360"/>
      </w:pPr>
      <w:rPr>
        <w:rFonts w:cs="Times New Roman"/>
      </w:rPr>
    </w:lvl>
    <w:lvl w:ilvl="4" w:tplc="A59E1AFE">
      <w:start w:val="1"/>
      <w:numFmt w:val="lowerLetter"/>
      <w:lvlText w:val="%5."/>
      <w:lvlJc w:val="left"/>
      <w:pPr>
        <w:tabs>
          <w:tab w:val="num" w:pos="2880"/>
        </w:tabs>
        <w:ind w:left="2880" w:hanging="360"/>
      </w:pPr>
      <w:rPr>
        <w:rFonts w:cs="Times New Roman"/>
      </w:rPr>
    </w:lvl>
    <w:lvl w:ilvl="5" w:tplc="06FC6612">
      <w:start w:val="1"/>
      <w:numFmt w:val="lowerRoman"/>
      <w:lvlText w:val="%6."/>
      <w:lvlJc w:val="right"/>
      <w:pPr>
        <w:tabs>
          <w:tab w:val="num" w:pos="3600"/>
        </w:tabs>
        <w:ind w:left="3600" w:hanging="180"/>
      </w:pPr>
      <w:rPr>
        <w:rFonts w:cs="Times New Roman"/>
      </w:rPr>
    </w:lvl>
    <w:lvl w:ilvl="6" w:tplc="42E0ED38">
      <w:start w:val="1"/>
      <w:numFmt w:val="decimal"/>
      <w:lvlText w:val="%7."/>
      <w:lvlJc w:val="left"/>
      <w:pPr>
        <w:tabs>
          <w:tab w:val="num" w:pos="4320"/>
        </w:tabs>
        <w:ind w:left="4320" w:hanging="360"/>
      </w:pPr>
      <w:rPr>
        <w:rFonts w:cs="Times New Roman"/>
      </w:rPr>
    </w:lvl>
    <w:lvl w:ilvl="7" w:tplc="42A2AA46">
      <w:start w:val="1"/>
      <w:numFmt w:val="lowerLetter"/>
      <w:lvlText w:val="%8."/>
      <w:lvlJc w:val="left"/>
      <w:pPr>
        <w:tabs>
          <w:tab w:val="num" w:pos="5040"/>
        </w:tabs>
        <w:ind w:left="5040" w:hanging="360"/>
      </w:pPr>
      <w:rPr>
        <w:rFonts w:cs="Times New Roman"/>
      </w:rPr>
    </w:lvl>
    <w:lvl w:ilvl="8" w:tplc="A8A8C350">
      <w:start w:val="1"/>
      <w:numFmt w:val="lowerRoman"/>
      <w:lvlText w:val="%9."/>
      <w:lvlJc w:val="right"/>
      <w:pPr>
        <w:tabs>
          <w:tab w:val="num" w:pos="5760"/>
        </w:tabs>
        <w:ind w:left="5760" w:hanging="180"/>
      </w:pPr>
      <w:rPr>
        <w:rFonts w:cs="Times New Roman"/>
      </w:rPr>
    </w:lvl>
  </w:abstractNum>
  <w:abstractNum w:abstractNumId="22" w15:restartNumberingAfterBreak="0">
    <w:nsid w:val="4CA52D5C"/>
    <w:multiLevelType w:val="hybridMultilevel"/>
    <w:tmpl w:val="DDF6BA62"/>
    <w:lvl w:ilvl="0" w:tplc="AAFC18E0">
      <w:start w:val="1"/>
      <w:numFmt w:val="lowerRoman"/>
      <w:lvlText w:val="(%1)"/>
      <w:lvlJc w:val="left"/>
      <w:pPr>
        <w:ind w:left="1287" w:hanging="720"/>
      </w:pPr>
      <w:rPr>
        <w:rFonts w:hint="default"/>
      </w:rPr>
    </w:lvl>
    <w:lvl w:ilvl="1" w:tplc="AA6C7B4E" w:tentative="1">
      <w:start w:val="1"/>
      <w:numFmt w:val="lowerLetter"/>
      <w:lvlText w:val="%2."/>
      <w:lvlJc w:val="left"/>
      <w:pPr>
        <w:ind w:left="1647" w:hanging="360"/>
      </w:pPr>
    </w:lvl>
    <w:lvl w:ilvl="2" w:tplc="F95C03C8" w:tentative="1">
      <w:start w:val="1"/>
      <w:numFmt w:val="lowerRoman"/>
      <w:lvlText w:val="%3."/>
      <w:lvlJc w:val="right"/>
      <w:pPr>
        <w:ind w:left="2367" w:hanging="180"/>
      </w:pPr>
    </w:lvl>
    <w:lvl w:ilvl="3" w:tplc="4872D19A" w:tentative="1">
      <w:start w:val="1"/>
      <w:numFmt w:val="decimal"/>
      <w:lvlText w:val="%4."/>
      <w:lvlJc w:val="left"/>
      <w:pPr>
        <w:ind w:left="3087" w:hanging="360"/>
      </w:pPr>
    </w:lvl>
    <w:lvl w:ilvl="4" w:tplc="AA6A3FF0" w:tentative="1">
      <w:start w:val="1"/>
      <w:numFmt w:val="lowerLetter"/>
      <w:lvlText w:val="%5."/>
      <w:lvlJc w:val="left"/>
      <w:pPr>
        <w:ind w:left="3807" w:hanging="360"/>
      </w:pPr>
    </w:lvl>
    <w:lvl w:ilvl="5" w:tplc="44E2F020" w:tentative="1">
      <w:start w:val="1"/>
      <w:numFmt w:val="lowerRoman"/>
      <w:lvlText w:val="%6."/>
      <w:lvlJc w:val="right"/>
      <w:pPr>
        <w:ind w:left="4527" w:hanging="180"/>
      </w:pPr>
    </w:lvl>
    <w:lvl w:ilvl="6" w:tplc="8CF6270A" w:tentative="1">
      <w:start w:val="1"/>
      <w:numFmt w:val="decimal"/>
      <w:lvlText w:val="%7."/>
      <w:lvlJc w:val="left"/>
      <w:pPr>
        <w:ind w:left="5247" w:hanging="360"/>
      </w:pPr>
    </w:lvl>
    <w:lvl w:ilvl="7" w:tplc="1F4292E6" w:tentative="1">
      <w:start w:val="1"/>
      <w:numFmt w:val="lowerLetter"/>
      <w:lvlText w:val="%8."/>
      <w:lvlJc w:val="left"/>
      <w:pPr>
        <w:ind w:left="5967" w:hanging="360"/>
      </w:pPr>
    </w:lvl>
    <w:lvl w:ilvl="8" w:tplc="2206C9C4" w:tentative="1">
      <w:start w:val="1"/>
      <w:numFmt w:val="lowerRoman"/>
      <w:lvlText w:val="%9."/>
      <w:lvlJc w:val="right"/>
      <w:pPr>
        <w:ind w:left="6687" w:hanging="180"/>
      </w:pPr>
    </w:lvl>
  </w:abstractNum>
  <w:abstractNum w:abstractNumId="23" w15:restartNumberingAfterBreak="0">
    <w:nsid w:val="4E4E3925"/>
    <w:multiLevelType w:val="hybridMultilevel"/>
    <w:tmpl w:val="F16A12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BB1F7A"/>
    <w:multiLevelType w:val="hybridMultilevel"/>
    <w:tmpl w:val="83DE5D2A"/>
    <w:lvl w:ilvl="0" w:tplc="BB5E7A3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6C484E"/>
    <w:multiLevelType w:val="hybridMultilevel"/>
    <w:tmpl w:val="77D4992A"/>
    <w:lvl w:ilvl="0" w:tplc="618CA03A">
      <w:start w:val="1"/>
      <w:numFmt w:val="decimal"/>
      <w:lvlText w:val="%1."/>
      <w:lvlJc w:val="left"/>
      <w:pPr>
        <w:ind w:left="360" w:hanging="360"/>
      </w:pPr>
      <w:rPr>
        <w:b w:val="0"/>
      </w:rPr>
    </w:lvl>
    <w:lvl w:ilvl="1" w:tplc="606EEC46">
      <w:start w:val="1"/>
      <w:numFmt w:val="lowerLetter"/>
      <w:lvlText w:val="%2."/>
      <w:lvlJc w:val="left"/>
      <w:pPr>
        <w:ind w:left="1080" w:hanging="360"/>
      </w:pPr>
    </w:lvl>
    <w:lvl w:ilvl="2" w:tplc="FC725DC2">
      <w:start w:val="1"/>
      <w:numFmt w:val="lowerRoman"/>
      <w:lvlText w:val="%3."/>
      <w:lvlJc w:val="right"/>
      <w:pPr>
        <w:ind w:left="1800" w:hanging="180"/>
      </w:pPr>
    </w:lvl>
    <w:lvl w:ilvl="3" w:tplc="76840766">
      <w:start w:val="1"/>
      <w:numFmt w:val="decimal"/>
      <w:lvlText w:val="%4."/>
      <w:lvlJc w:val="left"/>
      <w:pPr>
        <w:ind w:left="2520" w:hanging="360"/>
      </w:pPr>
    </w:lvl>
    <w:lvl w:ilvl="4" w:tplc="1F8215BC">
      <w:start w:val="1"/>
      <w:numFmt w:val="lowerLetter"/>
      <w:lvlText w:val="%5."/>
      <w:lvlJc w:val="left"/>
      <w:pPr>
        <w:ind w:left="3240" w:hanging="360"/>
      </w:pPr>
    </w:lvl>
    <w:lvl w:ilvl="5" w:tplc="4D841AB2">
      <w:start w:val="1"/>
      <w:numFmt w:val="lowerRoman"/>
      <w:lvlText w:val="%6."/>
      <w:lvlJc w:val="right"/>
      <w:pPr>
        <w:ind w:left="3960" w:hanging="180"/>
      </w:pPr>
    </w:lvl>
    <w:lvl w:ilvl="6" w:tplc="6B481814">
      <w:start w:val="1"/>
      <w:numFmt w:val="decimal"/>
      <w:lvlText w:val="%7."/>
      <w:lvlJc w:val="left"/>
      <w:pPr>
        <w:ind w:left="4680" w:hanging="360"/>
      </w:pPr>
    </w:lvl>
    <w:lvl w:ilvl="7" w:tplc="282449AC">
      <w:start w:val="1"/>
      <w:numFmt w:val="lowerLetter"/>
      <w:lvlText w:val="%8."/>
      <w:lvlJc w:val="left"/>
      <w:pPr>
        <w:ind w:left="5400" w:hanging="360"/>
      </w:pPr>
    </w:lvl>
    <w:lvl w:ilvl="8" w:tplc="AE66EEC0">
      <w:start w:val="1"/>
      <w:numFmt w:val="lowerRoman"/>
      <w:lvlText w:val="%9."/>
      <w:lvlJc w:val="right"/>
      <w:pPr>
        <w:ind w:left="6120" w:hanging="180"/>
      </w:pPr>
    </w:lvl>
  </w:abstractNum>
  <w:abstractNum w:abstractNumId="26" w15:restartNumberingAfterBreak="0">
    <w:nsid w:val="59F25D5F"/>
    <w:multiLevelType w:val="hybridMultilevel"/>
    <w:tmpl w:val="976C6FFC"/>
    <w:lvl w:ilvl="0" w:tplc="416648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3A2668"/>
    <w:multiLevelType w:val="hybridMultilevel"/>
    <w:tmpl w:val="5F4C6D96"/>
    <w:lvl w:ilvl="0" w:tplc="D9E276DA">
      <w:start w:val="1"/>
      <w:numFmt w:val="decimal"/>
      <w:lvlText w:val="%1."/>
      <w:lvlJc w:val="left"/>
      <w:pPr>
        <w:ind w:left="720" w:hanging="360"/>
      </w:pPr>
      <w:rPr>
        <w:rFonts w:ascii="Times New Roman" w:eastAsiaTheme="minorEastAsia" w:hAnsi="Times New Roman" w:cs="Times New Roman"/>
      </w:rPr>
    </w:lvl>
    <w:lvl w:ilvl="1" w:tplc="151E88BE">
      <w:start w:val="1"/>
      <w:numFmt w:val="bullet"/>
      <w:lvlText w:val=""/>
      <w:lvlJc w:val="left"/>
      <w:pPr>
        <w:tabs>
          <w:tab w:val="num" w:pos="1440"/>
        </w:tabs>
        <w:ind w:left="1440" w:hanging="360"/>
      </w:pPr>
      <w:rPr>
        <w:rFonts w:ascii="Symbol" w:hAnsi="Symbol" w:hint="default"/>
      </w:rPr>
    </w:lvl>
    <w:lvl w:ilvl="2" w:tplc="5D26F00A">
      <w:start w:val="1"/>
      <w:numFmt w:val="lowerRoman"/>
      <w:lvlText w:val="%3."/>
      <w:lvlJc w:val="right"/>
      <w:pPr>
        <w:tabs>
          <w:tab w:val="num" w:pos="2160"/>
        </w:tabs>
        <w:ind w:left="2160" w:hanging="180"/>
      </w:pPr>
      <w:rPr>
        <w:rFonts w:cs="Times New Roman"/>
      </w:rPr>
    </w:lvl>
    <w:lvl w:ilvl="3" w:tplc="4D0ACD18">
      <w:start w:val="1"/>
      <w:numFmt w:val="decimal"/>
      <w:lvlText w:val="%4."/>
      <w:lvlJc w:val="left"/>
      <w:pPr>
        <w:tabs>
          <w:tab w:val="num" w:pos="2880"/>
        </w:tabs>
        <w:ind w:left="2880" w:hanging="360"/>
      </w:pPr>
      <w:rPr>
        <w:rFonts w:cs="Times New Roman"/>
      </w:rPr>
    </w:lvl>
    <w:lvl w:ilvl="4" w:tplc="9BC0981A">
      <w:start w:val="1"/>
      <w:numFmt w:val="lowerLetter"/>
      <w:lvlText w:val="%5."/>
      <w:lvlJc w:val="left"/>
      <w:pPr>
        <w:tabs>
          <w:tab w:val="num" w:pos="3600"/>
        </w:tabs>
        <w:ind w:left="3600" w:hanging="360"/>
      </w:pPr>
      <w:rPr>
        <w:rFonts w:cs="Times New Roman"/>
      </w:rPr>
    </w:lvl>
    <w:lvl w:ilvl="5" w:tplc="840E99DE">
      <w:start w:val="1"/>
      <w:numFmt w:val="lowerRoman"/>
      <w:lvlText w:val="%6."/>
      <w:lvlJc w:val="right"/>
      <w:pPr>
        <w:tabs>
          <w:tab w:val="num" w:pos="4320"/>
        </w:tabs>
        <w:ind w:left="4320" w:hanging="180"/>
      </w:pPr>
      <w:rPr>
        <w:rFonts w:cs="Times New Roman"/>
      </w:rPr>
    </w:lvl>
    <w:lvl w:ilvl="6" w:tplc="4FA629DC">
      <w:start w:val="1"/>
      <w:numFmt w:val="decimal"/>
      <w:lvlText w:val="%7."/>
      <w:lvlJc w:val="left"/>
      <w:pPr>
        <w:tabs>
          <w:tab w:val="num" w:pos="5040"/>
        </w:tabs>
        <w:ind w:left="5040" w:hanging="360"/>
      </w:pPr>
      <w:rPr>
        <w:rFonts w:cs="Times New Roman"/>
      </w:rPr>
    </w:lvl>
    <w:lvl w:ilvl="7" w:tplc="6B6CA328">
      <w:start w:val="1"/>
      <w:numFmt w:val="lowerLetter"/>
      <w:lvlText w:val="%8."/>
      <w:lvlJc w:val="left"/>
      <w:pPr>
        <w:tabs>
          <w:tab w:val="num" w:pos="5760"/>
        </w:tabs>
        <w:ind w:left="5760" w:hanging="360"/>
      </w:pPr>
      <w:rPr>
        <w:rFonts w:cs="Times New Roman"/>
      </w:rPr>
    </w:lvl>
    <w:lvl w:ilvl="8" w:tplc="C90C82AE">
      <w:start w:val="1"/>
      <w:numFmt w:val="lowerRoman"/>
      <w:lvlText w:val="%9."/>
      <w:lvlJc w:val="right"/>
      <w:pPr>
        <w:tabs>
          <w:tab w:val="num" w:pos="6480"/>
        </w:tabs>
        <w:ind w:left="6480" w:hanging="180"/>
      </w:pPr>
      <w:rPr>
        <w:rFonts w:cs="Times New Roman"/>
      </w:rPr>
    </w:lvl>
  </w:abstractNum>
  <w:abstractNum w:abstractNumId="28" w15:restartNumberingAfterBreak="0">
    <w:nsid w:val="62CB46F4"/>
    <w:multiLevelType w:val="hybridMultilevel"/>
    <w:tmpl w:val="661E2B0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AA15D1"/>
    <w:multiLevelType w:val="hybridMultilevel"/>
    <w:tmpl w:val="BB96DBA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9F5AAE"/>
    <w:multiLevelType w:val="hybridMultilevel"/>
    <w:tmpl w:val="0A0CE730"/>
    <w:lvl w:ilvl="0" w:tplc="5D26F00A">
      <w:start w:val="1"/>
      <w:numFmt w:val="lowerRoman"/>
      <w:lvlText w:val="%1."/>
      <w:lvlJc w:val="right"/>
      <w:pPr>
        <w:tabs>
          <w:tab w:val="num" w:pos="2160"/>
        </w:tabs>
        <w:ind w:left="2160" w:hanging="18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A36A1"/>
    <w:multiLevelType w:val="hybridMultilevel"/>
    <w:tmpl w:val="1F2641CA"/>
    <w:lvl w:ilvl="0" w:tplc="9E36E698">
      <w:start w:val="1"/>
      <w:numFmt w:val="bullet"/>
      <w:lvlText w:val=""/>
      <w:lvlJc w:val="left"/>
      <w:pPr>
        <w:ind w:left="720" w:hanging="360"/>
      </w:pPr>
      <w:rPr>
        <w:rFonts w:ascii="Symbol" w:hAnsi="Symbol" w:hint="default"/>
      </w:rPr>
    </w:lvl>
    <w:lvl w:ilvl="1" w:tplc="E7F2F2C0" w:tentative="1">
      <w:start w:val="1"/>
      <w:numFmt w:val="bullet"/>
      <w:lvlText w:val="o"/>
      <w:lvlJc w:val="left"/>
      <w:pPr>
        <w:ind w:left="1440" w:hanging="360"/>
      </w:pPr>
      <w:rPr>
        <w:rFonts w:ascii="Courier New" w:hAnsi="Courier New" w:cs="Courier New" w:hint="default"/>
      </w:rPr>
    </w:lvl>
    <w:lvl w:ilvl="2" w:tplc="6464E70C" w:tentative="1">
      <w:start w:val="1"/>
      <w:numFmt w:val="bullet"/>
      <w:lvlText w:val=""/>
      <w:lvlJc w:val="left"/>
      <w:pPr>
        <w:ind w:left="2160" w:hanging="360"/>
      </w:pPr>
      <w:rPr>
        <w:rFonts w:ascii="Wingdings" w:hAnsi="Wingdings" w:hint="default"/>
      </w:rPr>
    </w:lvl>
    <w:lvl w:ilvl="3" w:tplc="6008A156" w:tentative="1">
      <w:start w:val="1"/>
      <w:numFmt w:val="bullet"/>
      <w:lvlText w:val=""/>
      <w:lvlJc w:val="left"/>
      <w:pPr>
        <w:ind w:left="2880" w:hanging="360"/>
      </w:pPr>
      <w:rPr>
        <w:rFonts w:ascii="Symbol" w:hAnsi="Symbol" w:hint="default"/>
      </w:rPr>
    </w:lvl>
    <w:lvl w:ilvl="4" w:tplc="E55CB568" w:tentative="1">
      <w:start w:val="1"/>
      <w:numFmt w:val="bullet"/>
      <w:lvlText w:val="o"/>
      <w:lvlJc w:val="left"/>
      <w:pPr>
        <w:ind w:left="3600" w:hanging="360"/>
      </w:pPr>
      <w:rPr>
        <w:rFonts w:ascii="Courier New" w:hAnsi="Courier New" w:cs="Courier New" w:hint="default"/>
      </w:rPr>
    </w:lvl>
    <w:lvl w:ilvl="5" w:tplc="02689A36" w:tentative="1">
      <w:start w:val="1"/>
      <w:numFmt w:val="bullet"/>
      <w:lvlText w:val=""/>
      <w:lvlJc w:val="left"/>
      <w:pPr>
        <w:ind w:left="4320" w:hanging="360"/>
      </w:pPr>
      <w:rPr>
        <w:rFonts w:ascii="Wingdings" w:hAnsi="Wingdings" w:hint="default"/>
      </w:rPr>
    </w:lvl>
    <w:lvl w:ilvl="6" w:tplc="A0381C6C" w:tentative="1">
      <w:start w:val="1"/>
      <w:numFmt w:val="bullet"/>
      <w:lvlText w:val=""/>
      <w:lvlJc w:val="left"/>
      <w:pPr>
        <w:ind w:left="5040" w:hanging="360"/>
      </w:pPr>
      <w:rPr>
        <w:rFonts w:ascii="Symbol" w:hAnsi="Symbol" w:hint="default"/>
      </w:rPr>
    </w:lvl>
    <w:lvl w:ilvl="7" w:tplc="DAEE98D0" w:tentative="1">
      <w:start w:val="1"/>
      <w:numFmt w:val="bullet"/>
      <w:lvlText w:val="o"/>
      <w:lvlJc w:val="left"/>
      <w:pPr>
        <w:ind w:left="5760" w:hanging="360"/>
      </w:pPr>
      <w:rPr>
        <w:rFonts w:ascii="Courier New" w:hAnsi="Courier New" w:cs="Courier New" w:hint="default"/>
      </w:rPr>
    </w:lvl>
    <w:lvl w:ilvl="8" w:tplc="DA4044E8" w:tentative="1">
      <w:start w:val="1"/>
      <w:numFmt w:val="bullet"/>
      <w:lvlText w:val=""/>
      <w:lvlJc w:val="left"/>
      <w:pPr>
        <w:ind w:left="6480" w:hanging="360"/>
      </w:pPr>
      <w:rPr>
        <w:rFonts w:ascii="Wingdings" w:hAnsi="Wingdings" w:hint="default"/>
      </w:rPr>
    </w:lvl>
  </w:abstractNum>
  <w:abstractNum w:abstractNumId="32" w15:restartNumberingAfterBreak="0">
    <w:nsid w:val="6B100DBF"/>
    <w:multiLevelType w:val="multilevel"/>
    <w:tmpl w:val="CF56D6B8"/>
    <w:lvl w:ilvl="0">
      <w:start w:val="1"/>
      <w:numFmt w:val="none"/>
      <w:pStyle w:val="Level1"/>
      <w:lvlText w:val="1"/>
      <w:lvlJc w:val="left"/>
      <w:pPr>
        <w:ind w:left="360" w:hanging="360"/>
      </w:pPr>
      <w:rPr>
        <w:rFonts w:ascii="Arial" w:hAnsi="Arial" w:cs="Arial" w:hint="default"/>
        <w:b/>
        <w:i w:val="0"/>
        <w:sz w:val="20"/>
        <w:lang w:val="en-US"/>
      </w:rPr>
    </w:lvl>
    <w:lvl w:ilvl="1">
      <w:start w:val="1"/>
      <w:numFmt w:val="decimal"/>
      <w:pStyle w:val="Level2"/>
      <w:lvlText w:val="%2."/>
      <w:lvlJc w:val="left"/>
      <w:pPr>
        <w:ind w:left="450" w:hanging="360"/>
      </w:pPr>
      <w:rPr>
        <w:rFonts w:ascii="Times New Roman" w:eastAsiaTheme="minorHAnsi" w:hAnsi="Times New Roman" w:cstheme="minorBidi"/>
        <w:b w:val="0"/>
        <w:bCs w:val="0"/>
        <w:lang w:val="en-US"/>
      </w:rPr>
    </w:lvl>
    <w:lvl w:ilvl="2">
      <w:start w:val="1"/>
      <w:numFmt w:val="decimal"/>
      <w:pStyle w:val="Level3"/>
      <w:lvlText w:val="%1.%2.%3."/>
      <w:lvlJc w:val="left"/>
      <w:pPr>
        <w:ind w:left="360" w:hanging="360"/>
      </w:pPr>
      <w:rPr>
        <w:rFonts w:hint="default"/>
        <w:b w:val="0"/>
      </w:rPr>
    </w:lvl>
    <w:lvl w:ilvl="3">
      <w:start w:val="1"/>
      <w:numFmt w:val="decimal"/>
      <w:pStyle w:val="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3" w15:restartNumberingAfterBreak="0">
    <w:nsid w:val="71DF3C56"/>
    <w:multiLevelType w:val="multilevel"/>
    <w:tmpl w:val="03621A60"/>
    <w:lvl w:ilvl="0">
      <w:start w:val="4"/>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4" w15:restartNumberingAfterBreak="0">
    <w:nsid w:val="71FB6777"/>
    <w:multiLevelType w:val="multilevel"/>
    <w:tmpl w:val="CAFEF21C"/>
    <w:lvl w:ilvl="0">
      <w:start w:val="5"/>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5" w15:restartNumberingAfterBreak="0">
    <w:nsid w:val="7405440B"/>
    <w:multiLevelType w:val="hybridMultilevel"/>
    <w:tmpl w:val="5F4C6D96"/>
    <w:lvl w:ilvl="0" w:tplc="A5403AF6">
      <w:start w:val="1"/>
      <w:numFmt w:val="decimal"/>
      <w:lvlText w:val="%1."/>
      <w:lvlJc w:val="left"/>
      <w:pPr>
        <w:ind w:left="720" w:hanging="360"/>
      </w:pPr>
      <w:rPr>
        <w:rFonts w:ascii="Times New Roman" w:eastAsiaTheme="minorEastAsia" w:hAnsi="Times New Roman" w:cs="Times New Roman"/>
      </w:rPr>
    </w:lvl>
    <w:lvl w:ilvl="1" w:tplc="41C243A4">
      <w:start w:val="1"/>
      <w:numFmt w:val="bullet"/>
      <w:lvlText w:val=""/>
      <w:lvlJc w:val="left"/>
      <w:pPr>
        <w:tabs>
          <w:tab w:val="num" w:pos="1440"/>
        </w:tabs>
        <w:ind w:left="1440" w:hanging="360"/>
      </w:pPr>
      <w:rPr>
        <w:rFonts w:ascii="Symbol" w:hAnsi="Symbol" w:hint="default"/>
      </w:rPr>
    </w:lvl>
    <w:lvl w:ilvl="2" w:tplc="53E875E8">
      <w:start w:val="1"/>
      <w:numFmt w:val="lowerRoman"/>
      <w:lvlText w:val="%3."/>
      <w:lvlJc w:val="right"/>
      <w:pPr>
        <w:tabs>
          <w:tab w:val="num" w:pos="2160"/>
        </w:tabs>
        <w:ind w:left="2160" w:hanging="180"/>
      </w:pPr>
      <w:rPr>
        <w:rFonts w:cs="Times New Roman"/>
      </w:rPr>
    </w:lvl>
    <w:lvl w:ilvl="3" w:tplc="D08AE984">
      <w:start w:val="1"/>
      <w:numFmt w:val="decimal"/>
      <w:lvlText w:val="%4."/>
      <w:lvlJc w:val="left"/>
      <w:pPr>
        <w:tabs>
          <w:tab w:val="num" w:pos="2880"/>
        </w:tabs>
        <w:ind w:left="2880" w:hanging="360"/>
      </w:pPr>
      <w:rPr>
        <w:rFonts w:cs="Times New Roman"/>
      </w:rPr>
    </w:lvl>
    <w:lvl w:ilvl="4" w:tplc="F9664CAA">
      <w:start w:val="1"/>
      <w:numFmt w:val="lowerLetter"/>
      <w:lvlText w:val="%5."/>
      <w:lvlJc w:val="left"/>
      <w:pPr>
        <w:tabs>
          <w:tab w:val="num" w:pos="3600"/>
        </w:tabs>
        <w:ind w:left="3600" w:hanging="360"/>
      </w:pPr>
      <w:rPr>
        <w:rFonts w:cs="Times New Roman"/>
      </w:rPr>
    </w:lvl>
    <w:lvl w:ilvl="5" w:tplc="A5C062FE">
      <w:start w:val="1"/>
      <w:numFmt w:val="lowerRoman"/>
      <w:lvlText w:val="%6."/>
      <w:lvlJc w:val="right"/>
      <w:pPr>
        <w:tabs>
          <w:tab w:val="num" w:pos="4320"/>
        </w:tabs>
        <w:ind w:left="4320" w:hanging="180"/>
      </w:pPr>
      <w:rPr>
        <w:rFonts w:cs="Times New Roman"/>
      </w:rPr>
    </w:lvl>
    <w:lvl w:ilvl="6" w:tplc="25A8F4F8">
      <w:start w:val="1"/>
      <w:numFmt w:val="decimal"/>
      <w:lvlText w:val="%7."/>
      <w:lvlJc w:val="left"/>
      <w:pPr>
        <w:tabs>
          <w:tab w:val="num" w:pos="5040"/>
        </w:tabs>
        <w:ind w:left="5040" w:hanging="360"/>
      </w:pPr>
      <w:rPr>
        <w:rFonts w:cs="Times New Roman"/>
      </w:rPr>
    </w:lvl>
    <w:lvl w:ilvl="7" w:tplc="8A44CB0C">
      <w:start w:val="1"/>
      <w:numFmt w:val="lowerLetter"/>
      <w:lvlText w:val="%8."/>
      <w:lvlJc w:val="left"/>
      <w:pPr>
        <w:tabs>
          <w:tab w:val="num" w:pos="5760"/>
        </w:tabs>
        <w:ind w:left="5760" w:hanging="360"/>
      </w:pPr>
      <w:rPr>
        <w:rFonts w:cs="Times New Roman"/>
      </w:rPr>
    </w:lvl>
    <w:lvl w:ilvl="8" w:tplc="13586496">
      <w:start w:val="1"/>
      <w:numFmt w:val="lowerRoman"/>
      <w:lvlText w:val="%9."/>
      <w:lvlJc w:val="right"/>
      <w:pPr>
        <w:tabs>
          <w:tab w:val="num" w:pos="6480"/>
        </w:tabs>
        <w:ind w:left="6480" w:hanging="180"/>
      </w:pPr>
      <w:rPr>
        <w:rFonts w:cs="Times New Roman"/>
      </w:rPr>
    </w:lvl>
  </w:abstractNum>
  <w:abstractNum w:abstractNumId="36" w15:restartNumberingAfterBreak="0">
    <w:nsid w:val="785C312B"/>
    <w:multiLevelType w:val="hybridMultilevel"/>
    <w:tmpl w:val="13027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85B76"/>
    <w:multiLevelType w:val="multilevel"/>
    <w:tmpl w:val="6ADE1FAE"/>
    <w:lvl w:ilvl="0">
      <w:start w:val="1"/>
      <w:numFmt w:val="decimal"/>
      <w:lvlText w:val="%1."/>
      <w:lvlJc w:val="left"/>
      <w:pPr>
        <w:ind w:left="1077" w:hanging="360"/>
      </w:pPr>
      <w:rPr>
        <w:rFonts w:ascii="Times New Roman" w:hAnsi="Times New Roman" w:cs="Times New Roman" w:hint="default"/>
        <w:b/>
        <w:bCs/>
        <w:sz w:val="24"/>
        <w:szCs w:val="28"/>
      </w:rPr>
    </w:lvl>
    <w:lvl w:ilvl="1">
      <w:start w:val="1"/>
      <w:numFmt w:val="decimal"/>
      <w:isLgl/>
      <w:lvlText w:val="%1.%2"/>
      <w:lvlJc w:val="left"/>
      <w:pPr>
        <w:ind w:left="1077" w:hanging="360"/>
      </w:pPr>
      <w:rPr>
        <w:rFonts w:hint="default"/>
        <w:lang w:val="en-US"/>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8" w15:restartNumberingAfterBreak="0">
    <w:nsid w:val="7DED50C5"/>
    <w:multiLevelType w:val="hybridMultilevel"/>
    <w:tmpl w:val="CB3C5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1382625">
    <w:abstractNumId w:val="18"/>
  </w:num>
  <w:num w:numId="2" w16cid:durableId="1497719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4899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971939">
    <w:abstractNumId w:val="32"/>
  </w:num>
  <w:num w:numId="5" w16cid:durableId="1027484887">
    <w:abstractNumId w:val="22"/>
  </w:num>
  <w:num w:numId="6" w16cid:durableId="517348488">
    <w:abstractNumId w:val="17"/>
  </w:num>
  <w:num w:numId="7" w16cid:durableId="688333222">
    <w:abstractNumId w:val="15"/>
  </w:num>
  <w:num w:numId="8" w16cid:durableId="5251457">
    <w:abstractNumId w:val="19"/>
  </w:num>
  <w:num w:numId="9" w16cid:durableId="107896962">
    <w:abstractNumId w:val="14"/>
  </w:num>
  <w:num w:numId="10" w16cid:durableId="1230077839">
    <w:abstractNumId w:val="35"/>
  </w:num>
  <w:num w:numId="11" w16cid:durableId="1355810358">
    <w:abstractNumId w:val="27"/>
  </w:num>
  <w:num w:numId="12" w16cid:durableId="1010180230">
    <w:abstractNumId w:val="21"/>
  </w:num>
  <w:num w:numId="13" w16cid:durableId="362053247">
    <w:abstractNumId w:val="10"/>
  </w:num>
  <w:num w:numId="14" w16cid:durableId="1234317358">
    <w:abstractNumId w:val="31"/>
  </w:num>
  <w:num w:numId="15" w16cid:durableId="261569836">
    <w:abstractNumId w:val="0"/>
  </w:num>
  <w:num w:numId="16" w16cid:durableId="2111003807">
    <w:abstractNumId w:val="3"/>
  </w:num>
  <w:num w:numId="17" w16cid:durableId="973831401">
    <w:abstractNumId w:val="25"/>
  </w:num>
  <w:num w:numId="18" w16cid:durableId="149491929">
    <w:abstractNumId w:val="5"/>
  </w:num>
  <w:num w:numId="19" w16cid:durableId="1281104585">
    <w:abstractNumId w:val="8"/>
  </w:num>
  <w:num w:numId="20" w16cid:durableId="756364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5562805">
    <w:abstractNumId w:val="29"/>
  </w:num>
  <w:num w:numId="22" w16cid:durableId="1149514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2291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004881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405307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8168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5120016">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569033">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4591396">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084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42723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7372704">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9653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5266197">
    <w:abstractNumId w:val="18"/>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656447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022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0946338">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84270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923616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518232">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7353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4936692">
    <w:abstractNumId w:val="18"/>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354604">
    <w:abstractNumId w:val="1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7487084">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46268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5136237">
    <w:abstractNumId w:val="18"/>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0030297">
    <w:abstractNumId w:val="18"/>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7879685">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6377447">
    <w:abstractNumId w:val="1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9774780">
    <w:abstractNumId w:val="1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197563">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01887465">
    <w:abstractNumId w:val="18"/>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14242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42850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1946152">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5272272">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1017155">
    <w:abstractNumId w:val="1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7536151">
    <w:abstractNumId w:val="1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5673800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9729561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0231221">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6407184">
    <w:abstractNumId w:val="1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389356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2387374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771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10385158">
    <w:abstractNumId w:val="18"/>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51204929">
    <w:abstractNumId w:val="18"/>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36868527">
    <w:abstractNumId w:val="18"/>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5229290">
    <w:abstractNumId w:val="18"/>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15973203">
    <w:abstractNumId w:val="1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07874675">
    <w:abstractNumId w:val="1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55619851">
    <w:abstractNumId w:val="18"/>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4025154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2077849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80157420">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21731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57380015">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8772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3703622">
    <w:abstractNumId w:val="13"/>
  </w:num>
  <w:num w:numId="80" w16cid:durableId="113803323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5060518">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8041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08592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3331784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64202157">
    <w:abstractNumId w:val="18"/>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42318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75346980">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5488594">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999125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41007231">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65062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4327358">
    <w:abstractNumId w:val="18"/>
    <w:lvlOverride w:ilvl="0">
      <w:startOverride w:val="1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23372323">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72847498">
    <w:abstractNumId w:val="26"/>
  </w:num>
  <w:num w:numId="95" w16cid:durableId="315571954">
    <w:abstractNumId w:val="23"/>
  </w:num>
  <w:num w:numId="96" w16cid:durableId="1927835185">
    <w:abstractNumId w:val="38"/>
  </w:num>
  <w:num w:numId="97" w16cid:durableId="1064446509">
    <w:abstractNumId w:val="36"/>
  </w:num>
  <w:num w:numId="98" w16cid:durableId="1009983851">
    <w:abstractNumId w:val="6"/>
  </w:num>
  <w:num w:numId="99" w16cid:durableId="894194552">
    <w:abstractNumId w:val="28"/>
  </w:num>
  <w:num w:numId="100" w16cid:durableId="1585185234">
    <w:abstractNumId w:val="9"/>
  </w:num>
  <w:num w:numId="101" w16cid:durableId="348072284">
    <w:abstractNumId w:val="30"/>
  </w:num>
  <w:num w:numId="102" w16cid:durableId="1958217309">
    <w:abstractNumId w:val="37"/>
  </w:num>
  <w:num w:numId="103" w16cid:durableId="1285430419">
    <w:abstractNumId w:val="11"/>
  </w:num>
  <w:num w:numId="104" w16cid:durableId="1919247548">
    <w:abstractNumId w:val="7"/>
  </w:num>
  <w:num w:numId="105" w16cid:durableId="252982570">
    <w:abstractNumId w:val="24"/>
  </w:num>
  <w:num w:numId="106" w16cid:durableId="1478449381">
    <w:abstractNumId w:val="33"/>
  </w:num>
  <w:num w:numId="107" w16cid:durableId="1964263490">
    <w:abstractNumId w:val="2"/>
  </w:num>
  <w:num w:numId="108" w16cid:durableId="372078873">
    <w:abstractNumId w:val="16"/>
  </w:num>
  <w:num w:numId="109" w16cid:durableId="941768682">
    <w:abstractNumId w:val="34"/>
  </w:num>
  <w:num w:numId="110" w16cid:durableId="591819428">
    <w:abstractNumId w:val="1"/>
  </w:num>
  <w:num w:numId="111" w16cid:durableId="2113697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 "/>
    <w:docVar w:name="ndGeneratedStampLocation" w:val="None"/>
    <w:docVar w:name="NetDocs_AuthorID" w:val="1086207"/>
    <w:docVar w:name="NetDocs_AuthorName" w:val="1086207"/>
    <w:docVar w:name="NetDocs_CabinetID" w:val="NG-D3AJFPW7"/>
    <w:docVar w:name="NetDocs_CabinetName" w:val="NG-D3AJFPW7"/>
    <w:docVar w:name="NetDocs_ClientID" w:val="PG_1200"/>
    <w:docVar w:name="NetDocs_DocID" w:val="4148-3699-1057"/>
    <w:docVar w:name="NetDocs_DocName" w:val="CZ_CAR T MPSASA_Vers1_Draft - Czech Rep review.docx"/>
    <w:docVar w:name="NetDocs_DocPath" w:val="C:\Users\1090439\ND Office Echo\EU-Z7EMKGXW\CZ_CAR T MPSASA_Vers1_Draft - Czech Rep review 4148-3699-1057 v.1.docx"/>
    <w:docVar w:name="NetDocs_DocumentType" w:val="PRE"/>
    <w:docVar w:name="NetDocs_MatterID" w:val="001226"/>
    <w:docVar w:name="NetDocs_PracticeArea" w:val="1226"/>
    <w:docVar w:name="NetDocs_PracticeGroup" w:val="1200"/>
    <w:docVar w:name="NetDocs_Version" w:val="1"/>
  </w:docVars>
  <w:rsids>
    <w:rsidRoot w:val="000A5162"/>
    <w:rsid w:val="00000A0F"/>
    <w:rsid w:val="00000DB9"/>
    <w:rsid w:val="00001028"/>
    <w:rsid w:val="000014B2"/>
    <w:rsid w:val="0000153A"/>
    <w:rsid w:val="0000294C"/>
    <w:rsid w:val="00003F56"/>
    <w:rsid w:val="00004E3D"/>
    <w:rsid w:val="00004F7C"/>
    <w:rsid w:val="00005B49"/>
    <w:rsid w:val="00005F53"/>
    <w:rsid w:val="00006850"/>
    <w:rsid w:val="00010B7A"/>
    <w:rsid w:val="00010BF7"/>
    <w:rsid w:val="00020A56"/>
    <w:rsid w:val="00021283"/>
    <w:rsid w:val="00021734"/>
    <w:rsid w:val="00021BE1"/>
    <w:rsid w:val="00022460"/>
    <w:rsid w:val="00023B29"/>
    <w:rsid w:val="00023BD7"/>
    <w:rsid w:val="00024651"/>
    <w:rsid w:val="0002465B"/>
    <w:rsid w:val="00024CF0"/>
    <w:rsid w:val="0002766D"/>
    <w:rsid w:val="0003053A"/>
    <w:rsid w:val="000350CA"/>
    <w:rsid w:val="00037254"/>
    <w:rsid w:val="00043153"/>
    <w:rsid w:val="00043569"/>
    <w:rsid w:val="00043A3D"/>
    <w:rsid w:val="0004499E"/>
    <w:rsid w:val="0005004F"/>
    <w:rsid w:val="00051740"/>
    <w:rsid w:val="0005200D"/>
    <w:rsid w:val="0005606C"/>
    <w:rsid w:val="000562BF"/>
    <w:rsid w:val="00056418"/>
    <w:rsid w:val="000566FA"/>
    <w:rsid w:val="0005703B"/>
    <w:rsid w:val="000578AD"/>
    <w:rsid w:val="000603D9"/>
    <w:rsid w:val="00062C8D"/>
    <w:rsid w:val="00066C26"/>
    <w:rsid w:val="00067844"/>
    <w:rsid w:val="00067E69"/>
    <w:rsid w:val="00070210"/>
    <w:rsid w:val="0007067C"/>
    <w:rsid w:val="00070AF6"/>
    <w:rsid w:val="00071580"/>
    <w:rsid w:val="00072359"/>
    <w:rsid w:val="00080C0C"/>
    <w:rsid w:val="000813E9"/>
    <w:rsid w:val="000864C7"/>
    <w:rsid w:val="0008702E"/>
    <w:rsid w:val="00091D67"/>
    <w:rsid w:val="00092020"/>
    <w:rsid w:val="00093977"/>
    <w:rsid w:val="00095664"/>
    <w:rsid w:val="00096442"/>
    <w:rsid w:val="0009676C"/>
    <w:rsid w:val="00097778"/>
    <w:rsid w:val="00097B2F"/>
    <w:rsid w:val="000A00A8"/>
    <w:rsid w:val="000A3EAE"/>
    <w:rsid w:val="000A4317"/>
    <w:rsid w:val="000A4A22"/>
    <w:rsid w:val="000A5162"/>
    <w:rsid w:val="000A6336"/>
    <w:rsid w:val="000B2604"/>
    <w:rsid w:val="000B26B1"/>
    <w:rsid w:val="000B2F9E"/>
    <w:rsid w:val="000B393B"/>
    <w:rsid w:val="000B4C86"/>
    <w:rsid w:val="000B4F08"/>
    <w:rsid w:val="000B789C"/>
    <w:rsid w:val="000C0CD1"/>
    <w:rsid w:val="000C118B"/>
    <w:rsid w:val="000C4CEF"/>
    <w:rsid w:val="000C795B"/>
    <w:rsid w:val="000D13C3"/>
    <w:rsid w:val="000D160D"/>
    <w:rsid w:val="000D566B"/>
    <w:rsid w:val="000E1CF6"/>
    <w:rsid w:val="000E2955"/>
    <w:rsid w:val="000E527A"/>
    <w:rsid w:val="000E5ABB"/>
    <w:rsid w:val="000E6C13"/>
    <w:rsid w:val="000F073B"/>
    <w:rsid w:val="000F0B7C"/>
    <w:rsid w:val="000F35F4"/>
    <w:rsid w:val="000F3658"/>
    <w:rsid w:val="000F74FA"/>
    <w:rsid w:val="001005B7"/>
    <w:rsid w:val="00101EA9"/>
    <w:rsid w:val="00101F58"/>
    <w:rsid w:val="0010272D"/>
    <w:rsid w:val="00112B70"/>
    <w:rsid w:val="0011303C"/>
    <w:rsid w:val="00114045"/>
    <w:rsid w:val="00117965"/>
    <w:rsid w:val="00121603"/>
    <w:rsid w:val="00127774"/>
    <w:rsid w:val="00127D2C"/>
    <w:rsid w:val="001314E7"/>
    <w:rsid w:val="00131DD7"/>
    <w:rsid w:val="00132C18"/>
    <w:rsid w:val="00134455"/>
    <w:rsid w:val="00135283"/>
    <w:rsid w:val="00135FE6"/>
    <w:rsid w:val="00136FFA"/>
    <w:rsid w:val="0014004A"/>
    <w:rsid w:val="00140A70"/>
    <w:rsid w:val="00144195"/>
    <w:rsid w:val="00144E45"/>
    <w:rsid w:val="00151B1F"/>
    <w:rsid w:val="00152201"/>
    <w:rsid w:val="0015223A"/>
    <w:rsid w:val="0015315C"/>
    <w:rsid w:val="0015435D"/>
    <w:rsid w:val="0016196E"/>
    <w:rsid w:val="00161B3C"/>
    <w:rsid w:val="00162326"/>
    <w:rsid w:val="001636A6"/>
    <w:rsid w:val="00164770"/>
    <w:rsid w:val="00165E6E"/>
    <w:rsid w:val="00166EAD"/>
    <w:rsid w:val="001670A6"/>
    <w:rsid w:val="00167539"/>
    <w:rsid w:val="00170E52"/>
    <w:rsid w:val="00171FA9"/>
    <w:rsid w:val="0017292A"/>
    <w:rsid w:val="001743B9"/>
    <w:rsid w:val="0017600B"/>
    <w:rsid w:val="00176C84"/>
    <w:rsid w:val="00184070"/>
    <w:rsid w:val="00186A79"/>
    <w:rsid w:val="001924BD"/>
    <w:rsid w:val="00193D07"/>
    <w:rsid w:val="00194FE8"/>
    <w:rsid w:val="00196DDF"/>
    <w:rsid w:val="00197C39"/>
    <w:rsid w:val="001A10D1"/>
    <w:rsid w:val="001A2219"/>
    <w:rsid w:val="001A26AB"/>
    <w:rsid w:val="001A5CD6"/>
    <w:rsid w:val="001A6270"/>
    <w:rsid w:val="001A64C4"/>
    <w:rsid w:val="001B130D"/>
    <w:rsid w:val="001B1F36"/>
    <w:rsid w:val="001B3789"/>
    <w:rsid w:val="001B3E54"/>
    <w:rsid w:val="001B4E60"/>
    <w:rsid w:val="001B5456"/>
    <w:rsid w:val="001B558C"/>
    <w:rsid w:val="001B7289"/>
    <w:rsid w:val="001B7AAC"/>
    <w:rsid w:val="001C35BB"/>
    <w:rsid w:val="001C368B"/>
    <w:rsid w:val="001C505D"/>
    <w:rsid w:val="001C7ACF"/>
    <w:rsid w:val="001D0796"/>
    <w:rsid w:val="001D0C62"/>
    <w:rsid w:val="001D38F7"/>
    <w:rsid w:val="001D3C7E"/>
    <w:rsid w:val="001D4E84"/>
    <w:rsid w:val="001D5124"/>
    <w:rsid w:val="001E0557"/>
    <w:rsid w:val="001E267B"/>
    <w:rsid w:val="001E277F"/>
    <w:rsid w:val="001E29E2"/>
    <w:rsid w:val="001E3444"/>
    <w:rsid w:val="001E34AA"/>
    <w:rsid w:val="001E34AD"/>
    <w:rsid w:val="001E3E55"/>
    <w:rsid w:val="001E4514"/>
    <w:rsid w:val="001E4682"/>
    <w:rsid w:val="001E576E"/>
    <w:rsid w:val="001E5FA2"/>
    <w:rsid w:val="001E6B36"/>
    <w:rsid w:val="001F0169"/>
    <w:rsid w:val="001F023A"/>
    <w:rsid w:val="001F0D3F"/>
    <w:rsid w:val="001F274A"/>
    <w:rsid w:val="001F3970"/>
    <w:rsid w:val="001F48CF"/>
    <w:rsid w:val="001F6AA8"/>
    <w:rsid w:val="0020007D"/>
    <w:rsid w:val="00202158"/>
    <w:rsid w:val="00203177"/>
    <w:rsid w:val="00203ABD"/>
    <w:rsid w:val="00204F03"/>
    <w:rsid w:val="00205626"/>
    <w:rsid w:val="00206B93"/>
    <w:rsid w:val="00207389"/>
    <w:rsid w:val="00211369"/>
    <w:rsid w:val="0021197B"/>
    <w:rsid w:val="002119EC"/>
    <w:rsid w:val="00215770"/>
    <w:rsid w:val="00216C0D"/>
    <w:rsid w:val="002214B7"/>
    <w:rsid w:val="00224FA0"/>
    <w:rsid w:val="002309D7"/>
    <w:rsid w:val="002320F4"/>
    <w:rsid w:val="00234266"/>
    <w:rsid w:val="00240FF9"/>
    <w:rsid w:val="002417BF"/>
    <w:rsid w:val="00242B9A"/>
    <w:rsid w:val="002442EB"/>
    <w:rsid w:val="00244413"/>
    <w:rsid w:val="00244D69"/>
    <w:rsid w:val="0024620A"/>
    <w:rsid w:val="0024666E"/>
    <w:rsid w:val="00246C81"/>
    <w:rsid w:val="00250258"/>
    <w:rsid w:val="00253FA6"/>
    <w:rsid w:val="00254C8D"/>
    <w:rsid w:val="00260FEC"/>
    <w:rsid w:val="00261A14"/>
    <w:rsid w:val="00262E37"/>
    <w:rsid w:val="00265954"/>
    <w:rsid w:val="00266F13"/>
    <w:rsid w:val="0026763D"/>
    <w:rsid w:val="00267DDE"/>
    <w:rsid w:val="00270111"/>
    <w:rsid w:val="0027072C"/>
    <w:rsid w:val="00271663"/>
    <w:rsid w:val="002724E0"/>
    <w:rsid w:val="00273776"/>
    <w:rsid w:val="00276171"/>
    <w:rsid w:val="002769CE"/>
    <w:rsid w:val="00277847"/>
    <w:rsid w:val="00277DBF"/>
    <w:rsid w:val="0028094D"/>
    <w:rsid w:val="00280AEC"/>
    <w:rsid w:val="002822DC"/>
    <w:rsid w:val="00285616"/>
    <w:rsid w:val="00287617"/>
    <w:rsid w:val="0029029C"/>
    <w:rsid w:val="002935AF"/>
    <w:rsid w:val="00293F25"/>
    <w:rsid w:val="002956B3"/>
    <w:rsid w:val="002960CA"/>
    <w:rsid w:val="0029663B"/>
    <w:rsid w:val="0029785D"/>
    <w:rsid w:val="002A3163"/>
    <w:rsid w:val="002A435A"/>
    <w:rsid w:val="002B30F6"/>
    <w:rsid w:val="002B3F51"/>
    <w:rsid w:val="002B40BA"/>
    <w:rsid w:val="002B7740"/>
    <w:rsid w:val="002B7832"/>
    <w:rsid w:val="002C0025"/>
    <w:rsid w:val="002C3226"/>
    <w:rsid w:val="002C3BB4"/>
    <w:rsid w:val="002C499D"/>
    <w:rsid w:val="002C5BB6"/>
    <w:rsid w:val="002D0B37"/>
    <w:rsid w:val="002D1013"/>
    <w:rsid w:val="002D75FB"/>
    <w:rsid w:val="002E0DA5"/>
    <w:rsid w:val="002E2873"/>
    <w:rsid w:val="002E35B1"/>
    <w:rsid w:val="002E5A44"/>
    <w:rsid w:val="002E604D"/>
    <w:rsid w:val="002E7831"/>
    <w:rsid w:val="002F178C"/>
    <w:rsid w:val="002F3A7F"/>
    <w:rsid w:val="002F4714"/>
    <w:rsid w:val="002F4E53"/>
    <w:rsid w:val="002F6F74"/>
    <w:rsid w:val="002F73E7"/>
    <w:rsid w:val="002F7E38"/>
    <w:rsid w:val="002F7FC0"/>
    <w:rsid w:val="00303D5E"/>
    <w:rsid w:val="00304F83"/>
    <w:rsid w:val="003059BA"/>
    <w:rsid w:val="0030675F"/>
    <w:rsid w:val="00310CB7"/>
    <w:rsid w:val="0031164B"/>
    <w:rsid w:val="00313EA1"/>
    <w:rsid w:val="00314846"/>
    <w:rsid w:val="00314A83"/>
    <w:rsid w:val="00321D64"/>
    <w:rsid w:val="00324227"/>
    <w:rsid w:val="00324F14"/>
    <w:rsid w:val="0032665D"/>
    <w:rsid w:val="00326719"/>
    <w:rsid w:val="00331EE5"/>
    <w:rsid w:val="00332889"/>
    <w:rsid w:val="00334959"/>
    <w:rsid w:val="00334A46"/>
    <w:rsid w:val="003357D6"/>
    <w:rsid w:val="00336287"/>
    <w:rsid w:val="003368CD"/>
    <w:rsid w:val="00337F6B"/>
    <w:rsid w:val="00341397"/>
    <w:rsid w:val="003432DD"/>
    <w:rsid w:val="003441DD"/>
    <w:rsid w:val="00347311"/>
    <w:rsid w:val="00347B0F"/>
    <w:rsid w:val="003522BA"/>
    <w:rsid w:val="003543BD"/>
    <w:rsid w:val="00355A80"/>
    <w:rsid w:val="0035640D"/>
    <w:rsid w:val="00363D63"/>
    <w:rsid w:val="00363F02"/>
    <w:rsid w:val="0036508D"/>
    <w:rsid w:val="003654A4"/>
    <w:rsid w:val="00366288"/>
    <w:rsid w:val="00367AC8"/>
    <w:rsid w:val="003712B7"/>
    <w:rsid w:val="003713DC"/>
    <w:rsid w:val="00374003"/>
    <w:rsid w:val="0037487A"/>
    <w:rsid w:val="00375110"/>
    <w:rsid w:val="0038191D"/>
    <w:rsid w:val="00381BF8"/>
    <w:rsid w:val="00382218"/>
    <w:rsid w:val="0038336E"/>
    <w:rsid w:val="00385014"/>
    <w:rsid w:val="00386778"/>
    <w:rsid w:val="00386CC2"/>
    <w:rsid w:val="003874C2"/>
    <w:rsid w:val="00387782"/>
    <w:rsid w:val="003901CF"/>
    <w:rsid w:val="0039280C"/>
    <w:rsid w:val="00394322"/>
    <w:rsid w:val="00394A12"/>
    <w:rsid w:val="003954BA"/>
    <w:rsid w:val="00395F1A"/>
    <w:rsid w:val="00396236"/>
    <w:rsid w:val="003979F4"/>
    <w:rsid w:val="003A15AC"/>
    <w:rsid w:val="003A217A"/>
    <w:rsid w:val="003A3188"/>
    <w:rsid w:val="003A3E8C"/>
    <w:rsid w:val="003A4A29"/>
    <w:rsid w:val="003A53BF"/>
    <w:rsid w:val="003A66D9"/>
    <w:rsid w:val="003B0033"/>
    <w:rsid w:val="003B0A5B"/>
    <w:rsid w:val="003B0BAD"/>
    <w:rsid w:val="003B1F3B"/>
    <w:rsid w:val="003B4978"/>
    <w:rsid w:val="003B5BFF"/>
    <w:rsid w:val="003B6DCC"/>
    <w:rsid w:val="003B70F6"/>
    <w:rsid w:val="003B764F"/>
    <w:rsid w:val="003B7982"/>
    <w:rsid w:val="003C170B"/>
    <w:rsid w:val="003C201E"/>
    <w:rsid w:val="003C3B6E"/>
    <w:rsid w:val="003C3DF7"/>
    <w:rsid w:val="003C6876"/>
    <w:rsid w:val="003C6972"/>
    <w:rsid w:val="003D05A2"/>
    <w:rsid w:val="003D316A"/>
    <w:rsid w:val="003D5CF7"/>
    <w:rsid w:val="003D5F6A"/>
    <w:rsid w:val="003D6F5F"/>
    <w:rsid w:val="003E0256"/>
    <w:rsid w:val="003E3257"/>
    <w:rsid w:val="003E48E7"/>
    <w:rsid w:val="003F0DA6"/>
    <w:rsid w:val="003F681C"/>
    <w:rsid w:val="003F76EB"/>
    <w:rsid w:val="00400A11"/>
    <w:rsid w:val="004033C6"/>
    <w:rsid w:val="004039C4"/>
    <w:rsid w:val="00403AEE"/>
    <w:rsid w:val="00403F7D"/>
    <w:rsid w:val="0040459D"/>
    <w:rsid w:val="00404B39"/>
    <w:rsid w:val="00404E39"/>
    <w:rsid w:val="00405932"/>
    <w:rsid w:val="0041075B"/>
    <w:rsid w:val="004121CB"/>
    <w:rsid w:val="00412977"/>
    <w:rsid w:val="004150A2"/>
    <w:rsid w:val="00416881"/>
    <w:rsid w:val="004171D4"/>
    <w:rsid w:val="004179D4"/>
    <w:rsid w:val="00417F49"/>
    <w:rsid w:val="00420075"/>
    <w:rsid w:val="004220A7"/>
    <w:rsid w:val="00422D1F"/>
    <w:rsid w:val="00424A4E"/>
    <w:rsid w:val="00426C97"/>
    <w:rsid w:val="00432278"/>
    <w:rsid w:val="004331DE"/>
    <w:rsid w:val="00436BF9"/>
    <w:rsid w:val="00436CA2"/>
    <w:rsid w:val="00436E91"/>
    <w:rsid w:val="0044126C"/>
    <w:rsid w:val="00442F47"/>
    <w:rsid w:val="00445CEB"/>
    <w:rsid w:val="00447062"/>
    <w:rsid w:val="00451107"/>
    <w:rsid w:val="00451177"/>
    <w:rsid w:val="00452E4F"/>
    <w:rsid w:val="004549D9"/>
    <w:rsid w:val="00454D1F"/>
    <w:rsid w:val="004556FA"/>
    <w:rsid w:val="00455CC7"/>
    <w:rsid w:val="00455F49"/>
    <w:rsid w:val="00456540"/>
    <w:rsid w:val="0046087B"/>
    <w:rsid w:val="00462FD5"/>
    <w:rsid w:val="004638CE"/>
    <w:rsid w:val="004664FD"/>
    <w:rsid w:val="0047064F"/>
    <w:rsid w:val="00474725"/>
    <w:rsid w:val="004828EE"/>
    <w:rsid w:val="00482D36"/>
    <w:rsid w:val="004834C5"/>
    <w:rsid w:val="004838DB"/>
    <w:rsid w:val="00484968"/>
    <w:rsid w:val="00484B0E"/>
    <w:rsid w:val="00486A31"/>
    <w:rsid w:val="00486C28"/>
    <w:rsid w:val="00487760"/>
    <w:rsid w:val="004911C4"/>
    <w:rsid w:val="00496424"/>
    <w:rsid w:val="00497286"/>
    <w:rsid w:val="00497C56"/>
    <w:rsid w:val="00497DF8"/>
    <w:rsid w:val="004A4208"/>
    <w:rsid w:val="004A4ABC"/>
    <w:rsid w:val="004A52EA"/>
    <w:rsid w:val="004A6950"/>
    <w:rsid w:val="004B4154"/>
    <w:rsid w:val="004B46D4"/>
    <w:rsid w:val="004B5174"/>
    <w:rsid w:val="004B517A"/>
    <w:rsid w:val="004B5430"/>
    <w:rsid w:val="004B70DE"/>
    <w:rsid w:val="004B7162"/>
    <w:rsid w:val="004C0583"/>
    <w:rsid w:val="004C1450"/>
    <w:rsid w:val="004C1FB2"/>
    <w:rsid w:val="004C4D0E"/>
    <w:rsid w:val="004C5D36"/>
    <w:rsid w:val="004C67C5"/>
    <w:rsid w:val="004C68E5"/>
    <w:rsid w:val="004C71B4"/>
    <w:rsid w:val="004D0693"/>
    <w:rsid w:val="004D3F99"/>
    <w:rsid w:val="004D4C1C"/>
    <w:rsid w:val="004D4CD6"/>
    <w:rsid w:val="004D54FA"/>
    <w:rsid w:val="004D6762"/>
    <w:rsid w:val="004D7DDD"/>
    <w:rsid w:val="004E288D"/>
    <w:rsid w:val="004E28F0"/>
    <w:rsid w:val="004E3FBC"/>
    <w:rsid w:val="004E4981"/>
    <w:rsid w:val="004E5159"/>
    <w:rsid w:val="004E5227"/>
    <w:rsid w:val="004E570A"/>
    <w:rsid w:val="004E656A"/>
    <w:rsid w:val="004E6FD0"/>
    <w:rsid w:val="004F0B48"/>
    <w:rsid w:val="004F26E1"/>
    <w:rsid w:val="004F3AB5"/>
    <w:rsid w:val="004F4311"/>
    <w:rsid w:val="004F4607"/>
    <w:rsid w:val="004F4663"/>
    <w:rsid w:val="004F5BC0"/>
    <w:rsid w:val="004F5F2B"/>
    <w:rsid w:val="00500B38"/>
    <w:rsid w:val="00503F1C"/>
    <w:rsid w:val="0051062A"/>
    <w:rsid w:val="00512117"/>
    <w:rsid w:val="00513651"/>
    <w:rsid w:val="005148E1"/>
    <w:rsid w:val="005167E1"/>
    <w:rsid w:val="0051729C"/>
    <w:rsid w:val="00517EB9"/>
    <w:rsid w:val="0052078D"/>
    <w:rsid w:val="00520A19"/>
    <w:rsid w:val="00520A5A"/>
    <w:rsid w:val="00520CA8"/>
    <w:rsid w:val="00521287"/>
    <w:rsid w:val="00521967"/>
    <w:rsid w:val="0052314F"/>
    <w:rsid w:val="0052426B"/>
    <w:rsid w:val="00524897"/>
    <w:rsid w:val="00525766"/>
    <w:rsid w:val="00525A12"/>
    <w:rsid w:val="00525C08"/>
    <w:rsid w:val="0052612C"/>
    <w:rsid w:val="00526158"/>
    <w:rsid w:val="00526F04"/>
    <w:rsid w:val="00533569"/>
    <w:rsid w:val="005339F3"/>
    <w:rsid w:val="00535652"/>
    <w:rsid w:val="00535948"/>
    <w:rsid w:val="00536009"/>
    <w:rsid w:val="00536652"/>
    <w:rsid w:val="00540B7D"/>
    <w:rsid w:val="00544E76"/>
    <w:rsid w:val="00546EDC"/>
    <w:rsid w:val="005511B2"/>
    <w:rsid w:val="00551B3C"/>
    <w:rsid w:val="0055208C"/>
    <w:rsid w:val="00552C64"/>
    <w:rsid w:val="00554933"/>
    <w:rsid w:val="00555E45"/>
    <w:rsid w:val="00555ECB"/>
    <w:rsid w:val="00556954"/>
    <w:rsid w:val="00556D44"/>
    <w:rsid w:val="0055725C"/>
    <w:rsid w:val="005615AB"/>
    <w:rsid w:val="005648B3"/>
    <w:rsid w:val="005651A0"/>
    <w:rsid w:val="00565B93"/>
    <w:rsid w:val="00565F8D"/>
    <w:rsid w:val="00566279"/>
    <w:rsid w:val="00570F34"/>
    <w:rsid w:val="005710C0"/>
    <w:rsid w:val="005710DD"/>
    <w:rsid w:val="005727F2"/>
    <w:rsid w:val="00573CE5"/>
    <w:rsid w:val="00574338"/>
    <w:rsid w:val="00574F6A"/>
    <w:rsid w:val="00575ABD"/>
    <w:rsid w:val="00576FD0"/>
    <w:rsid w:val="005817D6"/>
    <w:rsid w:val="00581C96"/>
    <w:rsid w:val="00583325"/>
    <w:rsid w:val="00584D55"/>
    <w:rsid w:val="00585171"/>
    <w:rsid w:val="00592453"/>
    <w:rsid w:val="00592883"/>
    <w:rsid w:val="00592C57"/>
    <w:rsid w:val="00593F79"/>
    <w:rsid w:val="0059515D"/>
    <w:rsid w:val="005958F7"/>
    <w:rsid w:val="00595EB2"/>
    <w:rsid w:val="005A143A"/>
    <w:rsid w:val="005A2368"/>
    <w:rsid w:val="005A2D3F"/>
    <w:rsid w:val="005A3C7C"/>
    <w:rsid w:val="005A4CF4"/>
    <w:rsid w:val="005A5B57"/>
    <w:rsid w:val="005A5FB1"/>
    <w:rsid w:val="005A5FC5"/>
    <w:rsid w:val="005B1CFF"/>
    <w:rsid w:val="005B5437"/>
    <w:rsid w:val="005B677B"/>
    <w:rsid w:val="005B7436"/>
    <w:rsid w:val="005C1925"/>
    <w:rsid w:val="005C52EF"/>
    <w:rsid w:val="005C6EC5"/>
    <w:rsid w:val="005D04EA"/>
    <w:rsid w:val="005D3B9A"/>
    <w:rsid w:val="005D6320"/>
    <w:rsid w:val="005D67FB"/>
    <w:rsid w:val="005D6DDA"/>
    <w:rsid w:val="005D7DB1"/>
    <w:rsid w:val="005E0322"/>
    <w:rsid w:val="005E5BE3"/>
    <w:rsid w:val="005F3F16"/>
    <w:rsid w:val="005F4D6A"/>
    <w:rsid w:val="00600FA9"/>
    <w:rsid w:val="00603D11"/>
    <w:rsid w:val="006073B4"/>
    <w:rsid w:val="00607617"/>
    <w:rsid w:val="00607733"/>
    <w:rsid w:val="006079B5"/>
    <w:rsid w:val="00611946"/>
    <w:rsid w:val="006125E3"/>
    <w:rsid w:val="00612CA4"/>
    <w:rsid w:val="00613D5A"/>
    <w:rsid w:val="006145E3"/>
    <w:rsid w:val="00614D41"/>
    <w:rsid w:val="00615173"/>
    <w:rsid w:val="00615B72"/>
    <w:rsid w:val="0061662E"/>
    <w:rsid w:val="00616F4E"/>
    <w:rsid w:val="006206F5"/>
    <w:rsid w:val="00622512"/>
    <w:rsid w:val="00623C8D"/>
    <w:rsid w:val="00624170"/>
    <w:rsid w:val="00624E2B"/>
    <w:rsid w:val="00625337"/>
    <w:rsid w:val="00631E42"/>
    <w:rsid w:val="00635A5D"/>
    <w:rsid w:val="00636654"/>
    <w:rsid w:val="00642559"/>
    <w:rsid w:val="00645CAA"/>
    <w:rsid w:val="00647649"/>
    <w:rsid w:val="006476BF"/>
    <w:rsid w:val="00647FA5"/>
    <w:rsid w:val="0065022D"/>
    <w:rsid w:val="006505F4"/>
    <w:rsid w:val="00650A87"/>
    <w:rsid w:val="00650B84"/>
    <w:rsid w:val="00650E12"/>
    <w:rsid w:val="00651781"/>
    <w:rsid w:val="00651C64"/>
    <w:rsid w:val="00651D9B"/>
    <w:rsid w:val="006559F5"/>
    <w:rsid w:val="00662B99"/>
    <w:rsid w:val="00663181"/>
    <w:rsid w:val="00663B94"/>
    <w:rsid w:val="00667B2A"/>
    <w:rsid w:val="006703C1"/>
    <w:rsid w:val="00670F20"/>
    <w:rsid w:val="00671443"/>
    <w:rsid w:val="006729AE"/>
    <w:rsid w:val="00673C43"/>
    <w:rsid w:val="00673FFE"/>
    <w:rsid w:val="006747A9"/>
    <w:rsid w:val="00680931"/>
    <w:rsid w:val="00682F30"/>
    <w:rsid w:val="006851E3"/>
    <w:rsid w:val="0068561B"/>
    <w:rsid w:val="00685B64"/>
    <w:rsid w:val="0068666D"/>
    <w:rsid w:val="00686DC0"/>
    <w:rsid w:val="00687FF6"/>
    <w:rsid w:val="0069024E"/>
    <w:rsid w:val="00690580"/>
    <w:rsid w:val="00693238"/>
    <w:rsid w:val="006935B3"/>
    <w:rsid w:val="00694BF3"/>
    <w:rsid w:val="006971CB"/>
    <w:rsid w:val="00697566"/>
    <w:rsid w:val="006A1068"/>
    <w:rsid w:val="006A30D3"/>
    <w:rsid w:val="006A533B"/>
    <w:rsid w:val="006A59F8"/>
    <w:rsid w:val="006A5DB5"/>
    <w:rsid w:val="006A64C4"/>
    <w:rsid w:val="006A6AF3"/>
    <w:rsid w:val="006B02C7"/>
    <w:rsid w:val="006B2232"/>
    <w:rsid w:val="006B33FE"/>
    <w:rsid w:val="006B3FB9"/>
    <w:rsid w:val="006B490B"/>
    <w:rsid w:val="006B4B46"/>
    <w:rsid w:val="006B7478"/>
    <w:rsid w:val="006C0864"/>
    <w:rsid w:val="006C0CC7"/>
    <w:rsid w:val="006C2531"/>
    <w:rsid w:val="006C26AE"/>
    <w:rsid w:val="006C3277"/>
    <w:rsid w:val="006C7D93"/>
    <w:rsid w:val="006D0A68"/>
    <w:rsid w:val="006D27A7"/>
    <w:rsid w:val="006D2E60"/>
    <w:rsid w:val="006D37F2"/>
    <w:rsid w:val="006D6110"/>
    <w:rsid w:val="006D689E"/>
    <w:rsid w:val="006D72E0"/>
    <w:rsid w:val="006D7349"/>
    <w:rsid w:val="006D7F9A"/>
    <w:rsid w:val="006E1FE7"/>
    <w:rsid w:val="006E216E"/>
    <w:rsid w:val="006E2364"/>
    <w:rsid w:val="006E4C6A"/>
    <w:rsid w:val="006E7544"/>
    <w:rsid w:val="006E7C98"/>
    <w:rsid w:val="006F14DF"/>
    <w:rsid w:val="006F16F7"/>
    <w:rsid w:val="006F1B26"/>
    <w:rsid w:val="006F1C37"/>
    <w:rsid w:val="006F2949"/>
    <w:rsid w:val="006F2F7F"/>
    <w:rsid w:val="006F3975"/>
    <w:rsid w:val="006F3C6C"/>
    <w:rsid w:val="006F5A6D"/>
    <w:rsid w:val="006F6346"/>
    <w:rsid w:val="006F7AC5"/>
    <w:rsid w:val="007001A9"/>
    <w:rsid w:val="0070129D"/>
    <w:rsid w:val="0070342B"/>
    <w:rsid w:val="00703D17"/>
    <w:rsid w:val="00705BE7"/>
    <w:rsid w:val="0070693C"/>
    <w:rsid w:val="00711668"/>
    <w:rsid w:val="0071265C"/>
    <w:rsid w:val="007137F8"/>
    <w:rsid w:val="0071451F"/>
    <w:rsid w:val="00717BD4"/>
    <w:rsid w:val="00720D63"/>
    <w:rsid w:val="00720FB2"/>
    <w:rsid w:val="00722743"/>
    <w:rsid w:val="007232E5"/>
    <w:rsid w:val="00727E7A"/>
    <w:rsid w:val="00730E25"/>
    <w:rsid w:val="00731918"/>
    <w:rsid w:val="007322AC"/>
    <w:rsid w:val="007323D1"/>
    <w:rsid w:val="00733E29"/>
    <w:rsid w:val="00736007"/>
    <w:rsid w:val="00741444"/>
    <w:rsid w:val="00742218"/>
    <w:rsid w:val="007427A5"/>
    <w:rsid w:val="00743840"/>
    <w:rsid w:val="0074385C"/>
    <w:rsid w:val="007453A8"/>
    <w:rsid w:val="00746906"/>
    <w:rsid w:val="00750A23"/>
    <w:rsid w:val="00755245"/>
    <w:rsid w:val="00756885"/>
    <w:rsid w:val="007571A5"/>
    <w:rsid w:val="0075788A"/>
    <w:rsid w:val="0075792C"/>
    <w:rsid w:val="00761268"/>
    <w:rsid w:val="00763A8C"/>
    <w:rsid w:val="0076413E"/>
    <w:rsid w:val="00764F9D"/>
    <w:rsid w:val="0076627F"/>
    <w:rsid w:val="00767768"/>
    <w:rsid w:val="00767AC0"/>
    <w:rsid w:val="00775ACB"/>
    <w:rsid w:val="00775E7E"/>
    <w:rsid w:val="0077714F"/>
    <w:rsid w:val="007802CE"/>
    <w:rsid w:val="00780378"/>
    <w:rsid w:val="00782528"/>
    <w:rsid w:val="00783A40"/>
    <w:rsid w:val="00791346"/>
    <w:rsid w:val="0079151C"/>
    <w:rsid w:val="00792EC4"/>
    <w:rsid w:val="00793FE0"/>
    <w:rsid w:val="007947A0"/>
    <w:rsid w:val="00796BE9"/>
    <w:rsid w:val="007A036E"/>
    <w:rsid w:val="007A047C"/>
    <w:rsid w:val="007A1703"/>
    <w:rsid w:val="007A3099"/>
    <w:rsid w:val="007A4A89"/>
    <w:rsid w:val="007A766F"/>
    <w:rsid w:val="007B1EB9"/>
    <w:rsid w:val="007B21F8"/>
    <w:rsid w:val="007B2330"/>
    <w:rsid w:val="007B6BF4"/>
    <w:rsid w:val="007B7D6F"/>
    <w:rsid w:val="007C291C"/>
    <w:rsid w:val="007C3C8D"/>
    <w:rsid w:val="007C4730"/>
    <w:rsid w:val="007C56AC"/>
    <w:rsid w:val="007C6457"/>
    <w:rsid w:val="007C736D"/>
    <w:rsid w:val="007D2047"/>
    <w:rsid w:val="007D503B"/>
    <w:rsid w:val="007D55E2"/>
    <w:rsid w:val="007D56B2"/>
    <w:rsid w:val="007D6815"/>
    <w:rsid w:val="007D7698"/>
    <w:rsid w:val="007E0649"/>
    <w:rsid w:val="007E116D"/>
    <w:rsid w:val="007E1DD6"/>
    <w:rsid w:val="007E4B10"/>
    <w:rsid w:val="007E75A9"/>
    <w:rsid w:val="007F12C6"/>
    <w:rsid w:val="007F16B9"/>
    <w:rsid w:val="007F1CCB"/>
    <w:rsid w:val="007F43D8"/>
    <w:rsid w:val="007F562B"/>
    <w:rsid w:val="007F58FC"/>
    <w:rsid w:val="00802852"/>
    <w:rsid w:val="00803083"/>
    <w:rsid w:val="008070E9"/>
    <w:rsid w:val="0080768E"/>
    <w:rsid w:val="00807EDA"/>
    <w:rsid w:val="008100F4"/>
    <w:rsid w:val="008102D8"/>
    <w:rsid w:val="00811509"/>
    <w:rsid w:val="008116C4"/>
    <w:rsid w:val="00812899"/>
    <w:rsid w:val="00812E9E"/>
    <w:rsid w:val="008139CC"/>
    <w:rsid w:val="0081413E"/>
    <w:rsid w:val="0081489B"/>
    <w:rsid w:val="008162A7"/>
    <w:rsid w:val="00816D6D"/>
    <w:rsid w:val="00817DE1"/>
    <w:rsid w:val="00821A35"/>
    <w:rsid w:val="0082233B"/>
    <w:rsid w:val="008229B2"/>
    <w:rsid w:val="00824978"/>
    <w:rsid w:val="00825DEC"/>
    <w:rsid w:val="00826AD3"/>
    <w:rsid w:val="00830268"/>
    <w:rsid w:val="00830D19"/>
    <w:rsid w:val="00832E33"/>
    <w:rsid w:val="00837726"/>
    <w:rsid w:val="00840E4D"/>
    <w:rsid w:val="00843043"/>
    <w:rsid w:val="00844B39"/>
    <w:rsid w:val="00844D11"/>
    <w:rsid w:val="00847AA9"/>
    <w:rsid w:val="00847F3E"/>
    <w:rsid w:val="00850F10"/>
    <w:rsid w:val="00851E90"/>
    <w:rsid w:val="00852DDB"/>
    <w:rsid w:val="00853F62"/>
    <w:rsid w:val="008556C6"/>
    <w:rsid w:val="00855D3C"/>
    <w:rsid w:val="00856AAC"/>
    <w:rsid w:val="00857642"/>
    <w:rsid w:val="0085785D"/>
    <w:rsid w:val="00857F80"/>
    <w:rsid w:val="00861CBD"/>
    <w:rsid w:val="0086225F"/>
    <w:rsid w:val="00862ED4"/>
    <w:rsid w:val="00863762"/>
    <w:rsid w:val="00865EA0"/>
    <w:rsid w:val="0086664C"/>
    <w:rsid w:val="00872033"/>
    <w:rsid w:val="00873D72"/>
    <w:rsid w:val="00874219"/>
    <w:rsid w:val="00874965"/>
    <w:rsid w:val="00877235"/>
    <w:rsid w:val="008773AE"/>
    <w:rsid w:val="00880A70"/>
    <w:rsid w:val="008811E1"/>
    <w:rsid w:val="008820A4"/>
    <w:rsid w:val="00883E2B"/>
    <w:rsid w:val="008848AD"/>
    <w:rsid w:val="00884A6E"/>
    <w:rsid w:val="00884DE6"/>
    <w:rsid w:val="00885007"/>
    <w:rsid w:val="008856F1"/>
    <w:rsid w:val="008917CF"/>
    <w:rsid w:val="00892750"/>
    <w:rsid w:val="00893A41"/>
    <w:rsid w:val="00893CBC"/>
    <w:rsid w:val="00894C83"/>
    <w:rsid w:val="00896A12"/>
    <w:rsid w:val="00897B6B"/>
    <w:rsid w:val="00897C7A"/>
    <w:rsid w:val="00897F08"/>
    <w:rsid w:val="008A0EB3"/>
    <w:rsid w:val="008A2479"/>
    <w:rsid w:val="008A31AE"/>
    <w:rsid w:val="008A42B1"/>
    <w:rsid w:val="008A5C23"/>
    <w:rsid w:val="008A6064"/>
    <w:rsid w:val="008A6A57"/>
    <w:rsid w:val="008A7BDD"/>
    <w:rsid w:val="008B121B"/>
    <w:rsid w:val="008B1384"/>
    <w:rsid w:val="008B2CC1"/>
    <w:rsid w:val="008B3A4C"/>
    <w:rsid w:val="008B3D3C"/>
    <w:rsid w:val="008B3E56"/>
    <w:rsid w:val="008B5ED6"/>
    <w:rsid w:val="008B713B"/>
    <w:rsid w:val="008C1572"/>
    <w:rsid w:val="008C441F"/>
    <w:rsid w:val="008C51E7"/>
    <w:rsid w:val="008C5253"/>
    <w:rsid w:val="008C5E9D"/>
    <w:rsid w:val="008C6542"/>
    <w:rsid w:val="008D174D"/>
    <w:rsid w:val="008D4EA5"/>
    <w:rsid w:val="008D6555"/>
    <w:rsid w:val="008D6587"/>
    <w:rsid w:val="008D77C5"/>
    <w:rsid w:val="008E1144"/>
    <w:rsid w:val="008E2065"/>
    <w:rsid w:val="008E75D8"/>
    <w:rsid w:val="008F16B4"/>
    <w:rsid w:val="008F1E9E"/>
    <w:rsid w:val="008F228C"/>
    <w:rsid w:val="008F2B61"/>
    <w:rsid w:val="008F3A57"/>
    <w:rsid w:val="008F4B1A"/>
    <w:rsid w:val="008F5F68"/>
    <w:rsid w:val="008F72D1"/>
    <w:rsid w:val="008F73E9"/>
    <w:rsid w:val="009019C1"/>
    <w:rsid w:val="00903DCB"/>
    <w:rsid w:val="00912DDA"/>
    <w:rsid w:val="00914898"/>
    <w:rsid w:val="00914EB9"/>
    <w:rsid w:val="00915ED1"/>
    <w:rsid w:val="0091641B"/>
    <w:rsid w:val="00917A7E"/>
    <w:rsid w:val="009205AC"/>
    <w:rsid w:val="0092178B"/>
    <w:rsid w:val="00921EA8"/>
    <w:rsid w:val="00925675"/>
    <w:rsid w:val="00926356"/>
    <w:rsid w:val="009275C7"/>
    <w:rsid w:val="00927A0F"/>
    <w:rsid w:val="00932927"/>
    <w:rsid w:val="00934BAC"/>
    <w:rsid w:val="00936789"/>
    <w:rsid w:val="00941648"/>
    <w:rsid w:val="0094209A"/>
    <w:rsid w:val="00942657"/>
    <w:rsid w:val="009446FA"/>
    <w:rsid w:val="009457B6"/>
    <w:rsid w:val="0094596D"/>
    <w:rsid w:val="00946095"/>
    <w:rsid w:val="0095044D"/>
    <w:rsid w:val="00952E8A"/>
    <w:rsid w:val="00953299"/>
    <w:rsid w:val="00953B88"/>
    <w:rsid w:val="0095479C"/>
    <w:rsid w:val="0095635F"/>
    <w:rsid w:val="00957014"/>
    <w:rsid w:val="00957D0C"/>
    <w:rsid w:val="00957D5C"/>
    <w:rsid w:val="00957F74"/>
    <w:rsid w:val="00960102"/>
    <w:rsid w:val="00960DA4"/>
    <w:rsid w:val="00960F94"/>
    <w:rsid w:val="00961FAB"/>
    <w:rsid w:val="009631C7"/>
    <w:rsid w:val="0096382E"/>
    <w:rsid w:val="009673BB"/>
    <w:rsid w:val="00971843"/>
    <w:rsid w:val="00974832"/>
    <w:rsid w:val="00975579"/>
    <w:rsid w:val="009801D9"/>
    <w:rsid w:val="0098241E"/>
    <w:rsid w:val="00983670"/>
    <w:rsid w:val="00983A47"/>
    <w:rsid w:val="00983FD7"/>
    <w:rsid w:val="0098572A"/>
    <w:rsid w:val="00985E74"/>
    <w:rsid w:val="0098695B"/>
    <w:rsid w:val="00991714"/>
    <w:rsid w:val="00991DC3"/>
    <w:rsid w:val="00991E51"/>
    <w:rsid w:val="00992265"/>
    <w:rsid w:val="00992B2E"/>
    <w:rsid w:val="00993637"/>
    <w:rsid w:val="009953B0"/>
    <w:rsid w:val="00995BE3"/>
    <w:rsid w:val="0099628E"/>
    <w:rsid w:val="009973BE"/>
    <w:rsid w:val="009A3CA0"/>
    <w:rsid w:val="009A5191"/>
    <w:rsid w:val="009A557B"/>
    <w:rsid w:val="009A61D9"/>
    <w:rsid w:val="009A6CD9"/>
    <w:rsid w:val="009B044F"/>
    <w:rsid w:val="009B07A4"/>
    <w:rsid w:val="009B6439"/>
    <w:rsid w:val="009B6D9C"/>
    <w:rsid w:val="009C0884"/>
    <w:rsid w:val="009C39B2"/>
    <w:rsid w:val="009C3FEC"/>
    <w:rsid w:val="009C51E0"/>
    <w:rsid w:val="009C52B7"/>
    <w:rsid w:val="009D1E24"/>
    <w:rsid w:val="009D4AAB"/>
    <w:rsid w:val="009D7F11"/>
    <w:rsid w:val="009D7FB2"/>
    <w:rsid w:val="009E03EC"/>
    <w:rsid w:val="009E190C"/>
    <w:rsid w:val="009E2036"/>
    <w:rsid w:val="009E4387"/>
    <w:rsid w:val="009E4C00"/>
    <w:rsid w:val="009E5259"/>
    <w:rsid w:val="009E629D"/>
    <w:rsid w:val="009E630F"/>
    <w:rsid w:val="009E7DDB"/>
    <w:rsid w:val="009F0173"/>
    <w:rsid w:val="009F0750"/>
    <w:rsid w:val="009F1361"/>
    <w:rsid w:val="009F1764"/>
    <w:rsid w:val="009F1CF2"/>
    <w:rsid w:val="009F2C02"/>
    <w:rsid w:val="009F353F"/>
    <w:rsid w:val="009F4B25"/>
    <w:rsid w:val="009F5CED"/>
    <w:rsid w:val="009F6F05"/>
    <w:rsid w:val="009F7AB5"/>
    <w:rsid w:val="009F7DAC"/>
    <w:rsid w:val="009F7E46"/>
    <w:rsid w:val="00A036A7"/>
    <w:rsid w:val="00A04A3B"/>
    <w:rsid w:val="00A05F79"/>
    <w:rsid w:val="00A06468"/>
    <w:rsid w:val="00A065B7"/>
    <w:rsid w:val="00A105D6"/>
    <w:rsid w:val="00A1265B"/>
    <w:rsid w:val="00A20098"/>
    <w:rsid w:val="00A20F7B"/>
    <w:rsid w:val="00A21C18"/>
    <w:rsid w:val="00A25B2E"/>
    <w:rsid w:val="00A25F25"/>
    <w:rsid w:val="00A26ED4"/>
    <w:rsid w:val="00A30614"/>
    <w:rsid w:val="00A321D6"/>
    <w:rsid w:val="00A35F1A"/>
    <w:rsid w:val="00A377AF"/>
    <w:rsid w:val="00A4016E"/>
    <w:rsid w:val="00A410FD"/>
    <w:rsid w:val="00A41930"/>
    <w:rsid w:val="00A43060"/>
    <w:rsid w:val="00A452AD"/>
    <w:rsid w:val="00A453D5"/>
    <w:rsid w:val="00A4616D"/>
    <w:rsid w:val="00A519DB"/>
    <w:rsid w:val="00A52FAF"/>
    <w:rsid w:val="00A5310B"/>
    <w:rsid w:val="00A537DE"/>
    <w:rsid w:val="00A5483A"/>
    <w:rsid w:val="00A558EC"/>
    <w:rsid w:val="00A57847"/>
    <w:rsid w:val="00A6058D"/>
    <w:rsid w:val="00A628F4"/>
    <w:rsid w:val="00A6410E"/>
    <w:rsid w:val="00A710A9"/>
    <w:rsid w:val="00A71308"/>
    <w:rsid w:val="00A75584"/>
    <w:rsid w:val="00A76248"/>
    <w:rsid w:val="00A762BB"/>
    <w:rsid w:val="00A7644D"/>
    <w:rsid w:val="00A767D9"/>
    <w:rsid w:val="00A820CA"/>
    <w:rsid w:val="00A83414"/>
    <w:rsid w:val="00A8675B"/>
    <w:rsid w:val="00A9144E"/>
    <w:rsid w:val="00A92806"/>
    <w:rsid w:val="00A92D21"/>
    <w:rsid w:val="00A92F30"/>
    <w:rsid w:val="00A93128"/>
    <w:rsid w:val="00A942FE"/>
    <w:rsid w:val="00AA0075"/>
    <w:rsid w:val="00AA262C"/>
    <w:rsid w:val="00AA396E"/>
    <w:rsid w:val="00AA4B33"/>
    <w:rsid w:val="00AA6025"/>
    <w:rsid w:val="00AA6FC6"/>
    <w:rsid w:val="00AA7FDF"/>
    <w:rsid w:val="00AB157F"/>
    <w:rsid w:val="00AB2C6C"/>
    <w:rsid w:val="00AB4DC7"/>
    <w:rsid w:val="00AB4F41"/>
    <w:rsid w:val="00AB6EC9"/>
    <w:rsid w:val="00AB765D"/>
    <w:rsid w:val="00AC0DCF"/>
    <w:rsid w:val="00AC2A36"/>
    <w:rsid w:val="00AC2BA7"/>
    <w:rsid w:val="00AC59BF"/>
    <w:rsid w:val="00AC5EE7"/>
    <w:rsid w:val="00AC68B4"/>
    <w:rsid w:val="00AC6F50"/>
    <w:rsid w:val="00AC7F19"/>
    <w:rsid w:val="00AD047C"/>
    <w:rsid w:val="00AD1A19"/>
    <w:rsid w:val="00AD3929"/>
    <w:rsid w:val="00AD3C29"/>
    <w:rsid w:val="00AD586D"/>
    <w:rsid w:val="00AD603A"/>
    <w:rsid w:val="00AE0039"/>
    <w:rsid w:val="00AE20E3"/>
    <w:rsid w:val="00AE6742"/>
    <w:rsid w:val="00AE7123"/>
    <w:rsid w:val="00AE74EE"/>
    <w:rsid w:val="00AE7766"/>
    <w:rsid w:val="00AF1452"/>
    <w:rsid w:val="00AF269B"/>
    <w:rsid w:val="00AF53AD"/>
    <w:rsid w:val="00AF6B50"/>
    <w:rsid w:val="00B03BF0"/>
    <w:rsid w:val="00B05593"/>
    <w:rsid w:val="00B0559A"/>
    <w:rsid w:val="00B06D83"/>
    <w:rsid w:val="00B0759B"/>
    <w:rsid w:val="00B07D71"/>
    <w:rsid w:val="00B1030A"/>
    <w:rsid w:val="00B10443"/>
    <w:rsid w:val="00B1048F"/>
    <w:rsid w:val="00B1122A"/>
    <w:rsid w:val="00B114DE"/>
    <w:rsid w:val="00B1195A"/>
    <w:rsid w:val="00B12B9B"/>
    <w:rsid w:val="00B13900"/>
    <w:rsid w:val="00B17A6C"/>
    <w:rsid w:val="00B17FF3"/>
    <w:rsid w:val="00B20FCA"/>
    <w:rsid w:val="00B21742"/>
    <w:rsid w:val="00B21A37"/>
    <w:rsid w:val="00B23043"/>
    <w:rsid w:val="00B23941"/>
    <w:rsid w:val="00B2476E"/>
    <w:rsid w:val="00B26CD3"/>
    <w:rsid w:val="00B272E4"/>
    <w:rsid w:val="00B2758A"/>
    <w:rsid w:val="00B27AA5"/>
    <w:rsid w:val="00B27F24"/>
    <w:rsid w:val="00B30E0C"/>
    <w:rsid w:val="00B32F3A"/>
    <w:rsid w:val="00B34760"/>
    <w:rsid w:val="00B3491C"/>
    <w:rsid w:val="00B35FCC"/>
    <w:rsid w:val="00B368A3"/>
    <w:rsid w:val="00B36D21"/>
    <w:rsid w:val="00B37BAC"/>
    <w:rsid w:val="00B37CC4"/>
    <w:rsid w:val="00B43B45"/>
    <w:rsid w:val="00B4416C"/>
    <w:rsid w:val="00B47018"/>
    <w:rsid w:val="00B508D5"/>
    <w:rsid w:val="00B51760"/>
    <w:rsid w:val="00B524C7"/>
    <w:rsid w:val="00B528D5"/>
    <w:rsid w:val="00B534CC"/>
    <w:rsid w:val="00B54C2F"/>
    <w:rsid w:val="00B55621"/>
    <w:rsid w:val="00B56158"/>
    <w:rsid w:val="00B57996"/>
    <w:rsid w:val="00B601EC"/>
    <w:rsid w:val="00B62A48"/>
    <w:rsid w:val="00B6425F"/>
    <w:rsid w:val="00B646BF"/>
    <w:rsid w:val="00B657B1"/>
    <w:rsid w:val="00B67C5A"/>
    <w:rsid w:val="00B705D6"/>
    <w:rsid w:val="00B70BED"/>
    <w:rsid w:val="00B70EE7"/>
    <w:rsid w:val="00B71896"/>
    <w:rsid w:val="00B72199"/>
    <w:rsid w:val="00B763F6"/>
    <w:rsid w:val="00B76A50"/>
    <w:rsid w:val="00B77792"/>
    <w:rsid w:val="00B81033"/>
    <w:rsid w:val="00B845A5"/>
    <w:rsid w:val="00B85A6B"/>
    <w:rsid w:val="00B85E77"/>
    <w:rsid w:val="00B86951"/>
    <w:rsid w:val="00B877C8"/>
    <w:rsid w:val="00B8792F"/>
    <w:rsid w:val="00B9192F"/>
    <w:rsid w:val="00B928BD"/>
    <w:rsid w:val="00B9410B"/>
    <w:rsid w:val="00B979A2"/>
    <w:rsid w:val="00BA046D"/>
    <w:rsid w:val="00BA1CCA"/>
    <w:rsid w:val="00BA3409"/>
    <w:rsid w:val="00BA44F0"/>
    <w:rsid w:val="00BA4987"/>
    <w:rsid w:val="00BA4D5F"/>
    <w:rsid w:val="00BA5F61"/>
    <w:rsid w:val="00BA6442"/>
    <w:rsid w:val="00BA74A4"/>
    <w:rsid w:val="00BB386A"/>
    <w:rsid w:val="00BB3BA0"/>
    <w:rsid w:val="00BB4880"/>
    <w:rsid w:val="00BB7DEF"/>
    <w:rsid w:val="00BC1AC9"/>
    <w:rsid w:val="00BC25B1"/>
    <w:rsid w:val="00BC32C8"/>
    <w:rsid w:val="00BC5049"/>
    <w:rsid w:val="00BC61EF"/>
    <w:rsid w:val="00BC67AF"/>
    <w:rsid w:val="00BC7C27"/>
    <w:rsid w:val="00BC7FB3"/>
    <w:rsid w:val="00BD084F"/>
    <w:rsid w:val="00BD1758"/>
    <w:rsid w:val="00BD2314"/>
    <w:rsid w:val="00BD260B"/>
    <w:rsid w:val="00BD45FC"/>
    <w:rsid w:val="00BD4B3C"/>
    <w:rsid w:val="00BD56DF"/>
    <w:rsid w:val="00BD5BBA"/>
    <w:rsid w:val="00BD7182"/>
    <w:rsid w:val="00BD7E9C"/>
    <w:rsid w:val="00BE0746"/>
    <w:rsid w:val="00BE08E7"/>
    <w:rsid w:val="00BE336E"/>
    <w:rsid w:val="00BE3484"/>
    <w:rsid w:val="00BE3754"/>
    <w:rsid w:val="00BE3ABC"/>
    <w:rsid w:val="00BE6E90"/>
    <w:rsid w:val="00BE7E6E"/>
    <w:rsid w:val="00BF1EDF"/>
    <w:rsid w:val="00BF2332"/>
    <w:rsid w:val="00BF299E"/>
    <w:rsid w:val="00BF2F76"/>
    <w:rsid w:val="00BF35C0"/>
    <w:rsid w:val="00BF36BC"/>
    <w:rsid w:val="00BF4D2A"/>
    <w:rsid w:val="00C01498"/>
    <w:rsid w:val="00C0151A"/>
    <w:rsid w:val="00C01A9C"/>
    <w:rsid w:val="00C0303E"/>
    <w:rsid w:val="00C041EB"/>
    <w:rsid w:val="00C04237"/>
    <w:rsid w:val="00C06BA0"/>
    <w:rsid w:val="00C072B7"/>
    <w:rsid w:val="00C1055D"/>
    <w:rsid w:val="00C1293F"/>
    <w:rsid w:val="00C13DC8"/>
    <w:rsid w:val="00C16E67"/>
    <w:rsid w:val="00C203DC"/>
    <w:rsid w:val="00C22660"/>
    <w:rsid w:val="00C241BB"/>
    <w:rsid w:val="00C25527"/>
    <w:rsid w:val="00C2749D"/>
    <w:rsid w:val="00C31532"/>
    <w:rsid w:val="00C3162C"/>
    <w:rsid w:val="00C32FF1"/>
    <w:rsid w:val="00C40F54"/>
    <w:rsid w:val="00C4373B"/>
    <w:rsid w:val="00C471B8"/>
    <w:rsid w:val="00C47D28"/>
    <w:rsid w:val="00C47D6D"/>
    <w:rsid w:val="00C5130A"/>
    <w:rsid w:val="00C5159C"/>
    <w:rsid w:val="00C522F0"/>
    <w:rsid w:val="00C5263C"/>
    <w:rsid w:val="00C52C96"/>
    <w:rsid w:val="00C53CED"/>
    <w:rsid w:val="00C56131"/>
    <w:rsid w:val="00C5670C"/>
    <w:rsid w:val="00C6023A"/>
    <w:rsid w:val="00C611DC"/>
    <w:rsid w:val="00C6125F"/>
    <w:rsid w:val="00C617B8"/>
    <w:rsid w:val="00C61CF2"/>
    <w:rsid w:val="00C64F53"/>
    <w:rsid w:val="00C64FD3"/>
    <w:rsid w:val="00C65289"/>
    <w:rsid w:val="00C652E8"/>
    <w:rsid w:val="00C67323"/>
    <w:rsid w:val="00C67F47"/>
    <w:rsid w:val="00C72164"/>
    <w:rsid w:val="00C74F84"/>
    <w:rsid w:val="00C75741"/>
    <w:rsid w:val="00C7593B"/>
    <w:rsid w:val="00C763C6"/>
    <w:rsid w:val="00C76489"/>
    <w:rsid w:val="00C76F30"/>
    <w:rsid w:val="00C7741B"/>
    <w:rsid w:val="00C8439A"/>
    <w:rsid w:val="00C8556D"/>
    <w:rsid w:val="00C85DF5"/>
    <w:rsid w:val="00C87A17"/>
    <w:rsid w:val="00C87EE5"/>
    <w:rsid w:val="00C91F06"/>
    <w:rsid w:val="00C92805"/>
    <w:rsid w:val="00C92B0F"/>
    <w:rsid w:val="00C92F7D"/>
    <w:rsid w:val="00C941B0"/>
    <w:rsid w:val="00C9420C"/>
    <w:rsid w:val="00C948C5"/>
    <w:rsid w:val="00C96E60"/>
    <w:rsid w:val="00C97A47"/>
    <w:rsid w:val="00CA0EDC"/>
    <w:rsid w:val="00CA1EA3"/>
    <w:rsid w:val="00CA2D78"/>
    <w:rsid w:val="00CA4727"/>
    <w:rsid w:val="00CA50DA"/>
    <w:rsid w:val="00CA5C66"/>
    <w:rsid w:val="00CA65BB"/>
    <w:rsid w:val="00CB2AF8"/>
    <w:rsid w:val="00CB2B6F"/>
    <w:rsid w:val="00CB32B0"/>
    <w:rsid w:val="00CB36B4"/>
    <w:rsid w:val="00CB4687"/>
    <w:rsid w:val="00CB7F3E"/>
    <w:rsid w:val="00CC0565"/>
    <w:rsid w:val="00CC2A16"/>
    <w:rsid w:val="00CC2F08"/>
    <w:rsid w:val="00CC46EA"/>
    <w:rsid w:val="00CC6CA8"/>
    <w:rsid w:val="00CD0323"/>
    <w:rsid w:val="00CD10C5"/>
    <w:rsid w:val="00CD1DA0"/>
    <w:rsid w:val="00CD3158"/>
    <w:rsid w:val="00CD4205"/>
    <w:rsid w:val="00CD4393"/>
    <w:rsid w:val="00CD6E16"/>
    <w:rsid w:val="00CE02D2"/>
    <w:rsid w:val="00CE02D9"/>
    <w:rsid w:val="00CE0A53"/>
    <w:rsid w:val="00CE18A0"/>
    <w:rsid w:val="00CE2C01"/>
    <w:rsid w:val="00CE4E82"/>
    <w:rsid w:val="00CE70C5"/>
    <w:rsid w:val="00CF0559"/>
    <w:rsid w:val="00CF2041"/>
    <w:rsid w:val="00CF38DE"/>
    <w:rsid w:val="00CF3ED2"/>
    <w:rsid w:val="00CF43B3"/>
    <w:rsid w:val="00D000B4"/>
    <w:rsid w:val="00D04AC8"/>
    <w:rsid w:val="00D04C0C"/>
    <w:rsid w:val="00D07598"/>
    <w:rsid w:val="00D0760C"/>
    <w:rsid w:val="00D07D1E"/>
    <w:rsid w:val="00D07DB0"/>
    <w:rsid w:val="00D1133D"/>
    <w:rsid w:val="00D11B38"/>
    <w:rsid w:val="00D13412"/>
    <w:rsid w:val="00D1356C"/>
    <w:rsid w:val="00D140CF"/>
    <w:rsid w:val="00D1462C"/>
    <w:rsid w:val="00D1665A"/>
    <w:rsid w:val="00D16D27"/>
    <w:rsid w:val="00D17434"/>
    <w:rsid w:val="00D17D8A"/>
    <w:rsid w:val="00D2098A"/>
    <w:rsid w:val="00D21C3D"/>
    <w:rsid w:val="00D22083"/>
    <w:rsid w:val="00D221F8"/>
    <w:rsid w:val="00D23758"/>
    <w:rsid w:val="00D23897"/>
    <w:rsid w:val="00D27A36"/>
    <w:rsid w:val="00D27C43"/>
    <w:rsid w:val="00D31599"/>
    <w:rsid w:val="00D33C9E"/>
    <w:rsid w:val="00D36117"/>
    <w:rsid w:val="00D403C8"/>
    <w:rsid w:val="00D40BE4"/>
    <w:rsid w:val="00D41320"/>
    <w:rsid w:val="00D4167A"/>
    <w:rsid w:val="00D41894"/>
    <w:rsid w:val="00D435A3"/>
    <w:rsid w:val="00D46CA4"/>
    <w:rsid w:val="00D50296"/>
    <w:rsid w:val="00D50441"/>
    <w:rsid w:val="00D505BE"/>
    <w:rsid w:val="00D519BD"/>
    <w:rsid w:val="00D54EBE"/>
    <w:rsid w:val="00D559AD"/>
    <w:rsid w:val="00D56BC8"/>
    <w:rsid w:val="00D62062"/>
    <w:rsid w:val="00D64266"/>
    <w:rsid w:val="00D6588B"/>
    <w:rsid w:val="00D67555"/>
    <w:rsid w:val="00D67D4B"/>
    <w:rsid w:val="00D71897"/>
    <w:rsid w:val="00D73291"/>
    <w:rsid w:val="00D737C6"/>
    <w:rsid w:val="00D737DE"/>
    <w:rsid w:val="00D746E2"/>
    <w:rsid w:val="00D76B04"/>
    <w:rsid w:val="00D77EDD"/>
    <w:rsid w:val="00D80466"/>
    <w:rsid w:val="00D806E3"/>
    <w:rsid w:val="00D80C7C"/>
    <w:rsid w:val="00D81229"/>
    <w:rsid w:val="00D816A5"/>
    <w:rsid w:val="00D8190E"/>
    <w:rsid w:val="00D854A5"/>
    <w:rsid w:val="00D85D89"/>
    <w:rsid w:val="00D86955"/>
    <w:rsid w:val="00D8739C"/>
    <w:rsid w:val="00D90A5B"/>
    <w:rsid w:val="00D90D68"/>
    <w:rsid w:val="00D92976"/>
    <w:rsid w:val="00D948DE"/>
    <w:rsid w:val="00D9512E"/>
    <w:rsid w:val="00D9547B"/>
    <w:rsid w:val="00D97078"/>
    <w:rsid w:val="00D97163"/>
    <w:rsid w:val="00DA2196"/>
    <w:rsid w:val="00DA2EA2"/>
    <w:rsid w:val="00DA5C7B"/>
    <w:rsid w:val="00DA79D4"/>
    <w:rsid w:val="00DB1FE9"/>
    <w:rsid w:val="00DB3806"/>
    <w:rsid w:val="00DB4858"/>
    <w:rsid w:val="00DB54DB"/>
    <w:rsid w:val="00DB57AC"/>
    <w:rsid w:val="00DB6B5D"/>
    <w:rsid w:val="00DB6DAD"/>
    <w:rsid w:val="00DC2C5E"/>
    <w:rsid w:val="00DC3AB4"/>
    <w:rsid w:val="00DC4829"/>
    <w:rsid w:val="00DC53EB"/>
    <w:rsid w:val="00DC6A4A"/>
    <w:rsid w:val="00DC6FA2"/>
    <w:rsid w:val="00DC7D31"/>
    <w:rsid w:val="00DD048A"/>
    <w:rsid w:val="00DD1C49"/>
    <w:rsid w:val="00DD2F93"/>
    <w:rsid w:val="00DD6CE4"/>
    <w:rsid w:val="00DD6DBC"/>
    <w:rsid w:val="00DD7EEA"/>
    <w:rsid w:val="00DE3BD7"/>
    <w:rsid w:val="00DF074F"/>
    <w:rsid w:val="00DF1BF3"/>
    <w:rsid w:val="00DF3577"/>
    <w:rsid w:val="00DF74DE"/>
    <w:rsid w:val="00DF7DEB"/>
    <w:rsid w:val="00E00250"/>
    <w:rsid w:val="00E0070F"/>
    <w:rsid w:val="00E01310"/>
    <w:rsid w:val="00E024E8"/>
    <w:rsid w:val="00E03705"/>
    <w:rsid w:val="00E047A8"/>
    <w:rsid w:val="00E0662B"/>
    <w:rsid w:val="00E06A52"/>
    <w:rsid w:val="00E07335"/>
    <w:rsid w:val="00E114E7"/>
    <w:rsid w:val="00E11717"/>
    <w:rsid w:val="00E13E72"/>
    <w:rsid w:val="00E13EE4"/>
    <w:rsid w:val="00E16EF5"/>
    <w:rsid w:val="00E173D6"/>
    <w:rsid w:val="00E17890"/>
    <w:rsid w:val="00E237F1"/>
    <w:rsid w:val="00E246A0"/>
    <w:rsid w:val="00E257B3"/>
    <w:rsid w:val="00E25AF9"/>
    <w:rsid w:val="00E2743B"/>
    <w:rsid w:val="00E30E72"/>
    <w:rsid w:val="00E31252"/>
    <w:rsid w:val="00E31AD5"/>
    <w:rsid w:val="00E33EA8"/>
    <w:rsid w:val="00E33FD6"/>
    <w:rsid w:val="00E34F2A"/>
    <w:rsid w:val="00E34F61"/>
    <w:rsid w:val="00E35613"/>
    <w:rsid w:val="00E364AB"/>
    <w:rsid w:val="00E36937"/>
    <w:rsid w:val="00E37679"/>
    <w:rsid w:val="00E41F44"/>
    <w:rsid w:val="00E42483"/>
    <w:rsid w:val="00E43302"/>
    <w:rsid w:val="00E43C29"/>
    <w:rsid w:val="00E4487D"/>
    <w:rsid w:val="00E45AFA"/>
    <w:rsid w:val="00E45FE3"/>
    <w:rsid w:val="00E46F7F"/>
    <w:rsid w:val="00E472FD"/>
    <w:rsid w:val="00E47CBA"/>
    <w:rsid w:val="00E5088B"/>
    <w:rsid w:val="00E50C96"/>
    <w:rsid w:val="00E51966"/>
    <w:rsid w:val="00E547A2"/>
    <w:rsid w:val="00E55086"/>
    <w:rsid w:val="00E56F25"/>
    <w:rsid w:val="00E57130"/>
    <w:rsid w:val="00E57EC2"/>
    <w:rsid w:val="00E63F78"/>
    <w:rsid w:val="00E67F5E"/>
    <w:rsid w:val="00E70FCB"/>
    <w:rsid w:val="00E71321"/>
    <w:rsid w:val="00E7182E"/>
    <w:rsid w:val="00E72A81"/>
    <w:rsid w:val="00E737A4"/>
    <w:rsid w:val="00E75259"/>
    <w:rsid w:val="00E76596"/>
    <w:rsid w:val="00E80459"/>
    <w:rsid w:val="00E8047B"/>
    <w:rsid w:val="00E85586"/>
    <w:rsid w:val="00E855B9"/>
    <w:rsid w:val="00E8736C"/>
    <w:rsid w:val="00E90042"/>
    <w:rsid w:val="00E9011C"/>
    <w:rsid w:val="00E90455"/>
    <w:rsid w:val="00E90E44"/>
    <w:rsid w:val="00E9462C"/>
    <w:rsid w:val="00E96E63"/>
    <w:rsid w:val="00E978EB"/>
    <w:rsid w:val="00EA4215"/>
    <w:rsid w:val="00EA5F04"/>
    <w:rsid w:val="00EB58C3"/>
    <w:rsid w:val="00EB7C7B"/>
    <w:rsid w:val="00EC2159"/>
    <w:rsid w:val="00EC23F4"/>
    <w:rsid w:val="00EC495F"/>
    <w:rsid w:val="00EC5E60"/>
    <w:rsid w:val="00EC75CB"/>
    <w:rsid w:val="00EC7920"/>
    <w:rsid w:val="00ED0218"/>
    <w:rsid w:val="00ED331B"/>
    <w:rsid w:val="00ED7AAE"/>
    <w:rsid w:val="00EE06D1"/>
    <w:rsid w:val="00EE1CA2"/>
    <w:rsid w:val="00EE1F81"/>
    <w:rsid w:val="00EE4C35"/>
    <w:rsid w:val="00EE6EEA"/>
    <w:rsid w:val="00EE7627"/>
    <w:rsid w:val="00EF1011"/>
    <w:rsid w:val="00EF1B0F"/>
    <w:rsid w:val="00EF21AE"/>
    <w:rsid w:val="00EF2906"/>
    <w:rsid w:val="00EF70CB"/>
    <w:rsid w:val="00EF7A67"/>
    <w:rsid w:val="00EF7E11"/>
    <w:rsid w:val="00F02D7E"/>
    <w:rsid w:val="00F02F32"/>
    <w:rsid w:val="00F03803"/>
    <w:rsid w:val="00F04DE0"/>
    <w:rsid w:val="00F05358"/>
    <w:rsid w:val="00F06AD6"/>
    <w:rsid w:val="00F1060A"/>
    <w:rsid w:val="00F13536"/>
    <w:rsid w:val="00F14E65"/>
    <w:rsid w:val="00F2137A"/>
    <w:rsid w:val="00F26B4E"/>
    <w:rsid w:val="00F27B3C"/>
    <w:rsid w:val="00F27C78"/>
    <w:rsid w:val="00F357F4"/>
    <w:rsid w:val="00F35A7B"/>
    <w:rsid w:val="00F35BB8"/>
    <w:rsid w:val="00F377E1"/>
    <w:rsid w:val="00F42FE5"/>
    <w:rsid w:val="00F4303A"/>
    <w:rsid w:val="00F441FC"/>
    <w:rsid w:val="00F46D6F"/>
    <w:rsid w:val="00F479DD"/>
    <w:rsid w:val="00F47D10"/>
    <w:rsid w:val="00F50B70"/>
    <w:rsid w:val="00F50EC1"/>
    <w:rsid w:val="00F51944"/>
    <w:rsid w:val="00F54574"/>
    <w:rsid w:val="00F5481E"/>
    <w:rsid w:val="00F55989"/>
    <w:rsid w:val="00F55B7F"/>
    <w:rsid w:val="00F560B5"/>
    <w:rsid w:val="00F5626A"/>
    <w:rsid w:val="00F5646C"/>
    <w:rsid w:val="00F57062"/>
    <w:rsid w:val="00F57850"/>
    <w:rsid w:val="00F60ACB"/>
    <w:rsid w:val="00F613BC"/>
    <w:rsid w:val="00F62457"/>
    <w:rsid w:val="00F6373D"/>
    <w:rsid w:val="00F67BAF"/>
    <w:rsid w:val="00F71585"/>
    <w:rsid w:val="00F745B0"/>
    <w:rsid w:val="00F7636F"/>
    <w:rsid w:val="00F77EE0"/>
    <w:rsid w:val="00F80A3F"/>
    <w:rsid w:val="00F83AAA"/>
    <w:rsid w:val="00F90FEA"/>
    <w:rsid w:val="00F9639F"/>
    <w:rsid w:val="00F97F38"/>
    <w:rsid w:val="00FA0138"/>
    <w:rsid w:val="00FA13DA"/>
    <w:rsid w:val="00FA2CDD"/>
    <w:rsid w:val="00FA34D7"/>
    <w:rsid w:val="00FA5A19"/>
    <w:rsid w:val="00FA7DE2"/>
    <w:rsid w:val="00FB16F5"/>
    <w:rsid w:val="00FB361D"/>
    <w:rsid w:val="00FB3D42"/>
    <w:rsid w:val="00FB4631"/>
    <w:rsid w:val="00FB6142"/>
    <w:rsid w:val="00FB6FBC"/>
    <w:rsid w:val="00FC0DF6"/>
    <w:rsid w:val="00FC1D2D"/>
    <w:rsid w:val="00FC2ADC"/>
    <w:rsid w:val="00FC5F75"/>
    <w:rsid w:val="00FC6822"/>
    <w:rsid w:val="00FD1C66"/>
    <w:rsid w:val="00FD5F6F"/>
    <w:rsid w:val="00FE1055"/>
    <w:rsid w:val="00FE1893"/>
    <w:rsid w:val="00FE265D"/>
    <w:rsid w:val="00FE2E81"/>
    <w:rsid w:val="00FE4E73"/>
    <w:rsid w:val="00FE77F3"/>
    <w:rsid w:val="00FF02AD"/>
    <w:rsid w:val="00FF1FD0"/>
    <w:rsid w:val="00FF2861"/>
    <w:rsid w:val="00FF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4BAB"/>
  <w15:docId w15:val="{D459F50D-745C-4471-B064-1069D2A4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iPriority="24" w:unhideWhenUsed="1"/>
    <w:lsdException w:name="List Number 4" w:semiHidden="1" w:uiPriority="0" w:unhideWhenUsed="1"/>
    <w:lsdException w:name="List Number 5" w:semiHidden="1" w:uiPriority="24"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5162"/>
    <w:pPr>
      <w:widowControl w:val="0"/>
      <w:autoSpaceDE w:val="0"/>
      <w:autoSpaceDN w:val="0"/>
      <w:adjustRightInd w:val="0"/>
      <w:spacing w:after="0" w:line="240" w:lineRule="auto"/>
    </w:pPr>
    <w:rPr>
      <w:rFonts w:ascii="Times New Roman" w:eastAsia="Times New Roman" w:hAnsi="Times New Roman" w:cs="Times New Roman"/>
      <w:sz w:val="24"/>
      <w:szCs w:val="24"/>
      <w:lang w:eastAsia="ja-JP"/>
    </w:rPr>
  </w:style>
  <w:style w:type="paragraph" w:styleId="Nadpis1">
    <w:name w:val="heading 1"/>
    <w:aliases w:val="0Überschrift 1,1,1Überschrift 1,2Überschrift 1,3Überschrift 1,4Überschrift 1,5Überschrift 1,6Überschrift 1,ASAPHeading 1,Clause,H1,Hoofdstukkop,Kapitola,No numbers,Section Heading,V_Head1,Záhlaví 1,Základní kapitola,_Nadpis 1,h1,section,Článek"/>
    <w:basedOn w:val="Normln"/>
    <w:next w:val="Normln"/>
    <w:link w:val="Nadpis1Char"/>
    <w:qFormat/>
    <w:rsid w:val="00005B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005B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Zkladntext"/>
    <w:link w:val="Nadpis3Char"/>
    <w:qFormat/>
    <w:rsid w:val="00005B49"/>
    <w:pPr>
      <w:keepNext/>
      <w:keepLines/>
      <w:widowControl/>
      <w:tabs>
        <w:tab w:val="num" w:pos="2160"/>
      </w:tabs>
      <w:autoSpaceDE/>
      <w:autoSpaceDN/>
      <w:adjustRightInd/>
      <w:spacing w:after="240"/>
      <w:ind w:left="2160" w:hanging="720"/>
      <w:outlineLvl w:val="2"/>
    </w:pPr>
    <w:rPr>
      <w:lang w:eastAsia="en-US"/>
    </w:rPr>
  </w:style>
  <w:style w:type="paragraph" w:styleId="Nadpis4">
    <w:name w:val="heading 4"/>
    <w:basedOn w:val="Normln"/>
    <w:next w:val="Zkladntext"/>
    <w:link w:val="Nadpis4Char"/>
    <w:qFormat/>
    <w:rsid w:val="00005B49"/>
    <w:pPr>
      <w:keepNext/>
      <w:keepLines/>
      <w:widowControl/>
      <w:tabs>
        <w:tab w:val="num" w:pos="2880"/>
      </w:tabs>
      <w:autoSpaceDE/>
      <w:autoSpaceDN/>
      <w:adjustRightInd/>
      <w:spacing w:after="240"/>
      <w:ind w:left="2880" w:hanging="720"/>
      <w:outlineLvl w:val="3"/>
    </w:pPr>
    <w:rPr>
      <w:lang w:eastAsia="en-US"/>
    </w:rPr>
  </w:style>
  <w:style w:type="paragraph" w:styleId="Nadpis5">
    <w:name w:val="heading 5"/>
    <w:basedOn w:val="Normln"/>
    <w:next w:val="Zkladntext"/>
    <w:link w:val="Nadpis5Char"/>
    <w:qFormat/>
    <w:rsid w:val="00FF2861"/>
    <w:pPr>
      <w:keepNext/>
      <w:keepLines/>
      <w:spacing w:before="240" w:line="240" w:lineRule="exact"/>
      <w:ind w:right="720"/>
      <w:outlineLvl w:val="4"/>
    </w:pPr>
  </w:style>
  <w:style w:type="paragraph" w:styleId="Nadpis6">
    <w:name w:val="heading 6"/>
    <w:basedOn w:val="Normln"/>
    <w:next w:val="Zkladntext"/>
    <w:link w:val="Nadpis6Char"/>
    <w:qFormat/>
    <w:rsid w:val="00005B49"/>
    <w:pPr>
      <w:keepNext/>
      <w:keepLines/>
      <w:widowControl/>
      <w:tabs>
        <w:tab w:val="num" w:pos="4320"/>
      </w:tabs>
      <w:autoSpaceDE/>
      <w:autoSpaceDN/>
      <w:adjustRightInd/>
      <w:spacing w:after="240"/>
      <w:ind w:left="4320" w:hanging="720"/>
      <w:outlineLvl w:val="5"/>
    </w:pPr>
    <w:rPr>
      <w:lang w:eastAsia="en-US"/>
    </w:rPr>
  </w:style>
  <w:style w:type="paragraph" w:styleId="Nadpis7">
    <w:name w:val="heading 7"/>
    <w:basedOn w:val="Normln"/>
    <w:next w:val="Zkladntext"/>
    <w:link w:val="Nadpis7Char"/>
    <w:qFormat/>
    <w:rsid w:val="00005B49"/>
    <w:pPr>
      <w:keepNext/>
      <w:keepLines/>
      <w:widowControl/>
      <w:tabs>
        <w:tab w:val="num" w:pos="5040"/>
      </w:tabs>
      <w:autoSpaceDE/>
      <w:autoSpaceDN/>
      <w:adjustRightInd/>
      <w:spacing w:after="240"/>
      <w:ind w:left="5040" w:hanging="720"/>
      <w:outlineLvl w:val="6"/>
    </w:pPr>
    <w:rPr>
      <w:lang w:eastAsia="en-US"/>
    </w:rPr>
  </w:style>
  <w:style w:type="paragraph" w:styleId="Nadpis8">
    <w:name w:val="heading 8"/>
    <w:basedOn w:val="Normln"/>
    <w:next w:val="Zkladntext"/>
    <w:link w:val="Nadpis8Char"/>
    <w:qFormat/>
    <w:rsid w:val="00005B49"/>
    <w:pPr>
      <w:keepNext/>
      <w:keepLines/>
      <w:widowControl/>
      <w:tabs>
        <w:tab w:val="num" w:pos="5760"/>
      </w:tabs>
      <w:autoSpaceDE/>
      <w:autoSpaceDN/>
      <w:adjustRightInd/>
      <w:spacing w:after="240"/>
      <w:ind w:left="5760" w:hanging="720"/>
      <w:outlineLvl w:val="7"/>
    </w:pPr>
    <w:rPr>
      <w:lang w:eastAsia="en-US"/>
    </w:rPr>
  </w:style>
  <w:style w:type="paragraph" w:styleId="Nadpis9">
    <w:name w:val="heading 9"/>
    <w:basedOn w:val="Normln"/>
    <w:next w:val="Zkladntext"/>
    <w:link w:val="Nadpis9Char"/>
    <w:qFormat/>
    <w:rsid w:val="00005B49"/>
    <w:pPr>
      <w:keepNext/>
      <w:keepLines/>
      <w:widowControl/>
      <w:tabs>
        <w:tab w:val="num" w:pos="6480"/>
      </w:tabs>
      <w:autoSpaceDE/>
      <w:autoSpaceDN/>
      <w:adjustRightInd/>
      <w:spacing w:after="240"/>
      <w:ind w:left="6480" w:hanging="720"/>
      <w:outlineLvl w:val="8"/>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A5162"/>
    <w:rPr>
      <w:color w:val="0000FF"/>
      <w:u w:val="single"/>
    </w:rPr>
  </w:style>
  <w:style w:type="paragraph" w:styleId="Zkladntext">
    <w:name w:val="Body Text"/>
    <w:aliases w:val="bt"/>
    <w:basedOn w:val="Normln"/>
    <w:link w:val="ZkladntextChar"/>
    <w:unhideWhenUsed/>
    <w:rsid w:val="000A5162"/>
    <w:pPr>
      <w:spacing w:after="240"/>
      <w:ind w:firstLine="720"/>
      <w:jc w:val="both"/>
    </w:pPr>
  </w:style>
  <w:style w:type="character" w:customStyle="1" w:styleId="ZkladntextChar">
    <w:name w:val="Základní text Char"/>
    <w:aliases w:val="bt Char"/>
    <w:basedOn w:val="Standardnpsmoodstavce"/>
    <w:link w:val="Zkladntext"/>
    <w:rsid w:val="000A5162"/>
    <w:rPr>
      <w:rFonts w:ascii="Times New Roman" w:eastAsia="Times New Roman" w:hAnsi="Times New Roman" w:cs="Times New Roman"/>
      <w:sz w:val="24"/>
      <w:szCs w:val="24"/>
      <w:lang w:eastAsia="ja-JP"/>
    </w:rPr>
  </w:style>
  <w:style w:type="character" w:customStyle="1" w:styleId="TextkomenteChar">
    <w:name w:val="Text komentáře Char"/>
    <w:aliases w:val="Style 9 Char"/>
    <w:basedOn w:val="Standardnpsmoodstavce"/>
    <w:link w:val="Textkomente"/>
    <w:uiPriority w:val="99"/>
    <w:locked/>
    <w:rsid w:val="000A5162"/>
    <w:rPr>
      <w:rFonts w:ascii="Times New Roman" w:hAnsi="Times New Roman" w:cs="Times New Roman"/>
    </w:rPr>
  </w:style>
  <w:style w:type="paragraph" w:styleId="Textkomente">
    <w:name w:val="annotation text"/>
    <w:aliases w:val="Style 9"/>
    <w:basedOn w:val="Normln"/>
    <w:link w:val="TextkomenteChar"/>
    <w:uiPriority w:val="99"/>
    <w:unhideWhenUsed/>
    <w:rsid w:val="000A5162"/>
    <w:rPr>
      <w:rFonts w:eastAsiaTheme="minorHAnsi"/>
      <w:sz w:val="22"/>
      <w:szCs w:val="22"/>
      <w:lang w:eastAsia="en-US"/>
    </w:rPr>
  </w:style>
  <w:style w:type="character" w:customStyle="1" w:styleId="CommentTextChar1">
    <w:name w:val="Comment Text Char1"/>
    <w:basedOn w:val="Standardnpsmoodstavce"/>
    <w:uiPriority w:val="99"/>
    <w:semiHidden/>
    <w:rsid w:val="000A5162"/>
    <w:rPr>
      <w:rFonts w:ascii="Times New Roman" w:eastAsia="Times New Roman" w:hAnsi="Times New Roman" w:cs="Times New Roman"/>
      <w:sz w:val="20"/>
      <w:szCs w:val="20"/>
      <w:lang w:eastAsia="ja-JP"/>
    </w:rPr>
  </w:style>
  <w:style w:type="paragraph" w:styleId="Nzev">
    <w:name w:val="Title"/>
    <w:basedOn w:val="Normln"/>
    <w:link w:val="NzevChar"/>
    <w:qFormat/>
    <w:rsid w:val="000A5162"/>
    <w:pPr>
      <w:spacing w:after="240"/>
      <w:jc w:val="center"/>
    </w:pPr>
    <w:rPr>
      <w:b/>
      <w:bCs/>
    </w:rPr>
  </w:style>
  <w:style w:type="character" w:customStyle="1" w:styleId="NzevChar">
    <w:name w:val="Název Char"/>
    <w:basedOn w:val="Standardnpsmoodstavce"/>
    <w:link w:val="Nzev"/>
    <w:rsid w:val="000A5162"/>
    <w:rPr>
      <w:rFonts w:ascii="Times New Roman" w:eastAsia="Times New Roman" w:hAnsi="Times New Roman" w:cs="Times New Roman"/>
      <w:b/>
      <w:bCs/>
      <w:sz w:val="24"/>
      <w:szCs w:val="24"/>
      <w:lang w:eastAsia="ja-JP"/>
    </w:rPr>
  </w:style>
  <w:style w:type="paragraph" w:styleId="Podpis">
    <w:name w:val="Signature"/>
    <w:basedOn w:val="Normln"/>
    <w:link w:val="PodpisChar"/>
    <w:unhideWhenUsed/>
    <w:rsid w:val="000A5162"/>
    <w:rPr>
      <w:w w:val="1"/>
    </w:rPr>
  </w:style>
  <w:style w:type="character" w:customStyle="1" w:styleId="PodpisChar">
    <w:name w:val="Podpis Char"/>
    <w:basedOn w:val="Standardnpsmoodstavce"/>
    <w:link w:val="Podpis"/>
    <w:rsid w:val="000A5162"/>
    <w:rPr>
      <w:rFonts w:ascii="Times New Roman" w:eastAsia="Times New Roman" w:hAnsi="Times New Roman" w:cs="Times New Roman"/>
      <w:w w:val="1"/>
      <w:sz w:val="24"/>
      <w:szCs w:val="24"/>
      <w:lang w:eastAsia="ja-JP"/>
    </w:rPr>
  </w:style>
  <w:style w:type="character" w:customStyle="1" w:styleId="OdstavecseseznamemChar">
    <w:name w:val="Odstavec se seznamem Char"/>
    <w:aliases w:val="Numbered Standard Char"/>
    <w:basedOn w:val="Standardnpsmoodstavce"/>
    <w:link w:val="Odstavecseseznamem"/>
    <w:uiPriority w:val="34"/>
    <w:locked/>
    <w:rsid w:val="000A5162"/>
    <w:rPr>
      <w:rFonts w:ascii="Calibri" w:eastAsia="Calibri" w:hAnsi="Calibri" w:cs="Calibri"/>
    </w:rPr>
  </w:style>
  <w:style w:type="paragraph" w:styleId="Odstavecseseznamem">
    <w:name w:val="List Paragraph"/>
    <w:aliases w:val="Numbered Standard"/>
    <w:basedOn w:val="Normln"/>
    <w:link w:val="OdstavecseseznamemChar"/>
    <w:uiPriority w:val="34"/>
    <w:qFormat/>
    <w:rsid w:val="000A5162"/>
    <w:pPr>
      <w:autoSpaceDE/>
      <w:autoSpaceDN/>
      <w:adjustRightInd/>
    </w:pPr>
    <w:rPr>
      <w:rFonts w:ascii="Calibri" w:eastAsia="Calibri" w:hAnsi="Calibri" w:cs="Calibri"/>
      <w:sz w:val="22"/>
      <w:szCs w:val="22"/>
      <w:lang w:eastAsia="en-US"/>
    </w:rPr>
  </w:style>
  <w:style w:type="paragraph" w:customStyle="1" w:styleId="BodyTextWP">
    <w:name w:val="Body Text WP"/>
    <w:uiPriority w:val="99"/>
    <w:rsid w:val="000A5162"/>
    <w:pPr>
      <w:widowControl w:val="0"/>
      <w:autoSpaceDE w:val="0"/>
      <w:autoSpaceDN w:val="0"/>
      <w:adjustRightInd w:val="0"/>
      <w:spacing w:after="240" w:line="240" w:lineRule="auto"/>
      <w:ind w:firstLine="720"/>
      <w:jc w:val="both"/>
    </w:pPr>
    <w:rPr>
      <w:rFonts w:ascii="Times New Roman" w:eastAsia="Times New Roman" w:hAnsi="Times New Roman" w:cs="Times New Roman"/>
      <w:sz w:val="24"/>
      <w:szCs w:val="24"/>
      <w:lang w:eastAsia="ja-JP"/>
    </w:rPr>
  </w:style>
  <w:style w:type="paragraph" w:customStyle="1" w:styleId="Legal1L1">
    <w:name w:val="Legal1_L1"/>
    <w:next w:val="Zkladntext"/>
    <w:uiPriority w:val="99"/>
    <w:rsid w:val="000A5162"/>
    <w:pPr>
      <w:widowControl w:val="0"/>
      <w:autoSpaceDE w:val="0"/>
      <w:autoSpaceDN w:val="0"/>
      <w:adjustRightInd w:val="0"/>
      <w:spacing w:after="240" w:line="240" w:lineRule="auto"/>
      <w:outlineLvl w:val="0"/>
    </w:pPr>
    <w:rPr>
      <w:rFonts w:ascii="Times New Roman" w:eastAsia="Times New Roman" w:hAnsi="Times New Roman" w:cs="Times New Roman"/>
      <w:sz w:val="24"/>
      <w:szCs w:val="24"/>
      <w:u w:val="single"/>
      <w:lang w:eastAsia="ja-JP"/>
    </w:rPr>
  </w:style>
  <w:style w:type="character" w:customStyle="1" w:styleId="Legal1L2Char">
    <w:name w:val="Legal1_L2 Char"/>
    <w:basedOn w:val="Standardnpsmoodstavce"/>
    <w:link w:val="Legal1L2"/>
    <w:uiPriority w:val="99"/>
    <w:locked/>
    <w:rsid w:val="000A5162"/>
    <w:rPr>
      <w:rFonts w:ascii="Times New Roman" w:hAnsi="Times New Roman" w:cs="Times New Roman"/>
      <w:w w:val="1"/>
    </w:rPr>
  </w:style>
  <w:style w:type="paragraph" w:customStyle="1" w:styleId="Legal1L2">
    <w:name w:val="Legal1_L2"/>
    <w:next w:val="Zkladntext"/>
    <w:link w:val="Legal1L2Char"/>
    <w:uiPriority w:val="99"/>
    <w:rsid w:val="000A5162"/>
    <w:pPr>
      <w:numPr>
        <w:ilvl w:val="1"/>
        <w:numId w:val="1"/>
      </w:numPr>
      <w:autoSpaceDE w:val="0"/>
      <w:autoSpaceDN w:val="0"/>
      <w:spacing w:after="240" w:line="240" w:lineRule="auto"/>
      <w:jc w:val="both"/>
      <w:outlineLvl w:val="1"/>
    </w:pPr>
    <w:rPr>
      <w:rFonts w:ascii="Times New Roman" w:hAnsi="Times New Roman" w:cs="Times New Roman"/>
      <w:w w:val="1"/>
    </w:rPr>
  </w:style>
  <w:style w:type="paragraph" w:customStyle="1" w:styleId="Legal1L3">
    <w:name w:val="Legal1_L3"/>
    <w:next w:val="Zkladntext"/>
    <w:uiPriority w:val="99"/>
    <w:rsid w:val="000A5162"/>
    <w:pPr>
      <w:widowControl w:val="0"/>
      <w:autoSpaceDE w:val="0"/>
      <w:autoSpaceDN w:val="0"/>
      <w:adjustRightInd w:val="0"/>
      <w:spacing w:after="240" w:line="240" w:lineRule="auto"/>
      <w:ind w:left="1800"/>
      <w:jc w:val="both"/>
      <w:outlineLvl w:val="2"/>
    </w:pPr>
    <w:rPr>
      <w:rFonts w:ascii="Times New Roman" w:eastAsia="Times New Roman" w:hAnsi="Times New Roman" w:cs="Times New Roman"/>
      <w:w w:val="1"/>
      <w:sz w:val="24"/>
      <w:szCs w:val="24"/>
      <w:lang w:eastAsia="ja-JP"/>
    </w:rPr>
  </w:style>
  <w:style w:type="character" w:customStyle="1" w:styleId="HeadingBody2Char">
    <w:name w:val="HeadingBody 2 Char"/>
    <w:basedOn w:val="Legal1L2Char"/>
    <w:link w:val="HeadingBody2"/>
    <w:uiPriority w:val="49"/>
    <w:semiHidden/>
    <w:locked/>
    <w:rsid w:val="000A5162"/>
    <w:rPr>
      <w:rFonts w:ascii="Times New Roman" w:hAnsi="Times New Roman" w:cs="Times New Roman"/>
      <w:w w:val="1"/>
      <w:sz w:val="24"/>
      <w:szCs w:val="24"/>
    </w:rPr>
  </w:style>
  <w:style w:type="paragraph" w:customStyle="1" w:styleId="HeadingBody2">
    <w:name w:val="HeadingBody 2"/>
    <w:basedOn w:val="Normln"/>
    <w:next w:val="Zkladntext"/>
    <w:link w:val="HeadingBody2Char"/>
    <w:uiPriority w:val="49"/>
    <w:semiHidden/>
    <w:rsid w:val="000A5162"/>
    <w:pPr>
      <w:spacing w:line="240" w:lineRule="exact"/>
      <w:ind w:right="720"/>
    </w:pPr>
    <w:rPr>
      <w:rFonts w:eastAsiaTheme="minorHAnsi"/>
      <w:w w:val="1"/>
      <w:lang w:eastAsia="en-US"/>
    </w:rPr>
  </w:style>
  <w:style w:type="paragraph" w:customStyle="1" w:styleId="Style1">
    <w:name w:val="Style1"/>
    <w:basedOn w:val="Legal1L2"/>
    <w:qFormat/>
    <w:rsid w:val="000A5162"/>
    <w:rPr>
      <w:sz w:val="24"/>
      <w:szCs w:val="24"/>
    </w:rPr>
  </w:style>
  <w:style w:type="character" w:styleId="Odkaznakoment">
    <w:name w:val="annotation reference"/>
    <w:aliases w:val="Style 8"/>
    <w:uiPriority w:val="99"/>
    <w:unhideWhenUsed/>
    <w:rsid w:val="000A5162"/>
    <w:rPr>
      <w:sz w:val="16"/>
      <w:szCs w:val="16"/>
    </w:rPr>
  </w:style>
  <w:style w:type="table" w:styleId="Mkatabulky">
    <w:name w:val="Table Grid"/>
    <w:basedOn w:val="Normlntabulka"/>
    <w:uiPriority w:val="39"/>
    <w:rsid w:val="000A5162"/>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39"/>
    <w:rsid w:val="000A5162"/>
    <w:pPr>
      <w:spacing w:after="0" w:line="240" w:lineRule="auto"/>
      <w:jc w:val="both"/>
    </w:pPr>
    <w:rPr>
      <w:rFonts w:ascii="Arial" w:eastAsia="MS Mincho" w:hAnsi="Arial" w:cs="Times New Roman"/>
      <w:sz w:val="21"/>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0A5162"/>
    <w:rPr>
      <w:rFonts w:ascii="Segoe UI" w:hAnsi="Segoe UI" w:cs="Segoe UI"/>
      <w:sz w:val="18"/>
      <w:szCs w:val="18"/>
    </w:rPr>
  </w:style>
  <w:style w:type="character" w:customStyle="1" w:styleId="TextbublinyChar">
    <w:name w:val="Text bubliny Char"/>
    <w:basedOn w:val="Standardnpsmoodstavce"/>
    <w:link w:val="Textbubliny"/>
    <w:semiHidden/>
    <w:rsid w:val="000A5162"/>
    <w:rPr>
      <w:rFonts w:ascii="Segoe UI" w:eastAsia="Times New Roman" w:hAnsi="Segoe UI" w:cs="Segoe UI"/>
      <w:sz w:val="18"/>
      <w:szCs w:val="18"/>
      <w:lang w:eastAsia="ja-JP"/>
    </w:rPr>
  </w:style>
  <w:style w:type="paragraph" w:styleId="Zhlav">
    <w:name w:val="header"/>
    <w:basedOn w:val="Normln"/>
    <w:link w:val="ZhlavChar"/>
    <w:unhideWhenUsed/>
    <w:rsid w:val="008102D8"/>
    <w:pPr>
      <w:tabs>
        <w:tab w:val="center" w:pos="4680"/>
        <w:tab w:val="right" w:pos="9360"/>
      </w:tabs>
    </w:pPr>
  </w:style>
  <w:style w:type="character" w:customStyle="1" w:styleId="ZhlavChar">
    <w:name w:val="Záhlaví Char"/>
    <w:basedOn w:val="Standardnpsmoodstavce"/>
    <w:link w:val="Zhlav"/>
    <w:rsid w:val="008102D8"/>
    <w:rPr>
      <w:rFonts w:ascii="Times New Roman" w:eastAsia="Times New Roman" w:hAnsi="Times New Roman" w:cs="Times New Roman"/>
      <w:sz w:val="24"/>
      <w:szCs w:val="24"/>
      <w:lang w:eastAsia="ja-JP"/>
    </w:rPr>
  </w:style>
  <w:style w:type="paragraph" w:styleId="Zpat">
    <w:name w:val="footer"/>
    <w:basedOn w:val="Normln"/>
    <w:link w:val="ZpatChar"/>
    <w:uiPriority w:val="99"/>
    <w:unhideWhenUsed/>
    <w:rsid w:val="008102D8"/>
    <w:pPr>
      <w:tabs>
        <w:tab w:val="center" w:pos="4680"/>
        <w:tab w:val="right" w:pos="9360"/>
      </w:tabs>
    </w:pPr>
  </w:style>
  <w:style w:type="character" w:customStyle="1" w:styleId="ZpatChar">
    <w:name w:val="Zápatí Char"/>
    <w:basedOn w:val="Standardnpsmoodstavce"/>
    <w:link w:val="Zpat"/>
    <w:uiPriority w:val="99"/>
    <w:rsid w:val="008102D8"/>
    <w:rPr>
      <w:rFonts w:ascii="Times New Roman" w:eastAsia="Times New Roman" w:hAnsi="Times New Roman" w:cs="Times New Roman"/>
      <w:sz w:val="24"/>
      <w:szCs w:val="24"/>
      <w:lang w:eastAsia="ja-JP"/>
    </w:rPr>
  </w:style>
  <w:style w:type="paragraph" w:styleId="Pedmtkomente">
    <w:name w:val="annotation subject"/>
    <w:basedOn w:val="Textkomente"/>
    <w:next w:val="Textkomente"/>
    <w:link w:val="PedmtkomenteChar"/>
    <w:unhideWhenUsed/>
    <w:rsid w:val="008B713B"/>
    <w:rPr>
      <w:rFonts w:eastAsia="Times New Roman"/>
      <w:b/>
      <w:bCs/>
      <w:sz w:val="20"/>
      <w:szCs w:val="20"/>
      <w:lang w:eastAsia="ja-JP"/>
    </w:rPr>
  </w:style>
  <w:style w:type="character" w:customStyle="1" w:styleId="PedmtkomenteChar">
    <w:name w:val="Předmět komentáře Char"/>
    <w:basedOn w:val="TextkomenteChar"/>
    <w:link w:val="Pedmtkomente"/>
    <w:rsid w:val="008B713B"/>
    <w:rPr>
      <w:rFonts w:ascii="Times New Roman" w:eastAsia="Times New Roman" w:hAnsi="Times New Roman" w:cs="Times New Roman"/>
      <w:b/>
      <w:bCs/>
      <w:sz w:val="20"/>
      <w:szCs w:val="20"/>
      <w:lang w:eastAsia="ja-JP"/>
    </w:rPr>
  </w:style>
  <w:style w:type="character" w:customStyle="1" w:styleId="Nadpis5Char">
    <w:name w:val="Nadpis 5 Char"/>
    <w:basedOn w:val="Standardnpsmoodstavce"/>
    <w:link w:val="Nadpis5"/>
    <w:rsid w:val="00FF2861"/>
    <w:rPr>
      <w:rFonts w:ascii="Times New Roman" w:eastAsia="Times New Roman" w:hAnsi="Times New Roman" w:cs="Times New Roman"/>
      <w:sz w:val="24"/>
      <w:szCs w:val="24"/>
      <w:lang w:eastAsia="ja-JP"/>
    </w:rPr>
  </w:style>
  <w:style w:type="paragraph" w:customStyle="1" w:styleId="Level1">
    <w:name w:val="Level 1"/>
    <w:basedOn w:val="Normln"/>
    <w:link w:val="Level1Char"/>
    <w:uiPriority w:val="6"/>
    <w:qFormat/>
    <w:rsid w:val="00BC5049"/>
    <w:pPr>
      <w:widowControl/>
      <w:numPr>
        <w:numId w:val="4"/>
      </w:numPr>
      <w:autoSpaceDE/>
      <w:autoSpaceDN/>
      <w:adjustRightInd/>
      <w:spacing w:after="160" w:line="259" w:lineRule="auto"/>
    </w:pPr>
    <w:rPr>
      <w:rFonts w:ascii="Arial Bold" w:eastAsiaTheme="minorHAnsi" w:hAnsi="Arial Bold" w:cstheme="minorBidi"/>
      <w:b/>
      <w:caps/>
      <w:sz w:val="20"/>
      <w:szCs w:val="22"/>
      <w:lang w:eastAsia="en-US"/>
    </w:rPr>
  </w:style>
  <w:style w:type="paragraph" w:customStyle="1" w:styleId="Level2">
    <w:name w:val="Level 2"/>
    <w:basedOn w:val="Normln"/>
    <w:link w:val="Level2Char"/>
    <w:uiPriority w:val="6"/>
    <w:qFormat/>
    <w:rsid w:val="00BC5049"/>
    <w:pPr>
      <w:widowControl/>
      <w:numPr>
        <w:ilvl w:val="1"/>
        <w:numId w:val="4"/>
      </w:numPr>
      <w:autoSpaceDE/>
      <w:autoSpaceDN/>
      <w:adjustRightInd/>
      <w:spacing w:after="160" w:line="259" w:lineRule="auto"/>
      <w:jc w:val="both"/>
    </w:pPr>
    <w:rPr>
      <w:rFonts w:ascii="Arial" w:eastAsiaTheme="minorHAnsi" w:hAnsi="Arial" w:cstheme="minorBidi"/>
      <w:sz w:val="20"/>
      <w:szCs w:val="22"/>
      <w:lang w:eastAsia="en-US"/>
    </w:rPr>
  </w:style>
  <w:style w:type="paragraph" w:customStyle="1" w:styleId="Level3">
    <w:name w:val="Level 3"/>
    <w:basedOn w:val="Normln"/>
    <w:autoRedefine/>
    <w:uiPriority w:val="6"/>
    <w:qFormat/>
    <w:rsid w:val="00BC5049"/>
    <w:pPr>
      <w:widowControl/>
      <w:numPr>
        <w:ilvl w:val="2"/>
        <w:numId w:val="4"/>
      </w:numPr>
      <w:autoSpaceDE/>
      <w:autoSpaceDN/>
      <w:adjustRightInd/>
      <w:spacing w:after="160" w:line="259" w:lineRule="auto"/>
      <w:jc w:val="both"/>
    </w:pPr>
    <w:rPr>
      <w:rFonts w:ascii="Arial" w:eastAsiaTheme="minorHAnsi" w:hAnsi="Arial" w:cstheme="minorBidi"/>
      <w:sz w:val="20"/>
      <w:szCs w:val="22"/>
      <w:lang w:eastAsia="en-US"/>
    </w:rPr>
  </w:style>
  <w:style w:type="paragraph" w:customStyle="1" w:styleId="Level4">
    <w:name w:val="Level 4"/>
    <w:basedOn w:val="Normln"/>
    <w:uiPriority w:val="6"/>
    <w:qFormat/>
    <w:rsid w:val="00BC5049"/>
    <w:pPr>
      <w:widowControl/>
      <w:numPr>
        <w:ilvl w:val="3"/>
        <w:numId w:val="4"/>
      </w:numPr>
      <w:autoSpaceDE/>
      <w:autoSpaceDN/>
      <w:adjustRightInd/>
      <w:spacing w:after="160" w:line="259" w:lineRule="auto"/>
    </w:pPr>
    <w:rPr>
      <w:rFonts w:asciiTheme="minorHAnsi" w:eastAsiaTheme="minorHAnsi" w:hAnsiTheme="minorHAnsi" w:cstheme="minorBidi"/>
      <w:sz w:val="22"/>
      <w:szCs w:val="22"/>
      <w:lang w:eastAsia="en-US"/>
    </w:rPr>
  </w:style>
  <w:style w:type="character" w:customStyle="1" w:styleId="Level2Char">
    <w:name w:val="Level 2 Char"/>
    <w:link w:val="Level2"/>
    <w:uiPriority w:val="6"/>
    <w:rsid w:val="00BC5049"/>
    <w:rPr>
      <w:rFonts w:ascii="Arial" w:hAnsi="Arial"/>
      <w:sz w:val="20"/>
    </w:rPr>
  </w:style>
  <w:style w:type="character" w:styleId="slostrnky">
    <w:name w:val="page number"/>
    <w:basedOn w:val="Standardnpsmoodstavce"/>
    <w:rsid w:val="00C47D6D"/>
  </w:style>
  <w:style w:type="paragraph" w:customStyle="1" w:styleId="Level5">
    <w:name w:val="Level 5"/>
    <w:basedOn w:val="Normln"/>
    <w:next w:val="Normln"/>
    <w:uiPriority w:val="6"/>
    <w:qFormat/>
    <w:rsid w:val="00C47D6D"/>
    <w:pPr>
      <w:widowControl/>
      <w:tabs>
        <w:tab w:val="num" w:pos="2835"/>
      </w:tabs>
      <w:autoSpaceDE/>
      <w:autoSpaceDN/>
      <w:adjustRightInd/>
      <w:spacing w:after="210" w:line="264" w:lineRule="auto"/>
      <w:ind w:left="2835" w:hanging="709"/>
      <w:jc w:val="both"/>
      <w:outlineLvl w:val="4"/>
    </w:pPr>
    <w:rPr>
      <w:rFonts w:ascii="Arial" w:eastAsia="Arial Unicode MS" w:hAnsi="Arial"/>
      <w:sz w:val="21"/>
      <w:szCs w:val="21"/>
      <w:lang w:eastAsia="en-GB"/>
    </w:rPr>
  </w:style>
  <w:style w:type="character" w:customStyle="1" w:styleId="Level1Char">
    <w:name w:val="Level 1 Char"/>
    <w:link w:val="Level1"/>
    <w:uiPriority w:val="6"/>
    <w:rsid w:val="00C47D6D"/>
    <w:rPr>
      <w:rFonts w:ascii="Arial Bold" w:hAnsi="Arial Bold"/>
      <w:b/>
      <w:caps/>
      <w:sz w:val="20"/>
    </w:rPr>
  </w:style>
  <w:style w:type="character" w:customStyle="1" w:styleId="Nadpis1Char">
    <w:name w:val="Nadpis 1 Char"/>
    <w:aliases w:val="0Überschrift 1 Char,1 Char,1Überschrift 1 Char,2Überschrift 1 Char,3Überschrift 1 Char,4Überschrift 1 Char,5Überschrift 1 Char,6Überschrift 1 Char,ASAPHeading 1 Char,Clause Char,H1 Char,Hoofdstukkop Char,Kapitola Char,No numbers Char"/>
    <w:basedOn w:val="Standardnpsmoodstavce"/>
    <w:link w:val="Nadpis1"/>
    <w:rsid w:val="00005B49"/>
    <w:rPr>
      <w:rFonts w:asciiTheme="majorHAnsi" w:eastAsiaTheme="majorEastAsia" w:hAnsiTheme="majorHAnsi" w:cstheme="majorBidi"/>
      <w:color w:val="2F5496" w:themeColor="accent1" w:themeShade="BF"/>
      <w:sz w:val="32"/>
      <w:szCs w:val="32"/>
      <w:lang w:eastAsia="ja-JP"/>
    </w:rPr>
  </w:style>
  <w:style w:type="character" w:customStyle="1" w:styleId="Nadpis2Char">
    <w:name w:val="Nadpis 2 Char"/>
    <w:basedOn w:val="Standardnpsmoodstavce"/>
    <w:link w:val="Nadpis2"/>
    <w:rsid w:val="00005B49"/>
    <w:rPr>
      <w:rFonts w:asciiTheme="majorHAnsi" w:eastAsiaTheme="majorEastAsia" w:hAnsiTheme="majorHAnsi" w:cstheme="majorBidi"/>
      <w:color w:val="2F5496" w:themeColor="accent1" w:themeShade="BF"/>
      <w:sz w:val="26"/>
      <w:szCs w:val="26"/>
      <w:lang w:eastAsia="ja-JP"/>
    </w:rPr>
  </w:style>
  <w:style w:type="character" w:customStyle="1" w:styleId="Nadpis3Char">
    <w:name w:val="Nadpis 3 Char"/>
    <w:basedOn w:val="Standardnpsmoodstavce"/>
    <w:link w:val="Nadpis3"/>
    <w:rsid w:val="00005B49"/>
    <w:rPr>
      <w:rFonts w:ascii="Times New Roman" w:eastAsia="Times New Roman" w:hAnsi="Times New Roman" w:cs="Times New Roman"/>
      <w:sz w:val="24"/>
      <w:szCs w:val="24"/>
    </w:rPr>
  </w:style>
  <w:style w:type="character" w:customStyle="1" w:styleId="Nadpis4Char">
    <w:name w:val="Nadpis 4 Char"/>
    <w:basedOn w:val="Standardnpsmoodstavce"/>
    <w:link w:val="Nadpis4"/>
    <w:rsid w:val="00005B49"/>
    <w:rPr>
      <w:rFonts w:ascii="Times New Roman" w:eastAsia="Times New Roman" w:hAnsi="Times New Roman" w:cs="Times New Roman"/>
      <w:sz w:val="24"/>
      <w:szCs w:val="24"/>
    </w:rPr>
  </w:style>
  <w:style w:type="character" w:customStyle="1" w:styleId="Nadpis6Char">
    <w:name w:val="Nadpis 6 Char"/>
    <w:basedOn w:val="Standardnpsmoodstavce"/>
    <w:link w:val="Nadpis6"/>
    <w:rsid w:val="00005B49"/>
    <w:rPr>
      <w:rFonts w:ascii="Times New Roman" w:eastAsia="Times New Roman" w:hAnsi="Times New Roman" w:cs="Times New Roman"/>
      <w:sz w:val="24"/>
      <w:szCs w:val="24"/>
    </w:rPr>
  </w:style>
  <w:style w:type="character" w:customStyle="1" w:styleId="Nadpis7Char">
    <w:name w:val="Nadpis 7 Char"/>
    <w:basedOn w:val="Standardnpsmoodstavce"/>
    <w:link w:val="Nadpis7"/>
    <w:rsid w:val="00005B49"/>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005B49"/>
    <w:rPr>
      <w:rFonts w:ascii="Times New Roman" w:eastAsia="Times New Roman" w:hAnsi="Times New Roman" w:cs="Times New Roman"/>
      <w:sz w:val="24"/>
      <w:szCs w:val="24"/>
    </w:rPr>
  </w:style>
  <w:style w:type="character" w:customStyle="1" w:styleId="Nadpis9Char">
    <w:name w:val="Nadpis 9 Char"/>
    <w:basedOn w:val="Standardnpsmoodstavce"/>
    <w:link w:val="Nadpis9"/>
    <w:rsid w:val="00005B49"/>
    <w:rPr>
      <w:rFonts w:ascii="Times New Roman" w:eastAsia="Times New Roman" w:hAnsi="Times New Roman" w:cs="Times New Roman"/>
      <w:sz w:val="24"/>
      <w:szCs w:val="24"/>
    </w:rPr>
  </w:style>
  <w:style w:type="numbering" w:customStyle="1" w:styleId="NoList1">
    <w:name w:val="No List1"/>
    <w:next w:val="Bezseznamu"/>
    <w:uiPriority w:val="99"/>
    <w:semiHidden/>
    <w:unhideWhenUsed/>
    <w:rsid w:val="00005B49"/>
  </w:style>
  <w:style w:type="paragraph" w:customStyle="1" w:styleId="LetterClosing">
    <w:name w:val="LetterClosing"/>
    <w:basedOn w:val="Normln"/>
    <w:rsid w:val="00005B49"/>
    <w:pPr>
      <w:widowControl/>
      <w:autoSpaceDE/>
      <w:autoSpaceDN/>
      <w:adjustRightInd/>
    </w:pPr>
    <w:rPr>
      <w:lang w:eastAsia="en-US"/>
    </w:rPr>
  </w:style>
  <w:style w:type="paragraph" w:styleId="Adresanaoblku">
    <w:name w:val="envelope address"/>
    <w:basedOn w:val="Normln"/>
    <w:rsid w:val="00005B49"/>
    <w:pPr>
      <w:framePr w:w="7920" w:h="1980" w:hRule="exact" w:hSpace="180" w:wrap="auto" w:hAnchor="page" w:xAlign="center" w:yAlign="bottom"/>
      <w:widowControl/>
      <w:autoSpaceDE/>
      <w:autoSpaceDN/>
      <w:adjustRightInd/>
      <w:ind w:left="2880"/>
    </w:pPr>
    <w:rPr>
      <w:lang w:eastAsia="en-US"/>
    </w:rPr>
  </w:style>
  <w:style w:type="paragraph" w:styleId="Zptenadresanaoblku">
    <w:name w:val="envelope return"/>
    <w:basedOn w:val="Normln"/>
    <w:rsid w:val="00005B49"/>
    <w:pPr>
      <w:widowControl/>
      <w:autoSpaceDE/>
      <w:autoSpaceDN/>
      <w:adjustRightInd/>
    </w:pPr>
    <w:rPr>
      <w:sz w:val="20"/>
      <w:szCs w:val="20"/>
      <w:lang w:eastAsia="en-US"/>
    </w:rPr>
  </w:style>
  <w:style w:type="paragraph" w:customStyle="1" w:styleId="CommentText1">
    <w:name w:val="Comment Text1"/>
    <w:basedOn w:val="Normln"/>
    <w:rsid w:val="00005B49"/>
    <w:pPr>
      <w:widowControl/>
      <w:autoSpaceDE/>
      <w:autoSpaceDN/>
      <w:adjustRightInd/>
    </w:pPr>
    <w:rPr>
      <w:sz w:val="20"/>
      <w:lang w:eastAsia="en-US"/>
    </w:rPr>
  </w:style>
  <w:style w:type="paragraph" w:styleId="Zkladntextodsazen">
    <w:name w:val="Body Text Indent"/>
    <w:basedOn w:val="Normln"/>
    <w:next w:val="Zkladntext"/>
    <w:link w:val="ZkladntextodsazenChar"/>
    <w:rsid w:val="00005B49"/>
    <w:pPr>
      <w:widowControl/>
      <w:autoSpaceDE/>
      <w:autoSpaceDN/>
      <w:adjustRightInd/>
      <w:spacing w:after="240"/>
      <w:ind w:left="720"/>
    </w:pPr>
    <w:rPr>
      <w:lang w:eastAsia="en-US"/>
    </w:rPr>
  </w:style>
  <w:style w:type="character" w:customStyle="1" w:styleId="ZkladntextodsazenChar">
    <w:name w:val="Základní text odsazený Char"/>
    <w:basedOn w:val="Standardnpsmoodstavce"/>
    <w:link w:val="Zkladntextodsazen"/>
    <w:rsid w:val="00005B49"/>
    <w:rPr>
      <w:rFonts w:ascii="Times New Roman" w:eastAsia="Times New Roman" w:hAnsi="Times New Roman" w:cs="Times New Roman"/>
      <w:sz w:val="24"/>
      <w:szCs w:val="24"/>
    </w:rPr>
  </w:style>
  <w:style w:type="paragraph" w:customStyle="1" w:styleId="BodyTextContinued">
    <w:name w:val="Body Text Continued"/>
    <w:basedOn w:val="Normln"/>
    <w:next w:val="Zkladntext"/>
    <w:rsid w:val="00005B49"/>
    <w:pPr>
      <w:widowControl/>
      <w:autoSpaceDE/>
      <w:autoSpaceDN/>
      <w:adjustRightInd/>
      <w:spacing w:after="240"/>
    </w:pPr>
    <w:rPr>
      <w:lang w:eastAsia="en-US"/>
    </w:rPr>
  </w:style>
  <w:style w:type="paragraph" w:styleId="Titulek">
    <w:name w:val="caption"/>
    <w:basedOn w:val="Normln"/>
    <w:next w:val="Normln"/>
    <w:qFormat/>
    <w:rsid w:val="00005B49"/>
    <w:pPr>
      <w:widowControl/>
      <w:autoSpaceDE/>
      <w:autoSpaceDN/>
      <w:adjustRightInd/>
      <w:spacing w:before="120" w:after="120"/>
    </w:pPr>
    <w:rPr>
      <w:b/>
      <w:lang w:eastAsia="en-US"/>
    </w:rPr>
  </w:style>
  <w:style w:type="paragraph" w:styleId="Zvr">
    <w:name w:val="Closing"/>
    <w:basedOn w:val="Normln"/>
    <w:link w:val="ZvrChar"/>
    <w:rsid w:val="00005B49"/>
    <w:pPr>
      <w:widowControl/>
      <w:autoSpaceDE/>
      <w:autoSpaceDN/>
      <w:adjustRightInd/>
      <w:ind w:left="4320"/>
    </w:pPr>
    <w:rPr>
      <w:lang w:eastAsia="en-US"/>
    </w:rPr>
  </w:style>
  <w:style w:type="character" w:customStyle="1" w:styleId="ZvrChar">
    <w:name w:val="Závěr Char"/>
    <w:basedOn w:val="Standardnpsmoodstavce"/>
    <w:link w:val="Zvr"/>
    <w:rsid w:val="00005B49"/>
    <w:rPr>
      <w:rFonts w:ascii="Times New Roman" w:eastAsia="Times New Roman" w:hAnsi="Times New Roman" w:cs="Times New Roman"/>
      <w:sz w:val="24"/>
      <w:szCs w:val="24"/>
    </w:rPr>
  </w:style>
  <w:style w:type="paragraph" w:styleId="Citt">
    <w:name w:val="Quote"/>
    <w:basedOn w:val="Normln"/>
    <w:next w:val="BodyTextContinued"/>
    <w:link w:val="CittChar"/>
    <w:qFormat/>
    <w:rsid w:val="00005B49"/>
    <w:pPr>
      <w:widowControl/>
      <w:autoSpaceDE/>
      <w:autoSpaceDN/>
      <w:adjustRightInd/>
      <w:spacing w:after="240"/>
      <w:ind w:left="1440" w:right="1440"/>
    </w:pPr>
    <w:rPr>
      <w:lang w:eastAsia="en-US"/>
    </w:rPr>
  </w:style>
  <w:style w:type="character" w:customStyle="1" w:styleId="CittChar">
    <w:name w:val="Citát Char"/>
    <w:basedOn w:val="Standardnpsmoodstavce"/>
    <w:link w:val="Citt"/>
    <w:rsid w:val="00005B49"/>
    <w:rPr>
      <w:rFonts w:ascii="Times New Roman" w:eastAsia="Times New Roman" w:hAnsi="Times New Roman" w:cs="Times New Roman"/>
      <w:sz w:val="24"/>
      <w:szCs w:val="24"/>
    </w:rPr>
  </w:style>
  <w:style w:type="paragraph" w:customStyle="1" w:styleId="Centered">
    <w:name w:val="Centered"/>
    <w:basedOn w:val="Normln"/>
    <w:next w:val="Zkladntext"/>
    <w:rsid w:val="00005B49"/>
    <w:pPr>
      <w:widowControl/>
      <w:autoSpaceDE/>
      <w:autoSpaceDN/>
      <w:adjustRightInd/>
      <w:spacing w:after="240"/>
      <w:jc w:val="center"/>
    </w:pPr>
    <w:rPr>
      <w:b/>
      <w:smallCaps/>
      <w:lang w:eastAsia="en-US"/>
    </w:rPr>
  </w:style>
  <w:style w:type="character" w:styleId="Znakapoznpodarou">
    <w:name w:val="footnote reference"/>
    <w:semiHidden/>
    <w:rsid w:val="00005B49"/>
    <w:rPr>
      <w:vertAlign w:val="superscript"/>
      <w:lang w:val="cs-CZ"/>
    </w:rPr>
  </w:style>
  <w:style w:type="paragraph" w:styleId="Textpoznpodarou">
    <w:name w:val="footnote text"/>
    <w:basedOn w:val="Normln"/>
    <w:link w:val="TextpoznpodarouChar"/>
    <w:semiHidden/>
    <w:rsid w:val="00005B49"/>
    <w:pPr>
      <w:widowControl/>
      <w:autoSpaceDE/>
      <w:autoSpaceDN/>
      <w:adjustRightInd/>
      <w:spacing w:before="120"/>
      <w:ind w:left="720" w:hanging="720"/>
    </w:pPr>
    <w:rPr>
      <w:lang w:eastAsia="en-US"/>
    </w:rPr>
  </w:style>
  <w:style w:type="character" w:customStyle="1" w:styleId="TextpoznpodarouChar">
    <w:name w:val="Text pozn. pod čarou Char"/>
    <w:basedOn w:val="Standardnpsmoodstavce"/>
    <w:link w:val="Textpoznpodarou"/>
    <w:semiHidden/>
    <w:rsid w:val="00005B49"/>
    <w:rPr>
      <w:rFonts w:ascii="Times New Roman" w:eastAsia="Times New Roman" w:hAnsi="Times New Roman" w:cs="Times New Roman"/>
      <w:sz w:val="24"/>
      <w:szCs w:val="24"/>
    </w:rPr>
  </w:style>
  <w:style w:type="paragraph" w:styleId="Normlnodsazen">
    <w:name w:val="Normal Indent"/>
    <w:basedOn w:val="Normln"/>
    <w:rsid w:val="00005B49"/>
    <w:pPr>
      <w:widowControl/>
      <w:autoSpaceDE/>
      <w:autoSpaceDN/>
      <w:adjustRightInd/>
      <w:ind w:left="720" w:right="720"/>
    </w:pPr>
    <w:rPr>
      <w:lang w:eastAsia="en-US"/>
    </w:rPr>
  </w:style>
  <w:style w:type="paragraph" w:customStyle="1" w:styleId="PleadingSignature">
    <w:name w:val="Pleading Signature"/>
    <w:basedOn w:val="Normln"/>
    <w:rsid w:val="00005B49"/>
    <w:pPr>
      <w:keepNext/>
      <w:keepLines/>
      <w:widowControl/>
      <w:tabs>
        <w:tab w:val="center" w:pos="5040"/>
        <w:tab w:val="right" w:pos="9360"/>
      </w:tabs>
      <w:autoSpaceDE/>
      <w:autoSpaceDN/>
      <w:adjustRightInd/>
      <w:spacing w:line="240" w:lineRule="exact"/>
      <w:ind w:left="4680"/>
    </w:pPr>
    <w:rPr>
      <w:lang w:eastAsia="en-US"/>
    </w:rPr>
  </w:style>
  <w:style w:type="paragraph" w:customStyle="1" w:styleId="ReLine">
    <w:name w:val="ReLine"/>
    <w:basedOn w:val="Normln"/>
    <w:next w:val="Normln"/>
    <w:rsid w:val="00005B49"/>
    <w:pPr>
      <w:widowControl/>
      <w:autoSpaceDE/>
      <w:autoSpaceDN/>
      <w:adjustRightInd/>
      <w:spacing w:after="240"/>
      <w:ind w:left="2160" w:hanging="720"/>
    </w:pPr>
    <w:rPr>
      <w:lang w:eastAsia="en-US"/>
    </w:rPr>
  </w:style>
  <w:style w:type="paragraph" w:customStyle="1" w:styleId="SDP">
    <w:name w:val="SDP"/>
    <w:basedOn w:val="Normln"/>
    <w:next w:val="Normln"/>
    <w:rsid w:val="00005B49"/>
    <w:pPr>
      <w:widowControl/>
      <w:autoSpaceDE/>
      <w:autoSpaceDN/>
      <w:adjustRightInd/>
      <w:spacing w:after="240"/>
    </w:pPr>
    <w:rPr>
      <w:b/>
      <w:u w:val="single"/>
      <w:lang w:eastAsia="en-US"/>
    </w:rPr>
  </w:style>
  <w:style w:type="paragraph" w:styleId="Podnadpis">
    <w:name w:val="Subtitle"/>
    <w:basedOn w:val="Normln"/>
    <w:link w:val="PodnadpisChar"/>
    <w:qFormat/>
    <w:rsid w:val="00005B49"/>
    <w:pPr>
      <w:widowControl/>
      <w:autoSpaceDE/>
      <w:autoSpaceDN/>
      <w:adjustRightInd/>
      <w:spacing w:after="60"/>
      <w:jc w:val="center"/>
    </w:pPr>
    <w:rPr>
      <w:rFonts w:ascii="Arial" w:hAnsi="Arial" w:cs="Arial"/>
      <w:i/>
      <w:lang w:eastAsia="en-US"/>
    </w:rPr>
  </w:style>
  <w:style w:type="character" w:customStyle="1" w:styleId="PodnadpisChar">
    <w:name w:val="Podnadpis Char"/>
    <w:basedOn w:val="Standardnpsmoodstavce"/>
    <w:link w:val="Podnadpis"/>
    <w:rsid w:val="00005B49"/>
    <w:rPr>
      <w:rFonts w:ascii="Arial" w:eastAsia="Times New Roman" w:hAnsi="Arial" w:cs="Arial"/>
      <w:i/>
      <w:sz w:val="24"/>
      <w:szCs w:val="24"/>
    </w:rPr>
  </w:style>
  <w:style w:type="paragraph" w:styleId="Seznamobrzk">
    <w:name w:val="table of figures"/>
    <w:basedOn w:val="Normln"/>
    <w:next w:val="Normln"/>
    <w:semiHidden/>
    <w:rsid w:val="00005B49"/>
    <w:pPr>
      <w:widowControl/>
      <w:tabs>
        <w:tab w:val="right" w:leader="dot" w:pos="9360"/>
      </w:tabs>
      <w:autoSpaceDE/>
      <w:autoSpaceDN/>
      <w:adjustRightInd/>
      <w:ind w:left="475" w:firstLine="475"/>
    </w:pPr>
    <w:rPr>
      <w:lang w:eastAsia="en-US"/>
    </w:rPr>
  </w:style>
  <w:style w:type="paragraph" w:styleId="Seznamcitac">
    <w:name w:val="table of authorities"/>
    <w:basedOn w:val="Normln"/>
    <w:next w:val="Normln"/>
    <w:semiHidden/>
    <w:rsid w:val="00005B49"/>
    <w:pPr>
      <w:widowControl/>
      <w:tabs>
        <w:tab w:val="left" w:pos="8640"/>
      </w:tabs>
      <w:autoSpaceDE/>
      <w:autoSpaceDN/>
      <w:adjustRightInd/>
      <w:spacing w:after="240"/>
      <w:ind w:left="202" w:hanging="202"/>
    </w:pPr>
    <w:rPr>
      <w:lang w:eastAsia="en-US"/>
    </w:rPr>
  </w:style>
  <w:style w:type="paragraph" w:styleId="Hlavikaobsahu">
    <w:name w:val="toa heading"/>
    <w:basedOn w:val="Normln"/>
    <w:next w:val="Normln"/>
    <w:semiHidden/>
    <w:rsid w:val="00005B49"/>
    <w:pPr>
      <w:widowControl/>
      <w:autoSpaceDE/>
      <w:autoSpaceDN/>
      <w:adjustRightInd/>
      <w:spacing w:after="240"/>
    </w:pPr>
    <w:rPr>
      <w:b/>
      <w:caps/>
      <w:lang w:eastAsia="en-US"/>
    </w:rPr>
  </w:style>
  <w:style w:type="paragraph" w:styleId="Obsah1">
    <w:name w:val="toc 1"/>
    <w:basedOn w:val="Normln"/>
    <w:uiPriority w:val="39"/>
    <w:rsid w:val="00005B49"/>
    <w:pPr>
      <w:keepLines/>
      <w:tabs>
        <w:tab w:val="right" w:leader="dot" w:pos="9360"/>
      </w:tabs>
      <w:autoSpaceDE/>
      <w:autoSpaceDN/>
      <w:adjustRightInd/>
      <w:spacing w:before="240" w:after="240"/>
      <w:ind w:left="720" w:right="720" w:hanging="720"/>
    </w:pPr>
    <w:rPr>
      <w:lang w:eastAsia="en-US"/>
    </w:rPr>
  </w:style>
  <w:style w:type="paragraph" w:styleId="Obsah2">
    <w:name w:val="toc 2"/>
    <w:basedOn w:val="Normln"/>
    <w:uiPriority w:val="39"/>
    <w:rsid w:val="00005B49"/>
    <w:pPr>
      <w:keepLines/>
      <w:tabs>
        <w:tab w:val="right" w:leader="dot" w:pos="9360"/>
      </w:tabs>
      <w:autoSpaceDE/>
      <w:autoSpaceDN/>
      <w:adjustRightInd/>
      <w:ind w:left="1440" w:right="720" w:hanging="720"/>
    </w:pPr>
    <w:rPr>
      <w:lang w:eastAsia="en-US"/>
    </w:rPr>
  </w:style>
  <w:style w:type="paragraph" w:styleId="Obsah3">
    <w:name w:val="toc 3"/>
    <w:basedOn w:val="Normln"/>
    <w:uiPriority w:val="39"/>
    <w:rsid w:val="00005B49"/>
    <w:pPr>
      <w:keepLines/>
      <w:tabs>
        <w:tab w:val="right" w:leader="dot" w:pos="9360"/>
      </w:tabs>
      <w:autoSpaceDE/>
      <w:autoSpaceDN/>
      <w:adjustRightInd/>
      <w:ind w:left="2160" w:right="720" w:hanging="720"/>
    </w:pPr>
    <w:rPr>
      <w:lang w:eastAsia="en-US"/>
    </w:rPr>
  </w:style>
  <w:style w:type="paragraph" w:styleId="Obsah4">
    <w:name w:val="toc 4"/>
    <w:basedOn w:val="Normln"/>
    <w:uiPriority w:val="39"/>
    <w:rsid w:val="00005B49"/>
    <w:pPr>
      <w:keepLines/>
      <w:tabs>
        <w:tab w:val="right" w:leader="dot" w:pos="9360"/>
      </w:tabs>
      <w:autoSpaceDE/>
      <w:autoSpaceDN/>
      <w:adjustRightInd/>
      <w:ind w:left="2880" w:right="720" w:hanging="720"/>
    </w:pPr>
    <w:rPr>
      <w:lang w:eastAsia="en-US"/>
    </w:rPr>
  </w:style>
  <w:style w:type="paragraph" w:styleId="Obsah5">
    <w:name w:val="toc 5"/>
    <w:basedOn w:val="Normln"/>
    <w:uiPriority w:val="39"/>
    <w:rsid w:val="00005B49"/>
    <w:pPr>
      <w:keepLines/>
      <w:tabs>
        <w:tab w:val="right" w:leader="dot" w:pos="9360"/>
      </w:tabs>
      <w:autoSpaceDE/>
      <w:autoSpaceDN/>
      <w:adjustRightInd/>
      <w:ind w:left="3600" w:right="720" w:hanging="720"/>
    </w:pPr>
    <w:rPr>
      <w:lang w:eastAsia="en-US"/>
    </w:rPr>
  </w:style>
  <w:style w:type="paragraph" w:styleId="Obsah6">
    <w:name w:val="toc 6"/>
    <w:basedOn w:val="Normln"/>
    <w:uiPriority w:val="39"/>
    <w:rsid w:val="00005B49"/>
    <w:pPr>
      <w:keepLines/>
      <w:tabs>
        <w:tab w:val="right" w:leader="dot" w:pos="9360"/>
      </w:tabs>
      <w:autoSpaceDE/>
      <w:autoSpaceDN/>
      <w:adjustRightInd/>
      <w:ind w:left="4320" w:right="720" w:hanging="720"/>
    </w:pPr>
    <w:rPr>
      <w:lang w:eastAsia="en-US"/>
    </w:rPr>
  </w:style>
  <w:style w:type="paragraph" w:styleId="Obsah7">
    <w:name w:val="toc 7"/>
    <w:basedOn w:val="Normln"/>
    <w:uiPriority w:val="39"/>
    <w:rsid w:val="00005B49"/>
    <w:pPr>
      <w:keepLines/>
      <w:tabs>
        <w:tab w:val="right" w:leader="dot" w:pos="9360"/>
      </w:tabs>
      <w:autoSpaceDE/>
      <w:autoSpaceDN/>
      <w:adjustRightInd/>
      <w:ind w:left="5040" w:right="720" w:hanging="720"/>
    </w:pPr>
    <w:rPr>
      <w:lang w:eastAsia="en-US"/>
    </w:rPr>
  </w:style>
  <w:style w:type="paragraph" w:styleId="Obsah8">
    <w:name w:val="toc 8"/>
    <w:basedOn w:val="Normln"/>
    <w:uiPriority w:val="39"/>
    <w:rsid w:val="00005B49"/>
    <w:pPr>
      <w:keepLines/>
      <w:tabs>
        <w:tab w:val="right" w:leader="dot" w:pos="9360"/>
      </w:tabs>
      <w:autoSpaceDE/>
      <w:autoSpaceDN/>
      <w:adjustRightInd/>
      <w:ind w:left="5760" w:right="720" w:hanging="720"/>
    </w:pPr>
    <w:rPr>
      <w:lang w:eastAsia="en-US"/>
    </w:rPr>
  </w:style>
  <w:style w:type="paragraph" w:styleId="Obsah9">
    <w:name w:val="toc 9"/>
    <w:basedOn w:val="Normln"/>
    <w:uiPriority w:val="39"/>
    <w:rsid w:val="00005B49"/>
    <w:pPr>
      <w:keepLines/>
      <w:tabs>
        <w:tab w:val="right" w:leader="dot" w:pos="9360"/>
      </w:tabs>
      <w:autoSpaceDE/>
      <w:autoSpaceDN/>
      <w:adjustRightInd/>
      <w:ind w:left="6480" w:right="720" w:hanging="720"/>
    </w:pPr>
    <w:rPr>
      <w:lang w:eastAsia="en-US"/>
    </w:rPr>
  </w:style>
  <w:style w:type="paragraph" w:customStyle="1" w:styleId="BodyIndent">
    <w:name w:val="Body Indent"/>
    <w:basedOn w:val="Normln"/>
    <w:rsid w:val="00005B49"/>
    <w:pPr>
      <w:widowControl/>
      <w:autoSpaceDE/>
      <w:autoSpaceDN/>
      <w:adjustRightInd/>
      <w:spacing w:after="240"/>
      <w:ind w:left="720"/>
      <w:jc w:val="both"/>
    </w:pPr>
    <w:rPr>
      <w:sz w:val="22"/>
      <w:lang w:eastAsia="en-US"/>
    </w:rPr>
  </w:style>
  <w:style w:type="paragraph" w:styleId="Textmakra">
    <w:name w:val="macro"/>
    <w:link w:val="TextmakraChar"/>
    <w:rsid w:val="0000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05B49"/>
    <w:rPr>
      <w:rFonts w:ascii="Courier New" w:eastAsia="Times New Roman" w:hAnsi="Courier New" w:cs="Courier New"/>
      <w:sz w:val="20"/>
      <w:szCs w:val="20"/>
    </w:rPr>
  </w:style>
  <w:style w:type="paragraph" w:styleId="Revize">
    <w:name w:val="Revision"/>
    <w:hidden/>
    <w:uiPriority w:val="99"/>
    <w:semiHidden/>
    <w:rsid w:val="00005B49"/>
    <w:pPr>
      <w:spacing w:after="0" w:line="240" w:lineRule="auto"/>
    </w:pPr>
    <w:rPr>
      <w:rFonts w:ascii="Times New Roman" w:eastAsia="Times New Roman" w:hAnsi="Times New Roman" w:cs="Times New Roman"/>
      <w:sz w:val="24"/>
      <w:szCs w:val="24"/>
    </w:rPr>
  </w:style>
  <w:style w:type="paragraph" w:customStyle="1" w:styleId="BodyTextLega">
    <w:name w:val="Body Text Lega"/>
    <w:basedOn w:val="Zkladntext"/>
    <w:autoRedefine/>
    <w:rsid w:val="00005B49"/>
    <w:pPr>
      <w:widowControl/>
      <w:autoSpaceDE/>
      <w:autoSpaceDN/>
      <w:adjustRightInd/>
      <w:spacing w:after="0" w:line="264" w:lineRule="auto"/>
    </w:pPr>
    <w:rPr>
      <w:sz w:val="22"/>
      <w:szCs w:val="22"/>
      <w:lang w:eastAsia="en-US"/>
    </w:rPr>
  </w:style>
  <w:style w:type="paragraph" w:customStyle="1" w:styleId="LegalHeader3">
    <w:name w:val="Legal Header 3"/>
    <w:basedOn w:val="Normln"/>
    <w:autoRedefine/>
    <w:uiPriority w:val="99"/>
    <w:rsid w:val="00005B49"/>
    <w:pPr>
      <w:widowControl/>
      <w:tabs>
        <w:tab w:val="left" w:pos="2880"/>
      </w:tabs>
      <w:autoSpaceDE/>
      <w:autoSpaceDN/>
      <w:adjustRightInd/>
      <w:spacing w:before="120" w:after="120"/>
      <w:ind w:left="2880" w:hanging="720"/>
    </w:pPr>
    <w:rPr>
      <w:rFonts w:ascii="Times" w:hAnsi="Times"/>
      <w:szCs w:val="20"/>
      <w:lang w:eastAsia="en-US"/>
    </w:rPr>
  </w:style>
  <w:style w:type="paragraph" w:styleId="Bezmezer">
    <w:name w:val="No Spacing"/>
    <w:link w:val="BezmezerChar"/>
    <w:uiPriority w:val="1"/>
    <w:qFormat/>
    <w:rsid w:val="00005B49"/>
    <w:pPr>
      <w:spacing w:after="0" w:line="240" w:lineRule="auto"/>
    </w:pPr>
    <w:rPr>
      <w:rFonts w:ascii="Geneva" w:eastAsia="Times New Roman" w:hAnsi="Geneva" w:cs="Times New Roman"/>
      <w:sz w:val="24"/>
      <w:szCs w:val="20"/>
    </w:rPr>
  </w:style>
  <w:style w:type="paragraph" w:customStyle="1" w:styleId="Definition1">
    <w:name w:val="Definition 1"/>
    <w:basedOn w:val="Normln"/>
    <w:uiPriority w:val="3"/>
    <w:qFormat/>
    <w:rsid w:val="00005B49"/>
    <w:pPr>
      <w:widowControl/>
      <w:numPr>
        <w:numId w:val="8"/>
      </w:numPr>
      <w:autoSpaceDE/>
      <w:autoSpaceDN/>
      <w:snapToGrid w:val="0"/>
      <w:spacing w:after="240"/>
      <w:jc w:val="both"/>
    </w:pPr>
    <w:rPr>
      <w:rFonts w:ascii="Arial" w:hAnsi="Arial" w:cs="Arial"/>
      <w:sz w:val="20"/>
      <w:lang w:eastAsia="en-US"/>
    </w:rPr>
  </w:style>
  <w:style w:type="paragraph" w:customStyle="1" w:styleId="Definition2">
    <w:name w:val="Definition 2"/>
    <w:basedOn w:val="Definition1"/>
    <w:uiPriority w:val="3"/>
    <w:qFormat/>
    <w:rsid w:val="00005B49"/>
    <w:pPr>
      <w:numPr>
        <w:ilvl w:val="1"/>
      </w:numPr>
    </w:pPr>
  </w:style>
  <w:style w:type="paragraph" w:customStyle="1" w:styleId="Definition3">
    <w:name w:val="Definition 3"/>
    <w:basedOn w:val="Definition2"/>
    <w:uiPriority w:val="3"/>
    <w:qFormat/>
    <w:rsid w:val="00005B49"/>
    <w:pPr>
      <w:numPr>
        <w:ilvl w:val="2"/>
      </w:numPr>
    </w:pPr>
  </w:style>
  <w:style w:type="paragraph" w:customStyle="1" w:styleId="Definition4">
    <w:name w:val="Definition 4"/>
    <w:basedOn w:val="Definition3"/>
    <w:uiPriority w:val="3"/>
    <w:qFormat/>
    <w:rsid w:val="00005B49"/>
    <w:pPr>
      <w:numPr>
        <w:ilvl w:val="3"/>
      </w:numPr>
    </w:pPr>
  </w:style>
  <w:style w:type="paragraph" w:customStyle="1" w:styleId="Definition5">
    <w:name w:val="Definition 5"/>
    <w:basedOn w:val="Definition4"/>
    <w:uiPriority w:val="3"/>
    <w:rsid w:val="00005B49"/>
    <w:pPr>
      <w:numPr>
        <w:ilvl w:val="4"/>
      </w:numPr>
    </w:pPr>
  </w:style>
  <w:style w:type="paragraph" w:customStyle="1" w:styleId="Definition6">
    <w:name w:val="Definition 6"/>
    <w:basedOn w:val="Definition5"/>
    <w:uiPriority w:val="3"/>
    <w:semiHidden/>
    <w:unhideWhenUsed/>
    <w:rsid w:val="00005B49"/>
    <w:pPr>
      <w:numPr>
        <w:ilvl w:val="5"/>
      </w:numPr>
    </w:pPr>
  </w:style>
  <w:style w:type="paragraph" w:customStyle="1" w:styleId="Definition7">
    <w:name w:val="Definition 7"/>
    <w:basedOn w:val="Definition6"/>
    <w:uiPriority w:val="3"/>
    <w:semiHidden/>
    <w:unhideWhenUsed/>
    <w:rsid w:val="00005B49"/>
    <w:pPr>
      <w:numPr>
        <w:ilvl w:val="6"/>
      </w:numPr>
    </w:pPr>
  </w:style>
  <w:style w:type="paragraph" w:customStyle="1" w:styleId="Definition8">
    <w:name w:val="Definition 8"/>
    <w:basedOn w:val="Definition7"/>
    <w:uiPriority w:val="3"/>
    <w:semiHidden/>
    <w:unhideWhenUsed/>
    <w:rsid w:val="00005B49"/>
    <w:pPr>
      <w:numPr>
        <w:ilvl w:val="7"/>
      </w:numPr>
    </w:pPr>
  </w:style>
  <w:style w:type="paragraph" w:customStyle="1" w:styleId="Definition9">
    <w:name w:val="Definition 9"/>
    <w:basedOn w:val="Definition8"/>
    <w:uiPriority w:val="3"/>
    <w:semiHidden/>
    <w:unhideWhenUsed/>
    <w:rsid w:val="00005B49"/>
    <w:pPr>
      <w:numPr>
        <w:ilvl w:val="8"/>
      </w:numPr>
    </w:pPr>
  </w:style>
  <w:style w:type="paragraph" w:styleId="slovanseznam">
    <w:name w:val="List Number"/>
    <w:basedOn w:val="Normln"/>
    <w:uiPriority w:val="24"/>
    <w:qFormat/>
    <w:rsid w:val="00005B49"/>
    <w:pPr>
      <w:widowControl/>
      <w:numPr>
        <w:numId w:val="9"/>
      </w:numPr>
      <w:autoSpaceDE/>
      <w:autoSpaceDN/>
      <w:adjustRightInd/>
      <w:jc w:val="both"/>
    </w:pPr>
    <w:rPr>
      <w:rFonts w:ascii="Arial" w:hAnsi="Arial"/>
      <w:sz w:val="20"/>
      <w:lang w:eastAsia="en-US"/>
    </w:rPr>
  </w:style>
  <w:style w:type="paragraph" w:styleId="slovanseznam2">
    <w:name w:val="List Number 2"/>
    <w:basedOn w:val="Normln"/>
    <w:uiPriority w:val="24"/>
    <w:unhideWhenUsed/>
    <w:rsid w:val="00005B49"/>
    <w:pPr>
      <w:widowControl/>
      <w:numPr>
        <w:ilvl w:val="1"/>
        <w:numId w:val="9"/>
      </w:numPr>
      <w:tabs>
        <w:tab w:val="clear" w:pos="9900"/>
        <w:tab w:val="num" w:pos="2160"/>
      </w:tabs>
      <w:autoSpaceDE/>
      <w:autoSpaceDN/>
      <w:adjustRightInd/>
      <w:ind w:left="2160"/>
      <w:jc w:val="both"/>
    </w:pPr>
    <w:rPr>
      <w:rFonts w:ascii="Arial" w:hAnsi="Arial"/>
      <w:sz w:val="20"/>
      <w:lang w:eastAsia="en-US"/>
    </w:rPr>
  </w:style>
  <w:style w:type="paragraph" w:styleId="slovanseznam3">
    <w:name w:val="List Number 3"/>
    <w:basedOn w:val="Normln"/>
    <w:uiPriority w:val="24"/>
    <w:unhideWhenUsed/>
    <w:rsid w:val="00005B49"/>
    <w:pPr>
      <w:widowControl/>
      <w:numPr>
        <w:ilvl w:val="2"/>
        <w:numId w:val="9"/>
      </w:numPr>
      <w:autoSpaceDE/>
      <w:autoSpaceDN/>
      <w:adjustRightInd/>
      <w:spacing w:after="240"/>
      <w:contextualSpacing/>
      <w:jc w:val="both"/>
    </w:pPr>
    <w:rPr>
      <w:rFonts w:ascii="Arial" w:hAnsi="Arial"/>
      <w:sz w:val="20"/>
      <w:lang w:eastAsia="en-US"/>
    </w:rPr>
  </w:style>
  <w:style w:type="paragraph" w:styleId="slovanseznam4">
    <w:name w:val="List Number 4"/>
    <w:basedOn w:val="Normln"/>
    <w:unhideWhenUsed/>
    <w:rsid w:val="00005B49"/>
    <w:pPr>
      <w:widowControl/>
      <w:numPr>
        <w:ilvl w:val="3"/>
        <w:numId w:val="9"/>
      </w:numPr>
      <w:autoSpaceDE/>
      <w:autoSpaceDN/>
      <w:adjustRightInd/>
      <w:spacing w:after="240"/>
      <w:jc w:val="both"/>
    </w:pPr>
    <w:rPr>
      <w:rFonts w:ascii="Arial" w:hAnsi="Arial"/>
      <w:sz w:val="20"/>
      <w:lang w:eastAsia="en-US"/>
    </w:rPr>
  </w:style>
  <w:style w:type="paragraph" w:styleId="slovanseznam5">
    <w:name w:val="List Number 5"/>
    <w:basedOn w:val="Normln"/>
    <w:uiPriority w:val="24"/>
    <w:unhideWhenUsed/>
    <w:rsid w:val="00005B49"/>
    <w:pPr>
      <w:widowControl/>
      <w:numPr>
        <w:ilvl w:val="4"/>
        <w:numId w:val="9"/>
      </w:numPr>
      <w:autoSpaceDE/>
      <w:autoSpaceDN/>
      <w:adjustRightInd/>
      <w:spacing w:after="240"/>
      <w:jc w:val="both"/>
    </w:pPr>
    <w:rPr>
      <w:rFonts w:ascii="Arial" w:hAnsi="Arial"/>
      <w:sz w:val="20"/>
      <w:lang w:eastAsia="en-US"/>
    </w:rPr>
  </w:style>
  <w:style w:type="paragraph" w:customStyle="1" w:styleId="BodyText2">
    <w:name w:val="BodyText 2"/>
    <w:basedOn w:val="Normln"/>
    <w:uiPriority w:val="1"/>
    <w:qFormat/>
    <w:rsid w:val="00005B49"/>
    <w:pPr>
      <w:widowControl/>
      <w:autoSpaceDE/>
      <w:autoSpaceDN/>
      <w:adjustRightInd/>
      <w:spacing w:after="240"/>
      <w:ind w:left="720"/>
      <w:jc w:val="both"/>
    </w:pPr>
    <w:rPr>
      <w:rFonts w:ascii="Arial" w:eastAsia="Calibri" w:hAnsi="Arial" w:cs="Arial"/>
      <w:sz w:val="20"/>
      <w:szCs w:val="20"/>
      <w:lang w:eastAsia="en-US"/>
    </w:rPr>
  </w:style>
  <w:style w:type="table" w:customStyle="1" w:styleId="TableGrid2">
    <w:name w:val="Table Grid2"/>
    <w:basedOn w:val="Normlntabulka"/>
    <w:next w:val="Mkatabulky"/>
    <w:uiPriority w:val="39"/>
    <w:rsid w:val="0000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tabulka"/>
    <w:next w:val="Mkatabulky"/>
    <w:uiPriority w:val="39"/>
    <w:rsid w:val="0000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005B49"/>
    <w:pPr>
      <w:keepNext w:val="0"/>
      <w:keepLines w:val="0"/>
      <w:widowControl/>
      <w:tabs>
        <w:tab w:val="left" w:pos="630"/>
      </w:tabs>
      <w:autoSpaceDE/>
      <w:autoSpaceDN/>
      <w:adjustRightInd/>
      <w:spacing w:line="259" w:lineRule="auto"/>
      <w:ind w:right="-20"/>
      <w:outlineLvl w:val="9"/>
    </w:pPr>
    <w:rPr>
      <w:b/>
      <w:bCs/>
      <w:caps/>
      <w:lang w:eastAsia="en-US"/>
    </w:rPr>
  </w:style>
  <w:style w:type="character" w:customStyle="1" w:styleId="UnresolvedMention1">
    <w:name w:val="Unresolved Mention1"/>
    <w:basedOn w:val="Standardnpsmoodstavce"/>
    <w:uiPriority w:val="99"/>
    <w:semiHidden/>
    <w:unhideWhenUsed/>
    <w:rsid w:val="000B393B"/>
    <w:rPr>
      <w:color w:val="605E5C"/>
      <w:shd w:val="clear" w:color="auto" w:fill="E1DFDD"/>
    </w:rPr>
  </w:style>
  <w:style w:type="paragraph" w:styleId="Seznamsodrkami">
    <w:name w:val="List Bullet"/>
    <w:basedOn w:val="Normln"/>
    <w:autoRedefine/>
    <w:rsid w:val="001F6AA8"/>
    <w:pPr>
      <w:widowControl/>
      <w:numPr>
        <w:numId w:val="15"/>
      </w:numPr>
      <w:autoSpaceDE/>
      <w:autoSpaceDN/>
      <w:adjustRightInd/>
      <w:spacing w:after="240"/>
      <w:jc w:val="both"/>
    </w:pPr>
    <w:rPr>
      <w:rFonts w:ascii="Tahoma" w:hAnsi="Tahoma"/>
      <w:sz w:val="22"/>
      <w:szCs w:val="20"/>
      <w:lang w:eastAsia="en-US"/>
    </w:rPr>
  </w:style>
  <w:style w:type="paragraph" w:customStyle="1" w:styleId="TableofWHATEVER">
    <w:name w:val="Table of WHATEVER"/>
    <w:basedOn w:val="Normln"/>
    <w:rsid w:val="001F6AA8"/>
    <w:pPr>
      <w:widowControl/>
      <w:autoSpaceDE/>
      <w:autoSpaceDN/>
      <w:adjustRightInd/>
      <w:spacing w:before="480" w:after="240"/>
      <w:jc w:val="center"/>
    </w:pPr>
    <w:rPr>
      <w:rFonts w:ascii="Tahoma" w:hAnsi="Tahoma"/>
      <w:b/>
      <w:sz w:val="22"/>
      <w:szCs w:val="20"/>
      <w:u w:val="single"/>
      <w:lang w:eastAsia="en-US"/>
    </w:rPr>
  </w:style>
  <w:style w:type="paragraph" w:customStyle="1" w:styleId="boxesBOLDCENTRE">
    <w:name w:val="boxes BOLD CENTRE"/>
    <w:basedOn w:val="boxesBOLD"/>
    <w:rsid w:val="001F6AA8"/>
    <w:pPr>
      <w:jc w:val="center"/>
    </w:pPr>
  </w:style>
  <w:style w:type="paragraph" w:customStyle="1" w:styleId="boxesBOLD">
    <w:name w:val="boxes BOLD"/>
    <w:basedOn w:val="boxes"/>
    <w:rsid w:val="001F6AA8"/>
    <w:rPr>
      <w:b/>
    </w:rPr>
  </w:style>
  <w:style w:type="paragraph" w:customStyle="1" w:styleId="boxes">
    <w:name w:val="boxes"/>
    <w:basedOn w:val="Normln"/>
    <w:rsid w:val="001F6AA8"/>
    <w:pPr>
      <w:keepNext/>
      <w:widowControl/>
      <w:autoSpaceDE/>
      <w:autoSpaceDN/>
      <w:adjustRightInd/>
      <w:jc w:val="both"/>
    </w:pPr>
    <w:rPr>
      <w:rFonts w:ascii="Tahoma" w:hAnsi="Tahoma"/>
      <w:sz w:val="22"/>
      <w:szCs w:val="20"/>
      <w:lang w:eastAsia="en-US"/>
    </w:rPr>
  </w:style>
  <w:style w:type="paragraph" w:customStyle="1" w:styleId="DefaultText">
    <w:name w:val="Default Text"/>
    <w:basedOn w:val="Normln"/>
    <w:rsid w:val="001F6AA8"/>
    <w:pPr>
      <w:widowControl/>
      <w:autoSpaceDE/>
      <w:autoSpaceDN/>
      <w:adjustRightInd/>
    </w:pPr>
    <w:rPr>
      <w:szCs w:val="20"/>
      <w:lang w:eastAsia="en-US"/>
    </w:rPr>
  </w:style>
  <w:style w:type="paragraph" w:customStyle="1" w:styleId="Text">
    <w:name w:val="Text"/>
    <w:basedOn w:val="Normln"/>
    <w:rsid w:val="001F6AA8"/>
    <w:pPr>
      <w:autoSpaceDE/>
      <w:autoSpaceDN/>
      <w:spacing w:after="240" w:line="312" w:lineRule="atLeast"/>
      <w:jc w:val="both"/>
      <w:textAlignment w:val="baseline"/>
    </w:pPr>
    <w:rPr>
      <w:szCs w:val="20"/>
      <w:lang w:eastAsia="en-GB"/>
    </w:rPr>
  </w:style>
  <w:style w:type="paragraph" w:customStyle="1" w:styleId="Default">
    <w:name w:val="Default"/>
    <w:rsid w:val="001F6AA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ezmezerChar">
    <w:name w:val="Bez mezer Char"/>
    <w:basedOn w:val="Standardnpsmoodstavce"/>
    <w:link w:val="Bezmezer"/>
    <w:uiPriority w:val="1"/>
    <w:rsid w:val="001F6AA8"/>
    <w:rPr>
      <w:rFonts w:ascii="Geneva" w:eastAsia="Times New Roman" w:hAnsi="Geneva" w:cs="Times New Roman"/>
      <w:sz w:val="24"/>
      <w:szCs w:val="20"/>
    </w:rPr>
  </w:style>
  <w:style w:type="character" w:customStyle="1" w:styleId="Nevyeenzmnka1">
    <w:name w:val="Nevyřešená zmínka1"/>
    <w:basedOn w:val="Standardnpsmoodstavce"/>
    <w:uiPriority w:val="99"/>
    <w:semiHidden/>
    <w:unhideWhenUsed/>
    <w:rsid w:val="00A820CA"/>
    <w:rPr>
      <w:color w:val="605E5C"/>
      <w:shd w:val="clear" w:color="auto" w:fill="E1DFDD"/>
    </w:rPr>
  </w:style>
  <w:style w:type="paragraph" w:customStyle="1" w:styleId="Clanek11">
    <w:name w:val="Clanek 1.1"/>
    <w:basedOn w:val="Nadpis2"/>
    <w:link w:val="Clanek11Char"/>
    <w:qFormat/>
    <w:rsid w:val="00EE06D1"/>
    <w:pPr>
      <w:keepNext w:val="0"/>
      <w:keepLines w:val="0"/>
      <w:tabs>
        <w:tab w:val="num" w:pos="567"/>
      </w:tabs>
      <w:autoSpaceDE/>
      <w:autoSpaceDN/>
      <w:adjustRightInd/>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E06D1"/>
    <w:pPr>
      <w:keepLines/>
      <w:tabs>
        <w:tab w:val="num" w:pos="992"/>
      </w:tabs>
      <w:autoSpaceDE/>
      <w:autoSpaceDN/>
      <w:adjustRightInd/>
      <w:spacing w:before="120" w:after="120"/>
      <w:ind w:left="992" w:hanging="425"/>
      <w:jc w:val="both"/>
    </w:pPr>
    <w:rPr>
      <w:sz w:val="22"/>
      <w:lang w:eastAsia="en-US"/>
    </w:rPr>
  </w:style>
  <w:style w:type="paragraph" w:customStyle="1" w:styleId="Claneki">
    <w:name w:val="Clanek (i)"/>
    <w:basedOn w:val="Normln"/>
    <w:qFormat/>
    <w:rsid w:val="00EE06D1"/>
    <w:pPr>
      <w:keepNext/>
      <w:widowControl/>
      <w:tabs>
        <w:tab w:val="num" w:pos="1418"/>
      </w:tabs>
      <w:autoSpaceDE/>
      <w:autoSpaceDN/>
      <w:adjustRightInd/>
      <w:spacing w:before="120" w:after="120"/>
      <w:ind w:left="1418" w:hanging="426"/>
      <w:jc w:val="both"/>
    </w:pPr>
    <w:rPr>
      <w:color w:val="000000"/>
      <w:sz w:val="22"/>
      <w:lang w:eastAsia="en-US"/>
    </w:rPr>
  </w:style>
  <w:style w:type="character" w:customStyle="1" w:styleId="Clanek11Char">
    <w:name w:val="Clanek 1.1 Char"/>
    <w:link w:val="Clanek11"/>
    <w:locked/>
    <w:rsid w:val="00EE06D1"/>
    <w:rPr>
      <w:rFonts w:ascii="Times New Roman" w:eastAsia="Times New Roman" w:hAnsi="Times New Roman" w:cs="Arial"/>
      <w:bCs/>
      <w:iCs/>
      <w:szCs w:val="28"/>
      <w:lang w:val="cs-CZ"/>
    </w:rPr>
  </w:style>
  <w:style w:type="character" w:styleId="Sledovanodkaz">
    <w:name w:val="FollowedHyperlink"/>
    <w:basedOn w:val="Standardnpsmoodstavce"/>
    <w:uiPriority w:val="99"/>
    <w:semiHidden/>
    <w:unhideWhenUsed/>
    <w:rsid w:val="00BA6442"/>
    <w:rPr>
      <w:color w:val="954F72" w:themeColor="followedHyperlink"/>
      <w:u w:val="single"/>
    </w:rPr>
  </w:style>
  <w:style w:type="paragraph" w:styleId="Normlnweb">
    <w:name w:val="Normal (Web)"/>
    <w:basedOn w:val="Normln"/>
    <w:uiPriority w:val="99"/>
    <w:semiHidden/>
    <w:unhideWhenUsed/>
    <w:rsid w:val="00CB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11072">
      <w:bodyDiv w:val="1"/>
      <w:marLeft w:val="0"/>
      <w:marRight w:val="0"/>
      <w:marTop w:val="0"/>
      <w:marBottom w:val="0"/>
      <w:divBdr>
        <w:top w:val="none" w:sz="0" w:space="0" w:color="auto"/>
        <w:left w:val="none" w:sz="0" w:space="0" w:color="auto"/>
        <w:bottom w:val="none" w:sz="0" w:space="0" w:color="auto"/>
        <w:right w:val="none" w:sz="0" w:space="0" w:color="auto"/>
      </w:divBdr>
    </w:div>
    <w:div w:id="1330324303">
      <w:bodyDiv w:val="1"/>
      <w:marLeft w:val="0"/>
      <w:marRight w:val="0"/>
      <w:marTop w:val="0"/>
      <w:marBottom w:val="0"/>
      <w:divBdr>
        <w:top w:val="none" w:sz="0" w:space="0" w:color="auto"/>
        <w:left w:val="none" w:sz="0" w:space="0" w:color="auto"/>
        <w:bottom w:val="none" w:sz="0" w:space="0" w:color="auto"/>
        <w:right w:val="none" w:sz="0" w:space="0" w:color="auto"/>
      </w:divBdr>
    </w:div>
    <w:div w:id="17872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lobalbmsmedinfo.com" TargetMode="External"/><Relationship Id="rId17" Type="http://schemas.openxmlformats.org/officeDocument/2006/relationships/hyperlink" Target="mailto:eudpo@bms.com"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ms.com/CZ/privacy-policy.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ms.com/CZ/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D2D89B501914CA9710969D31622B3" ma:contentTypeVersion="10" ma:contentTypeDescription="Create a new document." ma:contentTypeScope="" ma:versionID="8ff54aaa57326adc273aa4657ce62305">
  <xsd:schema xmlns:xsd="http://www.w3.org/2001/XMLSchema" xmlns:xs="http://www.w3.org/2001/XMLSchema" xmlns:p="http://schemas.microsoft.com/office/2006/metadata/properties" xmlns:ns3="df6257f0-f25f-4416-9a27-f04b3751194b" targetNamespace="http://schemas.microsoft.com/office/2006/metadata/properties" ma:root="true" ma:fieldsID="8663d5dfcc30e9ccd35bf2951f4a45f8" ns3:_="">
    <xsd:import namespace="df6257f0-f25f-4416-9a27-f04b375119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257f0-f25f-4416-9a27-f04b37511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ustomdocument xmlns="http://hoganlovells.com/word2010/custom">
  <fields>
    <field id="Author" dmfield="AUTHOR_ID" type="string">1084411</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522959</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522959</field>
    <field id="FirstPageHeaded" dmfield="" type="">False</field>
    <field id="ContPage" dmfield="" type="">False</field>
    <field id="DraftSpacing" dmfield="" type="">False</field>
    <field id="DocID" dmfield="" type="">BRULIB01/1084411/522959.1</field>
    <field id="FirmName" dmfield="" type="">Hogan Lovells</field>
  </fields>
</custom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B3BDC-6F3F-4B57-9B24-46D3CAE13B66}">
  <ds:schemaRefs>
    <ds:schemaRef ds:uri="http://schemas.microsoft.com/sharepoint/v3/contenttype/forms"/>
  </ds:schemaRefs>
</ds:datastoreItem>
</file>

<file path=customXml/itemProps2.xml><?xml version="1.0" encoding="utf-8"?>
<ds:datastoreItem xmlns:ds="http://schemas.openxmlformats.org/officeDocument/2006/customXml" ds:itemID="{0D18BCA6-0315-4702-A6FB-481A4F1CB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257f0-f25f-4416-9a27-f04b37511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123BA-5C63-42C9-8CAB-780FFA653E45}">
  <ds:schemaRefs>
    <ds:schemaRef ds:uri="http://schemas.openxmlformats.org/officeDocument/2006/bibliography"/>
  </ds:schemaRefs>
</ds:datastoreItem>
</file>

<file path=customXml/itemProps4.xml><?xml version="1.0" encoding="utf-8"?>
<ds:datastoreItem xmlns:ds="http://schemas.openxmlformats.org/officeDocument/2006/customXml" ds:itemID="{4D0ED92E-38E4-4E70-BFD7-50A8E5887DA7}">
  <ds:schemaRefs>
    <ds:schemaRef ds:uri="http://hoganlovells.com/word2010/custom"/>
  </ds:schemaRefs>
</ds:datastoreItem>
</file>

<file path=customXml/itemProps5.xml><?xml version="1.0" encoding="utf-8"?>
<ds:datastoreItem xmlns:ds="http://schemas.openxmlformats.org/officeDocument/2006/customXml" ds:itemID="{4EFEE7FF-E190-471C-BA3F-C2F7A801E0C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19</TotalTime>
  <Pages>69</Pages>
  <Words>24907</Words>
  <Characters>146956</Characters>
  <Application>Microsoft Office Word</Application>
  <DocSecurity>0</DocSecurity>
  <Lines>1224</Lines>
  <Paragraphs>343</Paragraphs>
  <ScaleCrop>false</ScaleCrop>
  <HeadingPairs>
    <vt:vector size="8" baseType="variant">
      <vt:variant>
        <vt:lpstr>Title</vt:lpstr>
      </vt:variant>
      <vt:variant>
        <vt:i4>1</vt:i4>
      </vt:variant>
      <vt:variant>
        <vt:lpstr>Titre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171520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Zvonicek, Vilem</dc:creator>
  <cp:lastModifiedBy>Prihoda Filip</cp:lastModifiedBy>
  <cp:revision>3</cp:revision>
  <cp:lastPrinted>2025-12-17T10:10:00Z</cp:lastPrinted>
  <dcterms:created xsi:type="dcterms:W3CDTF">2026-01-02T09:43:00Z</dcterms:created>
  <dcterms:modified xsi:type="dcterms:W3CDTF">2026-01-21T11:33:00Z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0x0101009ABD2D89B501914CA9710969D31622B3</vt:lpwstr>
  </property>
  <property fmtid="{D5CDD505-2E9C-101B-9397-08002B2CF9AE}" pid="3" name="eDOCS AutoSave">
    <vt:lpwstr>20200414203234207</vt:lpwstr>
  </property>
</Properties>
</file>