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bookmarkStart w:id="0" w:name="isPasted"/>
      <w:bookmarkEnd w:id="0"/>
      <w:r>
        <w:rPr>
          <w:rFonts w:ascii="Calibri;sans-serif" w:hAnsi="Calibri;sans-serif"/>
          <w:sz w:val="22"/>
        </w:rPr>
        <w:t>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Nemocniční lékárna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Husova 2624, 580 22 Havlíčkův Brod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IČO: 00179540, DIČ: CZ00179540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Číslo účtu: KB 17938521/0100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strike w:val="false"/>
            <w:dstrike w:val="false"/>
            <w:color w:val="0086E6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Havlíčkův Brod, 12. ledna 2026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Dodavatel:</w:t>
      </w:r>
    </w:p>
    <w:p>
      <w:pPr>
        <w:pStyle w:val="BodyText"/>
        <w:bidi w:val="0"/>
        <w:spacing w:before="0" w:after="12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sz w:val="22"/>
        </w:rPr>
        <w:t>Takeda Pharmaceutikals Czech Republic s.r.o.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sz w:val="22"/>
        </w:rPr>
        <w:t>Škrétova 490/12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sz w:val="22"/>
        </w:rPr>
        <w:t>120 00 Praha 2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sz w:val="22"/>
        </w:rPr>
        <w:t>720 833 957, 739 592 132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sz w:val="22"/>
        </w:rPr>
        <w:br/>
        <w:t> </w:t>
      </w:r>
      <w:r>
        <w:rPr>
          <w:rStyle w:val="Strong"/>
          <w:rFonts w:ascii="Calibri;sans-serif" w:hAnsi="Calibri;sans-serif"/>
          <w:b w:val="false"/>
          <w:sz w:val="22"/>
        </w:rPr>
        <w:t>Zákaznické číslo pro veřejnou část 447446_ 447447.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Objednávka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serif" w:hAnsi="Times New Roman;serif"/>
          <w:sz w:val="24"/>
        </w:rPr>
      </w:pPr>
      <w:r>
        <w:rPr>
          <w:rFonts w:ascii="Times New Roman;serif" w:hAnsi="Times New Roman;serif"/>
          <w:sz w:val="24"/>
        </w:rPr>
        <w:t>ENTYVIO 300MG INF PLV CSL 1 GAS TAKEDA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</w:r>
    </w:p>
    <w:p>
      <w:pPr>
        <w:pStyle w:val="BodyText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Times New Roman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66</Words>
  <Characters>413</Characters>
  <CharactersWithSpaces>471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2026-01-20T13:52:00Z</dcterms:created>
  <dc:creator/>
  <dc:description/>
  <dc:language>cs-CZ</dc:language>
  <cp:lastModifiedBy/>
  <dcterms:modified xsi:type="dcterms:W3CDTF">2026-01-20T13:53:49Z</dcterms:modified>
  <cp:revision>1</cp:revision>
  <dc:subject/>
  <dc:title/>
</cp:coreProperties>
</file>