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  <w:bookmarkEnd w:id="0"/>
      <w:bookmarkEnd w:id="1"/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č. 732/2022 o výkonu činnosti koordinátora BOZP</w:t>
        <w:br/>
        <w:t>při realizaci stavby</w:t>
      </w:r>
      <w:bookmarkEnd w:id="3"/>
      <w:bookmarkEnd w:id="4"/>
      <w:bookmarkEnd w:id="5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„RH Přísečnice - rekonstrukce zásobení vodou“ a „RH Přísečnice –</w:t>
        <w:br/>
        <w:t>MVE“</w:t>
      </w:r>
      <w:bookmarkEnd w:id="6"/>
      <w:bookmarkEnd w:id="7"/>
      <w:bookmarkEnd w:id="8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1675" w:left="1351" w:right="1399" w:bottom="1377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Smluvní strany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2" w:after="10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75" w:left="0" w:right="0" w:bottom="13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statutární orgán: zastoupený ve věcech smluvních: zástupce ve věcech technických technický dozor investora: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75" w:left="1509" w:right="2632" w:bottom="1377" w:header="0" w:footer="3" w:gutter="0"/>
          <w:cols w:num="2" w:space="75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widowControl w:val="0"/>
        <w:spacing w:line="127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0" w:left="0" w:right="0" w:bottom="1377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70889988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438" w:val="left"/>
        </w:tabs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CZ70889988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bankovní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zapsán v obchodním rejstříku u Krajského soudu v Ústí nad Labem, oddíl A, vložka 13052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objednatel)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Zdeňka Janoščíková</w:t>
      </w:r>
      <w:bookmarkEnd w:id="10"/>
      <w:bookmarkEnd w:id="11"/>
      <w:bookmarkEnd w:id="9"/>
    </w:p>
    <w:p>
      <w:pPr>
        <w:pStyle w:val="Style11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Stromovka 4709, 430 01 Chomutov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 BOZP na staveništi:</w:t>
        <w:tab/>
        <w:t>,</w:t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420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13311743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3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držitel živnostenského oprávnění zapsán v ŽR u Magistrátu města Chomutov (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jen koordinátor)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dodatku</w:t>
      </w:r>
      <w:bookmarkEnd w:id="12"/>
      <w:bookmarkEnd w:id="13"/>
      <w:bookmarkEnd w:id="1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tohoto dodatku je změna maximální ceny uvedené v čl. 6. odst. 6.1. smlouvy o</w:t>
        <w:br w:type="pag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výkonu činnosti koordinátora BOZP při realizaci stavby č. 732/2022 z důvodu úpravy délky realizace stavby dle skutečného provedení stavby, a to z původně plánovaných 80 týdnů na plánovaných 92 týdnů, tedy o 12 týdnů. Původní maximální limit ceny ve výši 157 500,- Kč bez DPH je nyní vyčerpán.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157 500,- Kč bez DPH.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Maximální cena činí: 179 220,- Kč bez DPH.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5" w:name="bookmark15"/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3.</w:t>
      </w:r>
      <w:bookmarkEnd w:id="15"/>
      <w:bookmarkEnd w:id="16"/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17" w:name="bookmark17"/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ujednání</w:t>
      </w:r>
      <w:bookmarkEnd w:id="17"/>
      <w:bookmarkEnd w:id="18"/>
      <w:bookmarkEnd w:id="19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č. 2 je nedílnou součástí smlouvy o výkonu činnosti koordinátora BOZP při realizaci stavby č. 732/2022 ze dne 19.07.2022. Ostatní ustanovení smlouvy se nemění.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dodatku ke smlouvě nenabude později.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dodatku a metadat v registru smluv zajistí Povodí Ohře, státní podnik, který má právo tento dodatek zveřejnit rovněž v pochybnostech o tom, zda tento dodatek zveřejnění podléhá či nikoliv.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0" w:left="1344" w:right="1378" w:bottom="1377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12700</wp:posOffset>
                </wp:positionV>
                <wp:extent cx="944880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488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za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7.200000000000003pt;margin-top:1.pt;width:74.400000000000006pt;height:30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za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za koordinátora</w:t>
      </w:r>
    </w:p>
    <w:p>
      <w:pPr>
        <w:widowControl w:val="0"/>
        <w:spacing w:line="127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0" w:left="0" w:right="0" w:bottom="131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…………………………….. ekonomický ředitel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……………………………….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310" w:left="1351" w:right="2133" w:bottom="1310" w:header="0" w:footer="3" w:gutter="0"/>
          <w:cols w:num="2" w:space="290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koordinátor BOZP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310" w:left="1351" w:right="2133" w:bottom="1310" w:header="0" w:footer="3" w:gutter="0"/>
      <w:cols w:num="2" w:space="2904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3350895</wp:posOffset>
              </wp:positionH>
              <wp:positionV relativeFrom="page">
                <wp:posOffset>10085705</wp:posOffset>
              </wp:positionV>
              <wp:extent cx="902335" cy="17081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02335" cy="1708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Strana </w:t>
                          </w:r>
                          <w:fldSimple w:instr=" PAGE \* MERGEFORMAT "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(celkem 2)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63.85000000000002pt;margin-top:794.14999999999998pt;width:71.049999999999997pt;height:13.4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fldSimple w:instr=" PAGE \* MERGEFORMAT "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(celkem 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5320030</wp:posOffset>
              </wp:positionH>
              <wp:positionV relativeFrom="page">
                <wp:posOffset>426720</wp:posOffset>
              </wp:positionV>
              <wp:extent cx="1359535" cy="15557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5953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Akce č. 502 306 a 502 357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8.90000000000003pt;margin-top:33.600000000000001pt;width:107.05pt;height:12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Akce č. 502 306 a 502 357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5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49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after="12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ZAJIŠTĚNÍ PODMÍNEK PRO REALIZACI STAVBY A BUDOUCÍM MAJEKOPRÁVNÍM VYPOŘÁDÁNÍ</dc:title>
  <dc:subject/>
  <dc:creator>Sykora</dc:creator>
  <cp:keywords/>
</cp:coreProperties>
</file>