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F511" w14:textId="77777777" w:rsidR="00E8465A" w:rsidRPr="000D5097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0D5097">
        <w:rPr>
          <w:rFonts w:ascii="Tahoma" w:hAnsi="Tahoma" w:cs="Tahoma"/>
          <w:sz w:val="18"/>
          <w:szCs w:val="18"/>
        </w:rPr>
        <w:t>K</w:t>
      </w:r>
      <w:r w:rsidR="00E8465A" w:rsidRPr="000D5097">
        <w:rPr>
          <w:rFonts w:ascii="Tahoma" w:hAnsi="Tahoma" w:cs="Tahoma"/>
          <w:sz w:val="18"/>
          <w:szCs w:val="18"/>
        </w:rPr>
        <w:t>upní smlouva</w:t>
      </w:r>
      <w:r w:rsidRPr="000D5097">
        <w:rPr>
          <w:rFonts w:ascii="Tahoma" w:hAnsi="Tahoma" w:cs="Tahoma"/>
          <w:sz w:val="18"/>
          <w:szCs w:val="18"/>
        </w:rPr>
        <w:t xml:space="preserve"> na opakující se plnění</w:t>
      </w:r>
    </w:p>
    <w:p w14:paraId="54A9794C" w14:textId="77777777" w:rsidR="0006748F" w:rsidRPr="000D50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49F36A6" w14:textId="3FC31A61" w:rsidR="00646772" w:rsidRPr="000D5097" w:rsidRDefault="00CE24DA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Granimex CZ s.r.o.</w:t>
      </w:r>
      <w:r w:rsidR="00646772" w:rsidRPr="000D5097">
        <w:rPr>
          <w:rFonts w:ascii="Tahoma" w:hAnsi="Tahoma" w:cs="Tahoma"/>
          <w:b/>
          <w:sz w:val="16"/>
          <w:szCs w:val="16"/>
        </w:rPr>
        <w:tab/>
      </w:r>
      <w:r w:rsidR="00646772" w:rsidRPr="000D5097">
        <w:rPr>
          <w:rFonts w:ascii="Tahoma" w:hAnsi="Tahoma" w:cs="Tahoma"/>
          <w:sz w:val="16"/>
          <w:szCs w:val="16"/>
        </w:rPr>
        <w:tab/>
      </w:r>
      <w:r w:rsidR="00646772" w:rsidRPr="000D5097">
        <w:rPr>
          <w:rFonts w:ascii="Tahoma" w:hAnsi="Tahoma" w:cs="Tahoma"/>
          <w:sz w:val="16"/>
          <w:szCs w:val="16"/>
        </w:rPr>
        <w:tab/>
      </w:r>
    </w:p>
    <w:p w14:paraId="6B003034" w14:textId="64BE454F" w:rsidR="00646772" w:rsidRPr="000D5097" w:rsidRDefault="00A07F17" w:rsidP="00A07F1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zapsána</w:t>
      </w:r>
      <w:r w:rsidR="00B5356B" w:rsidRPr="000D5097">
        <w:rPr>
          <w:rFonts w:ascii="Tahoma" w:hAnsi="Tahoma" w:cs="Tahoma"/>
          <w:sz w:val="16"/>
          <w:szCs w:val="16"/>
        </w:rPr>
        <w:t xml:space="preserve"> </w:t>
      </w:r>
      <w:r w:rsidR="00E63B73" w:rsidRPr="000D5097">
        <w:rPr>
          <w:rFonts w:ascii="Tahoma" w:hAnsi="Tahoma" w:cs="Tahoma"/>
          <w:sz w:val="16"/>
          <w:szCs w:val="16"/>
        </w:rPr>
        <w:t xml:space="preserve">v obchodním rejstříku </w:t>
      </w:r>
      <w:r w:rsidR="006C699D" w:rsidRPr="000D5097">
        <w:rPr>
          <w:rFonts w:ascii="Tahoma" w:hAnsi="Tahoma" w:cs="Tahoma"/>
          <w:sz w:val="16"/>
          <w:szCs w:val="16"/>
        </w:rPr>
        <w:t xml:space="preserve">vedeném </w:t>
      </w:r>
      <w:r w:rsidR="00CE24DA">
        <w:rPr>
          <w:rFonts w:ascii="Tahoma" w:hAnsi="Tahoma" w:cs="Tahoma"/>
          <w:sz w:val="16"/>
          <w:szCs w:val="16"/>
        </w:rPr>
        <w:t xml:space="preserve">Krajským </w:t>
      </w:r>
      <w:r w:rsidR="006C699D" w:rsidRPr="000D5097">
        <w:rPr>
          <w:rFonts w:ascii="Tahoma" w:hAnsi="Tahoma" w:cs="Tahoma"/>
          <w:sz w:val="16"/>
          <w:szCs w:val="16"/>
        </w:rPr>
        <w:t>soudem v</w:t>
      </w:r>
      <w:r w:rsidR="00CE24DA">
        <w:rPr>
          <w:rFonts w:ascii="Tahoma" w:hAnsi="Tahoma" w:cs="Tahoma"/>
          <w:sz w:val="16"/>
          <w:szCs w:val="16"/>
        </w:rPr>
        <w:t> Hradci Králové</w:t>
      </w:r>
      <w:r w:rsidR="00242582" w:rsidRPr="000D5097">
        <w:rPr>
          <w:rFonts w:ascii="Tahoma" w:hAnsi="Tahoma" w:cs="Tahoma"/>
          <w:sz w:val="16"/>
          <w:szCs w:val="16"/>
        </w:rPr>
        <w:t>,</w:t>
      </w:r>
      <w:r w:rsidR="00CE24DA">
        <w:rPr>
          <w:rFonts w:ascii="Tahoma" w:hAnsi="Tahoma" w:cs="Tahoma"/>
          <w:sz w:val="16"/>
          <w:szCs w:val="16"/>
        </w:rPr>
        <w:t xml:space="preserve"> </w:t>
      </w:r>
      <w:r w:rsidR="009522CA">
        <w:rPr>
          <w:rFonts w:ascii="Tahoma" w:hAnsi="Tahoma" w:cs="Tahoma"/>
          <w:sz w:val="16"/>
          <w:szCs w:val="16"/>
        </w:rPr>
        <w:t xml:space="preserve">sp. zn. </w:t>
      </w:r>
      <w:r w:rsidR="00CE24DA">
        <w:rPr>
          <w:rFonts w:ascii="Tahoma" w:hAnsi="Tahoma" w:cs="Tahoma"/>
          <w:sz w:val="16"/>
          <w:szCs w:val="16"/>
        </w:rPr>
        <w:t>C 23109</w:t>
      </w:r>
    </w:p>
    <w:p w14:paraId="01463A0C" w14:textId="223368A3" w:rsidR="00646772" w:rsidRPr="000D5097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se sídlem:</w:t>
      </w:r>
      <w:r w:rsidR="00E63B73" w:rsidRPr="000D5097">
        <w:rPr>
          <w:rFonts w:ascii="Tahoma" w:hAnsi="Tahoma" w:cs="Tahoma"/>
          <w:sz w:val="16"/>
          <w:szCs w:val="16"/>
        </w:rPr>
        <w:tab/>
      </w:r>
      <w:r w:rsidR="00CE24DA">
        <w:rPr>
          <w:rFonts w:ascii="Tahoma" w:hAnsi="Tahoma" w:cs="Tahoma"/>
          <w:sz w:val="16"/>
          <w:szCs w:val="16"/>
        </w:rPr>
        <w:t>Mírovka 131, 580 01 Havlíčkův Brod</w:t>
      </w:r>
    </w:p>
    <w:p w14:paraId="7E2D9B46" w14:textId="1CA44195" w:rsidR="00646772" w:rsidRPr="000D5097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IČ: </w:t>
      </w:r>
      <w:r w:rsidR="00CE24DA">
        <w:rPr>
          <w:rFonts w:ascii="Tahoma" w:hAnsi="Tahoma" w:cs="Tahoma"/>
          <w:sz w:val="16"/>
          <w:szCs w:val="16"/>
        </w:rPr>
        <w:t>27508773</w:t>
      </w:r>
      <w:r w:rsidRPr="000D5097">
        <w:rPr>
          <w:rFonts w:ascii="Tahoma" w:hAnsi="Tahoma" w:cs="Tahoma"/>
          <w:sz w:val="16"/>
          <w:szCs w:val="16"/>
        </w:rPr>
        <w:tab/>
      </w:r>
      <w:r w:rsidR="00646772" w:rsidRPr="000D5097">
        <w:rPr>
          <w:rFonts w:ascii="Tahoma" w:hAnsi="Tahoma" w:cs="Tahoma"/>
          <w:sz w:val="16"/>
          <w:szCs w:val="16"/>
        </w:rPr>
        <w:t xml:space="preserve">DIČ: </w:t>
      </w:r>
      <w:r w:rsidR="00CE24DA">
        <w:rPr>
          <w:rFonts w:ascii="Tahoma" w:hAnsi="Tahoma" w:cs="Tahoma"/>
          <w:sz w:val="16"/>
          <w:szCs w:val="16"/>
        </w:rPr>
        <w:t>CZ27508773</w:t>
      </w:r>
    </w:p>
    <w:p w14:paraId="36AAC01F" w14:textId="33E81633" w:rsidR="00646772" w:rsidRPr="000D5097" w:rsidRDefault="001C5F99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zastoupená</w:t>
      </w:r>
      <w:r w:rsidR="00E63B73" w:rsidRPr="000D5097">
        <w:rPr>
          <w:rFonts w:ascii="Tahoma" w:hAnsi="Tahoma" w:cs="Tahoma"/>
          <w:sz w:val="16"/>
          <w:szCs w:val="16"/>
        </w:rPr>
        <w:t>:</w:t>
      </w:r>
      <w:r w:rsidR="00E63B73" w:rsidRPr="000D5097">
        <w:rPr>
          <w:rFonts w:ascii="Tahoma" w:hAnsi="Tahoma" w:cs="Tahoma"/>
          <w:sz w:val="16"/>
          <w:szCs w:val="16"/>
        </w:rPr>
        <w:tab/>
      </w:r>
      <w:r w:rsidR="00CE24DA">
        <w:rPr>
          <w:rFonts w:ascii="Tahoma" w:hAnsi="Tahoma" w:cs="Tahoma"/>
          <w:sz w:val="16"/>
          <w:szCs w:val="16"/>
        </w:rPr>
        <w:t>Ing. Miroslavem Krpálkem</w:t>
      </w:r>
      <w:r w:rsidR="0072752B">
        <w:rPr>
          <w:rFonts w:ascii="Tahoma" w:hAnsi="Tahoma" w:cs="Tahoma"/>
          <w:sz w:val="16"/>
          <w:szCs w:val="16"/>
        </w:rPr>
        <w:t>, jednatelem</w:t>
      </w:r>
    </w:p>
    <w:p w14:paraId="4F9935A9" w14:textId="09E04ACD" w:rsidR="00646772" w:rsidRPr="000D5097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bankovní spojení:</w:t>
      </w:r>
      <w:r w:rsidRPr="000D5097">
        <w:rPr>
          <w:rFonts w:ascii="Tahoma" w:hAnsi="Tahoma" w:cs="Tahoma"/>
          <w:sz w:val="16"/>
          <w:szCs w:val="16"/>
        </w:rPr>
        <w:tab/>
      </w:r>
      <w:r w:rsidR="00CE24DA">
        <w:rPr>
          <w:rFonts w:ascii="Tahoma" w:hAnsi="Tahoma" w:cs="Tahoma"/>
          <w:sz w:val="16"/>
          <w:szCs w:val="16"/>
        </w:rPr>
        <w:t>ČS a.s. Havlíčkův Brod</w:t>
      </w:r>
    </w:p>
    <w:p w14:paraId="43AC6A6A" w14:textId="5B5591CE" w:rsidR="00646772" w:rsidRPr="000D5097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číslo účtu: </w:t>
      </w:r>
      <w:r w:rsidR="00E63B73" w:rsidRPr="000D5097">
        <w:rPr>
          <w:rFonts w:ascii="Tahoma" w:hAnsi="Tahoma" w:cs="Tahoma"/>
          <w:sz w:val="16"/>
          <w:szCs w:val="16"/>
        </w:rPr>
        <w:tab/>
      </w:r>
      <w:r w:rsidR="00CE24DA">
        <w:rPr>
          <w:rFonts w:ascii="Tahoma" w:hAnsi="Tahoma" w:cs="Tahoma"/>
          <w:sz w:val="16"/>
          <w:szCs w:val="16"/>
        </w:rPr>
        <w:t>1120270309/0800</w:t>
      </w:r>
    </w:p>
    <w:p w14:paraId="487B2C10" w14:textId="77777777" w:rsidR="00646772" w:rsidRPr="000D5097" w:rsidRDefault="00646772" w:rsidP="00646772">
      <w:pPr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jako </w:t>
      </w:r>
      <w:r w:rsidRPr="000D5097">
        <w:rPr>
          <w:rFonts w:ascii="Tahoma" w:hAnsi="Tahoma" w:cs="Tahoma"/>
          <w:b/>
          <w:sz w:val="16"/>
          <w:szCs w:val="16"/>
        </w:rPr>
        <w:t xml:space="preserve">prodávající </w:t>
      </w:r>
      <w:r w:rsidRPr="000D50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38564D8F" w14:textId="77777777" w:rsidR="00477115" w:rsidRPr="000D5097" w:rsidRDefault="00477115" w:rsidP="00646772">
      <w:pPr>
        <w:rPr>
          <w:rFonts w:ascii="Tahoma" w:hAnsi="Tahoma" w:cs="Tahoma"/>
          <w:sz w:val="16"/>
          <w:szCs w:val="16"/>
        </w:rPr>
      </w:pPr>
    </w:p>
    <w:p w14:paraId="61EA486E" w14:textId="77777777" w:rsidR="00E8465A" w:rsidRPr="000D50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a</w:t>
      </w:r>
    </w:p>
    <w:p w14:paraId="73E989DC" w14:textId="77777777" w:rsidR="00477115" w:rsidRPr="000D50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15ABE52" w14:textId="77777777" w:rsidR="00E8465A" w:rsidRPr="000D50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0D50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144444D" w14:textId="77777777" w:rsidR="00E8465A" w:rsidRPr="000D5097" w:rsidRDefault="00E8465A" w:rsidP="00E8465A">
      <w:pPr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se sídlem</w:t>
      </w:r>
      <w:r w:rsidR="00DD2772" w:rsidRPr="000D5097">
        <w:rPr>
          <w:rFonts w:ascii="Tahoma" w:hAnsi="Tahoma" w:cs="Tahoma"/>
          <w:sz w:val="16"/>
          <w:szCs w:val="16"/>
        </w:rPr>
        <w:t>:</w:t>
      </w:r>
      <w:r w:rsidRPr="000D5097">
        <w:rPr>
          <w:rFonts w:ascii="Tahoma" w:hAnsi="Tahoma" w:cs="Tahoma"/>
          <w:sz w:val="16"/>
          <w:szCs w:val="16"/>
        </w:rPr>
        <w:t xml:space="preserve"> </w:t>
      </w:r>
      <w:r w:rsidR="00DD2772" w:rsidRPr="000D5097">
        <w:rPr>
          <w:rFonts w:ascii="Tahoma" w:hAnsi="Tahoma" w:cs="Tahoma"/>
          <w:sz w:val="16"/>
          <w:szCs w:val="16"/>
        </w:rPr>
        <w:t xml:space="preserve">            </w:t>
      </w:r>
      <w:r w:rsidR="00A752E6" w:rsidRPr="000D5097">
        <w:rPr>
          <w:rFonts w:ascii="Tahoma" w:hAnsi="Tahoma" w:cs="Tahoma"/>
          <w:sz w:val="16"/>
          <w:szCs w:val="16"/>
        </w:rPr>
        <w:tab/>
      </w:r>
      <w:r w:rsidRPr="000D5097">
        <w:rPr>
          <w:rFonts w:ascii="Tahoma" w:hAnsi="Tahoma" w:cs="Tahoma"/>
          <w:sz w:val="16"/>
          <w:szCs w:val="16"/>
        </w:rPr>
        <w:t xml:space="preserve">U Nemocnice </w:t>
      </w:r>
      <w:r w:rsidR="00CC263E" w:rsidRPr="000D5097">
        <w:rPr>
          <w:rFonts w:ascii="Tahoma" w:hAnsi="Tahoma" w:cs="Tahoma"/>
          <w:sz w:val="16"/>
          <w:szCs w:val="16"/>
        </w:rPr>
        <w:t>499/</w:t>
      </w:r>
      <w:r w:rsidRPr="000D5097">
        <w:rPr>
          <w:rFonts w:ascii="Tahoma" w:hAnsi="Tahoma" w:cs="Tahoma"/>
          <w:sz w:val="16"/>
          <w:szCs w:val="16"/>
        </w:rPr>
        <w:t xml:space="preserve">2, 128 08 Praha 2 </w:t>
      </w:r>
    </w:p>
    <w:p w14:paraId="62FD291E" w14:textId="77777777" w:rsidR="00E8465A" w:rsidRPr="000D5097" w:rsidRDefault="00E8465A" w:rsidP="00E8465A">
      <w:pPr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IČ: 000</w:t>
      </w:r>
      <w:r w:rsidR="00885CE5" w:rsidRPr="000D5097">
        <w:rPr>
          <w:rFonts w:ascii="Tahoma" w:hAnsi="Tahoma" w:cs="Tahoma"/>
          <w:sz w:val="16"/>
          <w:szCs w:val="16"/>
        </w:rPr>
        <w:t xml:space="preserve"> </w:t>
      </w:r>
      <w:r w:rsidRPr="000D5097">
        <w:rPr>
          <w:rFonts w:ascii="Tahoma" w:hAnsi="Tahoma" w:cs="Tahoma"/>
          <w:sz w:val="16"/>
          <w:szCs w:val="16"/>
        </w:rPr>
        <w:t>64</w:t>
      </w:r>
      <w:r w:rsidR="00885CE5" w:rsidRPr="000D5097">
        <w:rPr>
          <w:rFonts w:ascii="Tahoma" w:hAnsi="Tahoma" w:cs="Tahoma"/>
          <w:sz w:val="16"/>
          <w:szCs w:val="16"/>
        </w:rPr>
        <w:t> </w:t>
      </w:r>
      <w:r w:rsidRPr="000D5097">
        <w:rPr>
          <w:rFonts w:ascii="Tahoma" w:hAnsi="Tahoma" w:cs="Tahoma"/>
          <w:sz w:val="16"/>
          <w:szCs w:val="16"/>
        </w:rPr>
        <w:t>165</w:t>
      </w:r>
      <w:r w:rsidR="00885CE5" w:rsidRPr="000D5097">
        <w:rPr>
          <w:rFonts w:ascii="Tahoma" w:hAnsi="Tahoma" w:cs="Tahoma"/>
          <w:sz w:val="16"/>
          <w:szCs w:val="16"/>
        </w:rPr>
        <w:t xml:space="preserve">      </w:t>
      </w:r>
      <w:r w:rsidR="00A752E6" w:rsidRPr="000D5097">
        <w:rPr>
          <w:rFonts w:ascii="Tahoma" w:hAnsi="Tahoma" w:cs="Tahoma"/>
          <w:sz w:val="16"/>
          <w:szCs w:val="16"/>
        </w:rPr>
        <w:tab/>
      </w:r>
      <w:r w:rsidRPr="000D5097">
        <w:rPr>
          <w:rFonts w:ascii="Tahoma" w:hAnsi="Tahoma" w:cs="Tahoma"/>
          <w:sz w:val="16"/>
          <w:szCs w:val="16"/>
        </w:rPr>
        <w:t>DIČ:</w:t>
      </w:r>
      <w:r w:rsidR="0009067B" w:rsidRPr="000D5097">
        <w:rPr>
          <w:rFonts w:ascii="Tahoma" w:hAnsi="Tahoma" w:cs="Tahoma"/>
          <w:sz w:val="16"/>
          <w:szCs w:val="16"/>
        </w:rPr>
        <w:t xml:space="preserve"> </w:t>
      </w:r>
      <w:r w:rsidRPr="000D5097">
        <w:rPr>
          <w:rFonts w:ascii="Tahoma" w:hAnsi="Tahoma" w:cs="Tahoma"/>
          <w:sz w:val="16"/>
          <w:szCs w:val="16"/>
        </w:rPr>
        <w:t>CZ00064165</w:t>
      </w:r>
    </w:p>
    <w:p w14:paraId="251F5A83" w14:textId="77777777" w:rsidR="00E8465A" w:rsidRPr="000D5097" w:rsidRDefault="001C5F99" w:rsidP="00E8465A">
      <w:pPr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zastoupená</w:t>
      </w:r>
      <w:r w:rsidR="00E8465A" w:rsidRPr="000D5097">
        <w:rPr>
          <w:rFonts w:ascii="Tahoma" w:hAnsi="Tahoma" w:cs="Tahoma"/>
          <w:sz w:val="16"/>
          <w:szCs w:val="16"/>
        </w:rPr>
        <w:t xml:space="preserve">: </w:t>
      </w:r>
      <w:r w:rsidR="00DD2772" w:rsidRPr="000D5097">
        <w:rPr>
          <w:rFonts w:ascii="Tahoma" w:hAnsi="Tahoma" w:cs="Tahoma"/>
          <w:sz w:val="16"/>
          <w:szCs w:val="16"/>
        </w:rPr>
        <w:t xml:space="preserve">         </w:t>
      </w:r>
      <w:r w:rsidR="00A752E6" w:rsidRPr="000D5097">
        <w:rPr>
          <w:rFonts w:ascii="Tahoma" w:hAnsi="Tahoma" w:cs="Tahoma"/>
          <w:sz w:val="16"/>
          <w:szCs w:val="16"/>
        </w:rPr>
        <w:tab/>
      </w:r>
      <w:r w:rsidR="00760A12" w:rsidRPr="000D5097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0D5097">
        <w:rPr>
          <w:rFonts w:ascii="Tahoma" w:hAnsi="Tahoma" w:cs="Tahoma"/>
          <w:sz w:val="16"/>
          <w:szCs w:val="16"/>
        </w:rPr>
        <w:t>, ředitelem</w:t>
      </w:r>
      <w:r w:rsidR="00DA5ED4" w:rsidRPr="000D5097">
        <w:rPr>
          <w:rFonts w:ascii="Tahoma" w:hAnsi="Tahoma" w:cs="Tahoma"/>
          <w:sz w:val="16"/>
          <w:szCs w:val="16"/>
        </w:rPr>
        <w:t xml:space="preserve"> </w:t>
      </w:r>
    </w:p>
    <w:p w14:paraId="3EE01BAC" w14:textId="77777777" w:rsidR="00E8465A" w:rsidRPr="000D5097" w:rsidRDefault="00E8465A" w:rsidP="00E8465A">
      <w:pPr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0D5097">
        <w:rPr>
          <w:rFonts w:ascii="Tahoma" w:hAnsi="Tahoma" w:cs="Tahoma"/>
          <w:sz w:val="16"/>
          <w:szCs w:val="16"/>
        </w:rPr>
        <w:t xml:space="preserve"> </w:t>
      </w:r>
      <w:r w:rsidR="00A752E6" w:rsidRPr="000D5097">
        <w:rPr>
          <w:rFonts w:ascii="Tahoma" w:hAnsi="Tahoma" w:cs="Tahoma"/>
          <w:sz w:val="16"/>
          <w:szCs w:val="16"/>
        </w:rPr>
        <w:tab/>
      </w:r>
      <w:r w:rsidR="004541A6" w:rsidRPr="000D5097">
        <w:rPr>
          <w:rFonts w:ascii="Tahoma" w:hAnsi="Tahoma" w:cs="Tahoma"/>
          <w:sz w:val="16"/>
          <w:szCs w:val="16"/>
        </w:rPr>
        <w:t>Česká národní banka</w:t>
      </w:r>
    </w:p>
    <w:p w14:paraId="36926549" w14:textId="77777777" w:rsidR="00E8465A" w:rsidRPr="000D5097" w:rsidRDefault="00E8465A" w:rsidP="00E8465A">
      <w:pPr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0D5097">
        <w:rPr>
          <w:rFonts w:ascii="Tahoma" w:hAnsi="Tahoma" w:cs="Tahoma"/>
          <w:sz w:val="16"/>
          <w:szCs w:val="16"/>
        </w:rPr>
        <w:tab/>
      </w:r>
      <w:r w:rsidR="004541A6" w:rsidRPr="000D5097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29446628" w14:textId="77777777" w:rsidR="00E8465A" w:rsidRPr="000D5097" w:rsidRDefault="00885CE5" w:rsidP="00E8465A">
      <w:pPr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jako </w:t>
      </w:r>
      <w:r w:rsidRPr="000D5097">
        <w:rPr>
          <w:rFonts w:ascii="Tahoma" w:hAnsi="Tahoma" w:cs="Tahoma"/>
          <w:b/>
          <w:sz w:val="16"/>
          <w:szCs w:val="16"/>
        </w:rPr>
        <w:t xml:space="preserve">kupující </w:t>
      </w:r>
      <w:r w:rsidRPr="000D50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0D5097">
        <w:rPr>
          <w:rFonts w:ascii="Tahoma" w:hAnsi="Tahoma" w:cs="Tahoma"/>
          <w:sz w:val="16"/>
          <w:szCs w:val="16"/>
        </w:rPr>
        <w:t xml:space="preserve">(dále jen </w:t>
      </w:r>
      <w:r w:rsidR="004A3CCC" w:rsidRPr="000D5097">
        <w:rPr>
          <w:rFonts w:ascii="Tahoma" w:hAnsi="Tahoma" w:cs="Tahoma"/>
          <w:sz w:val="16"/>
          <w:szCs w:val="16"/>
        </w:rPr>
        <w:t>„</w:t>
      </w:r>
      <w:r w:rsidR="00E8465A" w:rsidRPr="000D5097">
        <w:rPr>
          <w:rFonts w:ascii="Tahoma" w:hAnsi="Tahoma" w:cs="Tahoma"/>
          <w:sz w:val="16"/>
          <w:szCs w:val="16"/>
        </w:rPr>
        <w:t>kupující</w:t>
      </w:r>
      <w:r w:rsidR="00A76D75" w:rsidRPr="000D5097">
        <w:rPr>
          <w:rFonts w:ascii="Tahoma" w:hAnsi="Tahoma" w:cs="Tahoma"/>
          <w:sz w:val="16"/>
          <w:szCs w:val="16"/>
        </w:rPr>
        <w:t>“</w:t>
      </w:r>
      <w:r w:rsidR="00E8465A" w:rsidRPr="000D5097">
        <w:rPr>
          <w:rFonts w:ascii="Tahoma" w:hAnsi="Tahoma" w:cs="Tahoma"/>
          <w:sz w:val="16"/>
          <w:szCs w:val="16"/>
        </w:rPr>
        <w:t>)</w:t>
      </w:r>
    </w:p>
    <w:p w14:paraId="400FCEB1" w14:textId="77777777" w:rsidR="000727C0" w:rsidRPr="000D5097" w:rsidRDefault="000727C0" w:rsidP="00E8465A">
      <w:pPr>
        <w:rPr>
          <w:rFonts w:ascii="Tahoma" w:hAnsi="Tahoma" w:cs="Tahoma"/>
          <w:sz w:val="16"/>
          <w:szCs w:val="16"/>
        </w:rPr>
      </w:pPr>
    </w:p>
    <w:p w14:paraId="3979450D" w14:textId="77777777" w:rsidR="000727C0" w:rsidRPr="000D5097" w:rsidRDefault="000727C0" w:rsidP="00E8465A">
      <w:pPr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(kupující a prodávající dále též společně jako „smluvní strany“)</w:t>
      </w:r>
    </w:p>
    <w:p w14:paraId="7C5ADB03" w14:textId="77777777" w:rsidR="00885CE5" w:rsidRPr="000D5097" w:rsidRDefault="00885CE5" w:rsidP="00E8465A">
      <w:pPr>
        <w:rPr>
          <w:rFonts w:ascii="Tahoma" w:hAnsi="Tahoma" w:cs="Tahoma"/>
          <w:sz w:val="16"/>
          <w:szCs w:val="16"/>
        </w:rPr>
      </w:pPr>
    </w:p>
    <w:p w14:paraId="4C9128CC" w14:textId="3077429D" w:rsidR="006846CA" w:rsidRPr="000D5097" w:rsidRDefault="006846CA" w:rsidP="006846CA">
      <w:pPr>
        <w:jc w:val="both"/>
        <w:rPr>
          <w:rFonts w:ascii="Arial" w:hAnsi="Arial" w:cs="Arial"/>
          <w:sz w:val="16"/>
          <w:szCs w:val="16"/>
        </w:rPr>
      </w:pPr>
      <w:r w:rsidRPr="000D5097">
        <w:rPr>
          <w:rFonts w:ascii="Arial" w:hAnsi="Arial" w:cs="Arial"/>
          <w:color w:val="000000"/>
          <w:sz w:val="16"/>
          <w:szCs w:val="16"/>
        </w:rPr>
        <w:t>uzavírají dnešního dne na základě ustanovení § 1746 odst. 2 a § 2079 a násl. zákona č. 89/2012 Sb., občanského zákoníku, v platném znění (dále též „</w:t>
      </w:r>
      <w:r w:rsidRPr="000D5097">
        <w:rPr>
          <w:rFonts w:ascii="Arial" w:hAnsi="Arial" w:cs="Arial"/>
          <w:sz w:val="16"/>
          <w:szCs w:val="16"/>
        </w:rPr>
        <w:t>z. č. 89/2012 Sb.“)</w:t>
      </w:r>
      <w:r w:rsidRPr="000D5097">
        <w:rPr>
          <w:rFonts w:ascii="Arial" w:hAnsi="Arial" w:cs="Arial"/>
          <w:color w:val="000000"/>
          <w:sz w:val="16"/>
          <w:szCs w:val="16"/>
        </w:rPr>
        <w:t xml:space="preserve"> a v souladu s Výzvou k podání nabídek na veřejnou zakázku DNS PRO PRŮBĚŽNÉ A OPAKOVANÉ NÁKUPY ODPADNÍCH PYTLŮ A SÁČKŮ 1/2025  – Kategorie DNS </w:t>
      </w:r>
      <w:r w:rsidR="004B718B" w:rsidRPr="000D5097">
        <w:rPr>
          <w:rFonts w:ascii="Arial" w:hAnsi="Arial" w:cs="Arial"/>
          <w:color w:val="000000"/>
          <w:sz w:val="16"/>
          <w:szCs w:val="16"/>
        </w:rPr>
        <w:t>2</w:t>
      </w:r>
      <w:r w:rsidRPr="000D5097">
        <w:rPr>
          <w:rFonts w:ascii="Arial" w:hAnsi="Arial" w:cs="Arial"/>
          <w:color w:val="000000"/>
          <w:sz w:val="16"/>
          <w:szCs w:val="16"/>
        </w:rPr>
        <w:t xml:space="preserve"> – Odpadní </w:t>
      </w:r>
      <w:r w:rsidR="004B718B" w:rsidRPr="000D5097">
        <w:rPr>
          <w:rFonts w:ascii="Arial" w:hAnsi="Arial" w:cs="Arial"/>
          <w:color w:val="000000"/>
          <w:sz w:val="16"/>
          <w:szCs w:val="16"/>
        </w:rPr>
        <w:t>sáčky</w:t>
      </w:r>
      <w:r w:rsidRPr="000D5097">
        <w:rPr>
          <w:rFonts w:ascii="Arial" w:hAnsi="Arial" w:cs="Arial"/>
          <w:color w:val="000000"/>
          <w:sz w:val="16"/>
          <w:szCs w:val="16"/>
        </w:rPr>
        <w:t xml:space="preserve">, ID veřejné zakázky na profilu zadavatele: </w:t>
      </w:r>
      <w:r w:rsidR="006D7BC6" w:rsidRPr="006D7BC6">
        <w:rPr>
          <w:rFonts w:ascii="Arial" w:hAnsi="Arial" w:cs="Arial"/>
          <w:color w:val="000000"/>
          <w:sz w:val="16"/>
          <w:szCs w:val="16"/>
        </w:rPr>
        <w:t>VZ0233982</w:t>
      </w:r>
      <w:r w:rsidR="00366655">
        <w:rPr>
          <w:rFonts w:ascii="Arial" w:hAnsi="Arial" w:cs="Arial"/>
          <w:color w:val="000000"/>
          <w:sz w:val="16"/>
          <w:szCs w:val="16"/>
        </w:rPr>
        <w:t xml:space="preserve"> </w:t>
      </w:r>
      <w:r w:rsidRPr="000D5097">
        <w:rPr>
          <w:rFonts w:ascii="Arial" w:hAnsi="Arial" w:cs="Arial"/>
          <w:color w:val="000000"/>
          <w:sz w:val="16"/>
          <w:szCs w:val="16"/>
        </w:rPr>
        <w:t>zadávané v zavedeném DNS (DYNAMICKÝ NÁKUPNÍ SYSTÉM PRO PRŮBĚŽNÉ A OPAKOVANÉ NÁKUPY ODPADNÍCH PYTLŮ A SÁČKŮ, ev. č. VZ na zavedení DNS ve VVZ:</w:t>
      </w:r>
      <w:r w:rsidR="00366655" w:rsidRPr="00366655">
        <w:t xml:space="preserve"> </w:t>
      </w:r>
      <w:r w:rsidR="00366655" w:rsidRPr="00366655">
        <w:rPr>
          <w:rFonts w:ascii="Arial" w:hAnsi="Arial" w:cs="Arial"/>
          <w:color w:val="000000"/>
          <w:sz w:val="16"/>
          <w:szCs w:val="16"/>
        </w:rPr>
        <w:t>Z2022-039288</w:t>
      </w:r>
      <w:r w:rsidRPr="000D5097">
        <w:rPr>
          <w:rFonts w:ascii="Arial" w:hAnsi="Arial" w:cs="Arial"/>
          <w:color w:val="000000"/>
          <w:sz w:val="16"/>
          <w:szCs w:val="16"/>
        </w:rPr>
        <w:t xml:space="preserve">) podle zákona č. 134/2016 Sb. o zadávání veřejných zakázek, v platném znění (dále jen „VZ“ či „ZZVZ“) a nabídkou prodávajícího tuto </w:t>
      </w:r>
    </w:p>
    <w:p w14:paraId="07D5C2A8" w14:textId="77777777" w:rsidR="000727C0" w:rsidRPr="000D5097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2E996885" w14:textId="77777777" w:rsidR="000727C0" w:rsidRPr="000D5097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0D5097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0D5097">
        <w:rPr>
          <w:rFonts w:ascii="Tahoma" w:hAnsi="Tahoma" w:cs="Tahoma"/>
          <w:sz w:val="16"/>
          <w:szCs w:val="16"/>
        </w:rPr>
        <w:t xml:space="preserve"> </w:t>
      </w:r>
    </w:p>
    <w:p w14:paraId="4E4B86B7" w14:textId="77777777" w:rsidR="00DD2772" w:rsidRPr="000D5097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(dále</w:t>
      </w:r>
      <w:r w:rsidR="0089521D" w:rsidRPr="000D5097">
        <w:rPr>
          <w:rFonts w:ascii="Tahoma" w:hAnsi="Tahoma" w:cs="Tahoma"/>
          <w:sz w:val="16"/>
          <w:szCs w:val="16"/>
        </w:rPr>
        <w:t xml:space="preserve"> jen </w:t>
      </w:r>
      <w:r w:rsidR="000727C0" w:rsidRPr="000D5097">
        <w:rPr>
          <w:rFonts w:ascii="Tahoma" w:hAnsi="Tahoma" w:cs="Tahoma"/>
          <w:sz w:val="16"/>
          <w:szCs w:val="16"/>
        </w:rPr>
        <w:t>„</w:t>
      </w:r>
      <w:r w:rsidR="0089521D" w:rsidRPr="000D5097">
        <w:rPr>
          <w:rFonts w:ascii="Tahoma" w:hAnsi="Tahoma" w:cs="Tahoma"/>
          <w:sz w:val="16"/>
          <w:szCs w:val="16"/>
        </w:rPr>
        <w:t>smlouva</w:t>
      </w:r>
      <w:r w:rsidR="000727C0" w:rsidRPr="000D5097">
        <w:rPr>
          <w:rFonts w:ascii="Tahoma" w:hAnsi="Tahoma" w:cs="Tahoma"/>
          <w:sz w:val="16"/>
          <w:szCs w:val="16"/>
        </w:rPr>
        <w:t>“</w:t>
      </w:r>
      <w:r w:rsidRPr="000D5097">
        <w:rPr>
          <w:rFonts w:ascii="Tahoma" w:hAnsi="Tahoma" w:cs="Tahoma"/>
          <w:sz w:val="16"/>
          <w:szCs w:val="16"/>
        </w:rPr>
        <w:t>)</w:t>
      </w:r>
    </w:p>
    <w:p w14:paraId="427BF080" w14:textId="77777777" w:rsidR="00DD2772" w:rsidRPr="000D50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27C6260F" w14:textId="77777777" w:rsidR="00E8465A" w:rsidRPr="000D50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77AED2D4" w14:textId="77777777" w:rsidR="00E8465A" w:rsidRPr="000D5097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0D5097">
        <w:t>Předmět plnění</w:t>
      </w:r>
    </w:p>
    <w:p w14:paraId="4BE119D6" w14:textId="1409412D" w:rsidR="006846CA" w:rsidRPr="000D5097" w:rsidRDefault="006846CA" w:rsidP="006846CA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Předmětem plnění této smlouvy jsou</w:t>
      </w:r>
      <w:r w:rsidRPr="000D5097">
        <w:rPr>
          <w:rFonts w:ascii="Tahoma" w:hAnsi="Tahoma" w:cs="Tahoma"/>
          <w:b/>
          <w:sz w:val="16"/>
          <w:szCs w:val="16"/>
        </w:rPr>
        <w:t xml:space="preserve"> dodávky odpadních </w:t>
      </w:r>
      <w:r w:rsidR="004B718B" w:rsidRPr="000D5097">
        <w:rPr>
          <w:rFonts w:ascii="Tahoma" w:hAnsi="Tahoma" w:cs="Tahoma"/>
          <w:b/>
          <w:sz w:val="16"/>
          <w:szCs w:val="16"/>
        </w:rPr>
        <w:t>sáčků</w:t>
      </w:r>
      <w:r w:rsidRPr="000D5097">
        <w:rPr>
          <w:rFonts w:ascii="Tahoma" w:hAnsi="Tahoma" w:cs="Tahoma"/>
          <w:b/>
          <w:sz w:val="16"/>
          <w:szCs w:val="16"/>
        </w:rPr>
        <w:t xml:space="preserve">  kategorie DNS </w:t>
      </w:r>
      <w:r w:rsidR="004B718B" w:rsidRPr="000D5097">
        <w:rPr>
          <w:rFonts w:ascii="Tahoma" w:hAnsi="Tahoma" w:cs="Tahoma"/>
          <w:b/>
          <w:sz w:val="16"/>
          <w:szCs w:val="16"/>
        </w:rPr>
        <w:t>2</w:t>
      </w:r>
      <w:r w:rsidRPr="000D5097">
        <w:rPr>
          <w:rFonts w:ascii="Tahoma" w:hAnsi="Tahoma" w:cs="Tahoma"/>
          <w:b/>
          <w:sz w:val="16"/>
          <w:szCs w:val="16"/>
        </w:rPr>
        <w:t>,</w:t>
      </w:r>
      <w:r w:rsidRPr="000D5097">
        <w:rPr>
          <w:rFonts w:ascii="Tahoma" w:hAnsi="Tahoma" w:cs="Tahoma"/>
          <w:sz w:val="16"/>
          <w:szCs w:val="16"/>
        </w:rPr>
        <w:t xml:space="preserve"> jejichž specifikace co do druhu a ceny je uvedena v Ceníku zboží dle výsledků veřejné zakázky č.</w:t>
      </w:r>
      <w:r w:rsidR="009F3257" w:rsidRPr="009F3257">
        <w:rPr>
          <w:rFonts w:ascii="Arial" w:hAnsi="Arial" w:cs="Arial"/>
          <w:color w:val="000000"/>
          <w:sz w:val="16"/>
          <w:szCs w:val="16"/>
        </w:rPr>
        <w:t xml:space="preserve"> </w:t>
      </w:r>
      <w:r w:rsidR="009F3257" w:rsidRPr="006D7BC6">
        <w:rPr>
          <w:rFonts w:ascii="Arial" w:hAnsi="Arial" w:cs="Arial"/>
          <w:color w:val="000000"/>
          <w:sz w:val="16"/>
          <w:szCs w:val="16"/>
        </w:rPr>
        <w:t>VZ0233982</w:t>
      </w:r>
      <w:r w:rsidR="00CE24DA">
        <w:rPr>
          <w:rFonts w:ascii="Tahoma" w:hAnsi="Tahoma" w:cs="Tahoma"/>
          <w:sz w:val="16"/>
          <w:szCs w:val="16"/>
        </w:rPr>
        <w:t>,</w:t>
      </w:r>
      <w:r w:rsidRPr="000D5097">
        <w:rPr>
          <w:rFonts w:ascii="Tahoma" w:hAnsi="Tahoma" w:cs="Tahoma"/>
          <w:sz w:val="16"/>
          <w:szCs w:val="16"/>
        </w:rPr>
        <w:t xml:space="preserve"> který tvoří přílohu č. 1 této smlouvy (dále jen „zboží“ nebo „předmět plnění“) dle podmínek sjednaných touto smlouvou a zadávacími podmínkami veřejné zakázky. Zboží bude dodáváno na základě objednávek kupujícího do místa plnění uvedeného v objednávce. </w:t>
      </w:r>
    </w:p>
    <w:p w14:paraId="15A8F8A4" w14:textId="77777777" w:rsidR="006846CA" w:rsidRPr="000D5097" w:rsidRDefault="006846CA" w:rsidP="006846CA">
      <w:pPr>
        <w:numPr>
          <w:ilvl w:val="0"/>
          <w:numId w:val="44"/>
        </w:numPr>
        <w:tabs>
          <w:tab w:val="num" w:pos="4665"/>
        </w:tabs>
        <w:autoSpaceDN w:val="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E577383" w14:textId="77777777" w:rsidR="006846CA" w:rsidRPr="000D5097" w:rsidRDefault="006846CA" w:rsidP="006846CA">
      <w:pPr>
        <w:numPr>
          <w:ilvl w:val="0"/>
          <w:numId w:val="44"/>
        </w:numPr>
        <w:tabs>
          <w:tab w:val="num" w:pos="4665"/>
        </w:tabs>
        <w:autoSpaceDN w:val="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Množství zboží uvedené v zadání veřejné zakázky je množstvím orientačním a není pro kupujícího závazné. Kupující je oprávněn určovat konkrétní množství a dobu vystavení jednotlivých dílčích dodávek podle svých okamžitých, resp. aktuálních potřeb.</w:t>
      </w:r>
    </w:p>
    <w:p w14:paraId="4BFD34D8" w14:textId="77777777" w:rsidR="006846CA" w:rsidRPr="000D5097" w:rsidRDefault="006846CA" w:rsidP="006846CA">
      <w:pPr>
        <w:ind w:left="284" w:hanging="284"/>
      </w:pPr>
    </w:p>
    <w:p w14:paraId="68AD6341" w14:textId="2DC920A4" w:rsidR="00E8465A" w:rsidRPr="000D5097" w:rsidRDefault="00E8465A" w:rsidP="004A26FB">
      <w:pPr>
        <w:pStyle w:val="Nadpis1"/>
        <w:numPr>
          <w:ilvl w:val="0"/>
          <w:numId w:val="41"/>
        </w:numPr>
        <w:jc w:val="center"/>
      </w:pPr>
      <w:bookmarkStart w:id="0" w:name="_Ref166844464"/>
      <w:r w:rsidRPr="000D5097">
        <w:t>Kupní</w:t>
      </w:r>
      <w:r w:rsidR="005C5BA9" w:rsidRPr="000D5097">
        <w:t xml:space="preserve"> cena, platební podmínky</w:t>
      </w:r>
      <w:bookmarkEnd w:id="0"/>
    </w:p>
    <w:p w14:paraId="5EC5ABAC" w14:textId="3A7ABE4D" w:rsidR="001B4D68" w:rsidRPr="000D5097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0D5097">
        <w:rPr>
          <w:rFonts w:ascii="Tahoma" w:hAnsi="Tahoma" w:cs="Tahoma"/>
          <w:sz w:val="16"/>
          <w:szCs w:val="16"/>
        </w:rPr>
        <w:t xml:space="preserve">stanovena výsledkem </w:t>
      </w:r>
      <w:r w:rsidR="006846CA" w:rsidRPr="000D5097">
        <w:rPr>
          <w:rFonts w:ascii="Tahoma" w:hAnsi="Tahoma" w:cs="Tahoma"/>
          <w:sz w:val="16"/>
          <w:szCs w:val="16"/>
        </w:rPr>
        <w:t>veřejné zakázky</w:t>
      </w:r>
      <w:r w:rsidR="00117AF0" w:rsidRPr="000D5097">
        <w:rPr>
          <w:rFonts w:ascii="Tahoma" w:hAnsi="Tahoma" w:cs="Tahoma"/>
          <w:sz w:val="16"/>
          <w:szCs w:val="16"/>
        </w:rPr>
        <w:t xml:space="preserve"> </w:t>
      </w:r>
      <w:r w:rsidR="005C5BA9" w:rsidRPr="000D509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0D5097">
        <w:rPr>
          <w:rFonts w:ascii="Tahoma" w:hAnsi="Tahoma" w:cs="Tahoma"/>
          <w:sz w:val="16"/>
          <w:szCs w:val="16"/>
        </w:rPr>
        <w:t>Cena zbož</w:t>
      </w:r>
      <w:r w:rsidR="00570D3E" w:rsidRPr="000D5097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0D5097">
        <w:rPr>
          <w:rFonts w:ascii="Tahoma" w:hAnsi="Tahoma" w:cs="Tahoma"/>
          <w:sz w:val="16"/>
          <w:szCs w:val="16"/>
        </w:rPr>
        <w:t xml:space="preserve"> a zahrnuje</w:t>
      </w:r>
      <w:r w:rsidR="00235AE3" w:rsidRPr="000D5097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0D5097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0D5097">
        <w:rPr>
          <w:rFonts w:ascii="Tahoma" w:hAnsi="Tahoma" w:cs="Tahoma"/>
          <w:sz w:val="16"/>
          <w:szCs w:val="16"/>
        </w:rPr>
        <w:t xml:space="preserve"> </w:t>
      </w:r>
      <w:r w:rsidR="00D7578A" w:rsidRPr="000D5097">
        <w:rPr>
          <w:rFonts w:ascii="Tahoma" w:hAnsi="Tahoma" w:cs="Tahoma"/>
          <w:sz w:val="16"/>
          <w:szCs w:val="16"/>
        </w:rPr>
        <w:fldChar w:fldCharType="begin"/>
      </w:r>
      <w:r w:rsidR="00D7578A" w:rsidRPr="000D5097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0D5097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0D5097">
        <w:rPr>
          <w:rFonts w:ascii="Tahoma" w:hAnsi="Tahoma" w:cs="Tahoma"/>
          <w:sz w:val="16"/>
          <w:szCs w:val="16"/>
        </w:rPr>
      </w:r>
      <w:r w:rsidR="00D7578A" w:rsidRPr="000D5097">
        <w:rPr>
          <w:rFonts w:ascii="Tahoma" w:hAnsi="Tahoma" w:cs="Tahoma"/>
          <w:sz w:val="16"/>
          <w:szCs w:val="16"/>
        </w:rPr>
        <w:fldChar w:fldCharType="separate"/>
      </w:r>
      <w:r w:rsidR="00155E0D">
        <w:rPr>
          <w:rFonts w:ascii="Tahoma" w:hAnsi="Tahoma" w:cs="Tahoma"/>
          <w:sz w:val="16"/>
          <w:szCs w:val="16"/>
        </w:rPr>
        <w:t>II</w:t>
      </w:r>
      <w:r w:rsidR="00D7578A" w:rsidRPr="000D5097">
        <w:rPr>
          <w:rFonts w:ascii="Tahoma" w:hAnsi="Tahoma" w:cs="Tahoma"/>
          <w:sz w:val="16"/>
          <w:szCs w:val="16"/>
        </w:rPr>
        <w:fldChar w:fldCharType="end"/>
      </w:r>
      <w:r w:rsidR="00D7578A" w:rsidRPr="000D5097">
        <w:rPr>
          <w:rFonts w:ascii="Tahoma" w:hAnsi="Tahoma" w:cs="Tahoma"/>
          <w:sz w:val="16"/>
          <w:szCs w:val="16"/>
        </w:rPr>
        <w:t xml:space="preserve"> </w:t>
      </w:r>
      <w:r w:rsidR="00180AD1" w:rsidRPr="000D5097">
        <w:rPr>
          <w:rFonts w:ascii="Tahoma" w:hAnsi="Tahoma" w:cs="Tahoma"/>
          <w:sz w:val="16"/>
          <w:szCs w:val="16"/>
        </w:rPr>
        <w:t>odst. </w:t>
      </w:r>
      <w:r w:rsidR="00D41B9D" w:rsidRPr="000D5097">
        <w:rPr>
          <w:rFonts w:ascii="Tahoma" w:hAnsi="Tahoma" w:cs="Tahoma"/>
          <w:sz w:val="16"/>
          <w:szCs w:val="16"/>
        </w:rPr>
        <w:fldChar w:fldCharType="begin"/>
      </w:r>
      <w:r w:rsidR="00D41B9D" w:rsidRPr="000D5097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0D5097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0D5097">
        <w:rPr>
          <w:rFonts w:ascii="Tahoma" w:hAnsi="Tahoma" w:cs="Tahoma"/>
          <w:sz w:val="16"/>
          <w:szCs w:val="16"/>
        </w:rPr>
      </w:r>
      <w:r w:rsidR="00D41B9D" w:rsidRPr="000D5097">
        <w:rPr>
          <w:rFonts w:ascii="Tahoma" w:hAnsi="Tahoma" w:cs="Tahoma"/>
          <w:sz w:val="16"/>
          <w:szCs w:val="16"/>
        </w:rPr>
        <w:fldChar w:fldCharType="separate"/>
      </w:r>
      <w:r w:rsidR="00155E0D">
        <w:rPr>
          <w:rFonts w:ascii="Tahoma" w:hAnsi="Tahoma" w:cs="Tahoma"/>
          <w:sz w:val="16"/>
          <w:szCs w:val="16"/>
        </w:rPr>
        <w:t>2</w:t>
      </w:r>
      <w:r w:rsidR="00D41B9D" w:rsidRPr="000D5097">
        <w:rPr>
          <w:rFonts w:ascii="Tahoma" w:hAnsi="Tahoma" w:cs="Tahoma"/>
          <w:sz w:val="16"/>
          <w:szCs w:val="16"/>
        </w:rPr>
        <w:fldChar w:fldCharType="end"/>
      </w:r>
      <w:r w:rsidR="00180AD1" w:rsidRPr="000D5097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0D5097">
        <w:rPr>
          <w:rFonts w:ascii="Tahoma" w:hAnsi="Tahoma" w:cs="Tahoma"/>
          <w:sz w:val="16"/>
          <w:szCs w:val="16"/>
        </w:rPr>
        <w:t>zákona č. 134/2016 Sb. o zadávání veřejných zakázek (dále jen „</w:t>
      </w:r>
      <w:r w:rsidR="00180AD1" w:rsidRPr="000D5097">
        <w:rPr>
          <w:rFonts w:ascii="Tahoma" w:hAnsi="Tahoma" w:cs="Tahoma"/>
          <w:sz w:val="16"/>
          <w:szCs w:val="16"/>
        </w:rPr>
        <w:t>ZZVZ</w:t>
      </w:r>
      <w:r w:rsidR="00013442" w:rsidRPr="000D5097">
        <w:rPr>
          <w:rFonts w:ascii="Tahoma" w:hAnsi="Tahoma" w:cs="Tahoma"/>
          <w:sz w:val="16"/>
          <w:szCs w:val="16"/>
        </w:rPr>
        <w:t>“)</w:t>
      </w:r>
      <w:r w:rsidR="00180AD1" w:rsidRPr="000D5097">
        <w:rPr>
          <w:rFonts w:ascii="Tahoma" w:hAnsi="Tahoma" w:cs="Tahoma"/>
          <w:sz w:val="16"/>
          <w:szCs w:val="16"/>
        </w:rPr>
        <w:t>.</w:t>
      </w:r>
    </w:p>
    <w:p w14:paraId="6057D760" w14:textId="77777777" w:rsidR="001B4D68" w:rsidRPr="000D5097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0D5097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0D5097">
        <w:rPr>
          <w:rFonts w:ascii="Tahoma" w:hAnsi="Tahoma" w:cs="Tahoma"/>
          <w:sz w:val="16"/>
          <w:szCs w:val="16"/>
        </w:rPr>
        <w:t xml:space="preserve">maximálně </w:t>
      </w:r>
      <w:r w:rsidRPr="000D5097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24EE5B50" w14:textId="77777777" w:rsidR="001B4D68" w:rsidRPr="000D5097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6731D2F1" w14:textId="77777777" w:rsidR="001B4D68" w:rsidRPr="000D5097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Na základě každého jednotlivého návrhu prodávajícího na navýšení kupní ceny může dojít ke zvýšení kupní ceny maximálně o procentuálně vyjádřenou výši rozdílu indexu daného rozhodného odvětví oproti hodnotě předcházejícímu rozhodnému </w:t>
      </w:r>
      <w:r w:rsidRPr="000D5097">
        <w:rPr>
          <w:rFonts w:ascii="Tahoma" w:hAnsi="Tahoma" w:cs="Tahoma"/>
          <w:sz w:val="16"/>
          <w:szCs w:val="16"/>
        </w:rPr>
        <w:lastRenderedPageBreak/>
        <w:t>období, nejvýše pak o 5 %. Ke zvýšení kupní ceny se vyžaduje souhlasu kupujícího a zvýšení kupní ceny je účinné až po uzavření písemného číslovaného dodatku podepsaného oběma smluvními stranami.</w:t>
      </w:r>
    </w:p>
    <w:p w14:paraId="31A92CA3" w14:textId="77777777" w:rsidR="006846CA" w:rsidRPr="000D5097" w:rsidRDefault="00235AE3" w:rsidP="006846C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</w:t>
      </w:r>
      <w:r w:rsidR="006846CA" w:rsidRPr="000D5097">
        <w:rPr>
          <w:rFonts w:ascii="Tahoma" w:hAnsi="Tahoma" w:cs="Tahoma"/>
          <w:sz w:val="16"/>
          <w:szCs w:val="16"/>
        </w:rPr>
        <w:t>tj. např. doprava až na místo určení, složení do skladu nebo na místo určení uvedené v objednávce tzn. např. výnos do patra apod., obalový materiál a ostatní manipulační poplatky. Ve skladu skládání zboží pomocí vysokozdvižného vozíku.</w:t>
      </w:r>
    </w:p>
    <w:p w14:paraId="7D76614E" w14:textId="72C19CEC" w:rsidR="002D5F77" w:rsidRPr="000D5097" w:rsidRDefault="006846CA" w:rsidP="006846CA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</w:rPr>
        <w:t>Dodávky zboží na nevratných paletách, které budou v případě požadavku řešeny na místě výměnou.</w:t>
      </w:r>
    </w:p>
    <w:p w14:paraId="417FF3E8" w14:textId="0E2250B4" w:rsidR="002D5F77" w:rsidRPr="000D5097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0D5097">
        <w:rPr>
          <w:rFonts w:ascii="Tahoma" w:hAnsi="Tahoma" w:cs="Tahoma"/>
          <w:sz w:val="16"/>
          <w:szCs w:val="16"/>
        </w:rPr>
        <w:t xml:space="preserve">ve formátu PDF na adresu: </w:t>
      </w:r>
      <w:hyperlink r:id="rId13" w:history="1">
        <w:r w:rsidR="008E25FC" w:rsidRPr="000D509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8E25FC" w:rsidRPr="000D5097">
        <w:rPr>
          <w:rFonts w:ascii="Tahoma" w:hAnsi="Tahoma" w:cs="Tahoma"/>
          <w:sz w:val="16"/>
          <w:szCs w:val="16"/>
        </w:rPr>
        <w:t xml:space="preserve"> </w:t>
      </w:r>
      <w:r w:rsidRPr="000D5097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0D5097">
        <w:rPr>
          <w:rFonts w:ascii="Tahoma" w:hAnsi="Tahoma" w:cs="Tahoma"/>
          <w:sz w:val="16"/>
          <w:szCs w:val="16"/>
        </w:rPr>
        <w:fldChar w:fldCharType="begin"/>
      </w:r>
      <w:r w:rsidR="00875EE9" w:rsidRPr="000D5097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0D509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D5097">
        <w:rPr>
          <w:rFonts w:ascii="Tahoma" w:hAnsi="Tahoma" w:cs="Tahoma"/>
          <w:sz w:val="16"/>
          <w:szCs w:val="16"/>
        </w:rPr>
      </w:r>
      <w:r w:rsidR="00875EE9" w:rsidRPr="000D5097">
        <w:rPr>
          <w:rFonts w:ascii="Tahoma" w:hAnsi="Tahoma" w:cs="Tahoma"/>
          <w:sz w:val="16"/>
          <w:szCs w:val="16"/>
        </w:rPr>
        <w:fldChar w:fldCharType="separate"/>
      </w:r>
      <w:r w:rsidR="00155E0D">
        <w:rPr>
          <w:rFonts w:ascii="Tahoma" w:hAnsi="Tahoma" w:cs="Tahoma"/>
          <w:sz w:val="16"/>
          <w:szCs w:val="16"/>
        </w:rPr>
        <w:t>III</w:t>
      </w:r>
      <w:r w:rsidR="00875EE9" w:rsidRPr="000D5097">
        <w:rPr>
          <w:rFonts w:ascii="Tahoma" w:hAnsi="Tahoma" w:cs="Tahoma"/>
          <w:sz w:val="16"/>
          <w:szCs w:val="16"/>
        </w:rPr>
        <w:fldChar w:fldCharType="end"/>
      </w:r>
      <w:r w:rsidRPr="000D5097">
        <w:rPr>
          <w:rFonts w:ascii="Tahoma" w:hAnsi="Tahoma" w:cs="Tahoma"/>
          <w:sz w:val="16"/>
          <w:szCs w:val="16"/>
        </w:rPr>
        <w:t xml:space="preserve"> odst. </w:t>
      </w:r>
      <w:r w:rsidR="00875EE9" w:rsidRPr="000D5097">
        <w:rPr>
          <w:rFonts w:ascii="Tahoma" w:hAnsi="Tahoma" w:cs="Tahoma"/>
          <w:sz w:val="16"/>
          <w:szCs w:val="16"/>
        </w:rPr>
        <w:fldChar w:fldCharType="begin"/>
      </w:r>
      <w:r w:rsidR="00875EE9" w:rsidRPr="000D5097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0D509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D5097">
        <w:rPr>
          <w:rFonts w:ascii="Tahoma" w:hAnsi="Tahoma" w:cs="Tahoma"/>
          <w:sz w:val="16"/>
          <w:szCs w:val="16"/>
        </w:rPr>
      </w:r>
      <w:r w:rsidR="00875EE9" w:rsidRPr="000D5097">
        <w:rPr>
          <w:rFonts w:ascii="Tahoma" w:hAnsi="Tahoma" w:cs="Tahoma"/>
          <w:sz w:val="16"/>
          <w:szCs w:val="16"/>
        </w:rPr>
        <w:fldChar w:fldCharType="separate"/>
      </w:r>
      <w:r w:rsidR="00155E0D">
        <w:rPr>
          <w:rFonts w:ascii="Tahoma" w:hAnsi="Tahoma" w:cs="Tahoma"/>
          <w:sz w:val="16"/>
          <w:szCs w:val="16"/>
        </w:rPr>
        <w:t>6</w:t>
      </w:r>
      <w:r w:rsidR="00875EE9" w:rsidRPr="000D5097">
        <w:rPr>
          <w:rFonts w:ascii="Tahoma" w:hAnsi="Tahoma" w:cs="Tahoma"/>
          <w:sz w:val="16"/>
          <w:szCs w:val="16"/>
        </w:rPr>
        <w:fldChar w:fldCharType="end"/>
      </w:r>
      <w:r w:rsidRPr="000D5097">
        <w:rPr>
          <w:rFonts w:ascii="Tahoma" w:hAnsi="Tahoma" w:cs="Tahoma"/>
          <w:sz w:val="16"/>
          <w:szCs w:val="16"/>
        </w:rPr>
        <w:t xml:space="preserve"> této smlouvy. </w:t>
      </w:r>
    </w:p>
    <w:p w14:paraId="64BCEDCF" w14:textId="77777777" w:rsidR="00235AE3" w:rsidRPr="000D50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0D5097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0D5097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0D50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0D5097">
        <w:rPr>
          <w:rFonts w:ascii="Tahoma" w:hAnsi="Tahoma" w:cs="Tahoma"/>
          <w:sz w:val="16"/>
          <w:szCs w:val="16"/>
          <w:lang w:bidi="en-US"/>
        </w:rPr>
        <w:t>kupujícímu</w:t>
      </w:r>
      <w:r w:rsidRPr="000D5097">
        <w:rPr>
          <w:rFonts w:ascii="Tahoma" w:hAnsi="Tahoma" w:cs="Tahoma"/>
          <w:sz w:val="16"/>
          <w:szCs w:val="16"/>
          <w:lang w:bidi="en-US"/>
        </w:rPr>
        <w:t>.</w:t>
      </w:r>
    </w:p>
    <w:p w14:paraId="3EFC18EF" w14:textId="77777777" w:rsidR="00235AE3" w:rsidRPr="000D50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8555087" w14:textId="77777777" w:rsidR="00235AE3" w:rsidRPr="000D509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0D50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0D5097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0D5097">
        <w:rPr>
          <w:rFonts w:ascii="Tahoma" w:hAnsi="Tahoma" w:cs="Tahoma"/>
          <w:sz w:val="16"/>
          <w:szCs w:val="16"/>
          <w:lang w:bidi="en-US"/>
        </w:rPr>
        <w:t>p</w:t>
      </w:r>
      <w:r w:rsidRPr="000D5097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0D50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BFF44BA" w14:textId="77777777" w:rsidR="00E61CE9" w:rsidRPr="000D50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AFC6CCE" w14:textId="7E29E5AA" w:rsidR="00E8465A" w:rsidRPr="000D5097" w:rsidRDefault="00E8465A" w:rsidP="004A26FB">
      <w:pPr>
        <w:pStyle w:val="Nadpis1"/>
        <w:numPr>
          <w:ilvl w:val="0"/>
          <w:numId w:val="41"/>
        </w:numPr>
        <w:jc w:val="center"/>
      </w:pPr>
      <w:bookmarkStart w:id="2" w:name="_Ref163818963"/>
      <w:r w:rsidRPr="000D5097">
        <w:t>Dodací podmínky</w:t>
      </w:r>
      <w:bookmarkEnd w:id="2"/>
    </w:p>
    <w:p w14:paraId="40E727DA" w14:textId="77777777" w:rsidR="00D96EB9" w:rsidRPr="000D5097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0D5097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7EF0AA56" w14:textId="77777777" w:rsidR="00D96EB9" w:rsidRPr="000D5097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Objednávka</w:t>
      </w:r>
      <w:r w:rsidR="00D96EB9" w:rsidRPr="000D5097">
        <w:rPr>
          <w:rFonts w:ascii="Tahoma" w:hAnsi="Tahoma" w:cs="Tahoma"/>
          <w:sz w:val="16"/>
          <w:szCs w:val="16"/>
        </w:rPr>
        <w:t xml:space="preserve"> bude obsahovat zejména: </w:t>
      </w:r>
    </w:p>
    <w:p w14:paraId="71C3A4C4" w14:textId="77777777" w:rsidR="00D96EB9" w:rsidRPr="000D50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994F966" w14:textId="77777777" w:rsidR="00D96EB9" w:rsidRPr="000D50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evidenční číslo této smlouvy,</w:t>
      </w:r>
    </w:p>
    <w:p w14:paraId="6330A42E" w14:textId="77777777" w:rsidR="00D96EB9" w:rsidRPr="000D50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podrobnou specifikaci požadovaného plnění,</w:t>
      </w:r>
    </w:p>
    <w:p w14:paraId="5C1768BA" w14:textId="77777777" w:rsidR="00D96EB9" w:rsidRPr="000D50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0919969E" w14:textId="77777777" w:rsidR="00D96EB9" w:rsidRPr="000D50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35B3E638" w14:textId="72D32C05" w:rsidR="004030F5" w:rsidRPr="000D5097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0D5097">
        <w:rPr>
          <w:rFonts w:ascii="Tahoma" w:hAnsi="Tahoma" w:cs="Tahoma"/>
          <w:sz w:val="16"/>
          <w:szCs w:val="16"/>
        </w:rPr>
        <w:t>na výše uvedenou</w:t>
      </w:r>
      <w:r w:rsidRPr="000D5097">
        <w:rPr>
          <w:rFonts w:ascii="Tahoma" w:hAnsi="Tahoma" w:cs="Tahoma"/>
          <w:sz w:val="16"/>
          <w:szCs w:val="16"/>
        </w:rPr>
        <w:t xml:space="preserve"> adresu </w:t>
      </w:r>
      <w:r w:rsidR="00526218" w:rsidRPr="000D5097">
        <w:rPr>
          <w:rFonts w:ascii="Tahoma" w:hAnsi="Tahoma" w:cs="Tahoma"/>
          <w:sz w:val="16"/>
          <w:szCs w:val="16"/>
        </w:rPr>
        <w:t xml:space="preserve">sídla </w:t>
      </w:r>
      <w:r w:rsidRPr="000D5097">
        <w:rPr>
          <w:rFonts w:ascii="Tahoma" w:hAnsi="Tahoma" w:cs="Tahoma"/>
          <w:sz w:val="16"/>
          <w:szCs w:val="16"/>
        </w:rPr>
        <w:t>prodá</w:t>
      </w:r>
      <w:r w:rsidR="00E51725" w:rsidRPr="000D5097">
        <w:rPr>
          <w:rFonts w:ascii="Tahoma" w:hAnsi="Tahoma" w:cs="Tahoma"/>
          <w:sz w:val="16"/>
          <w:szCs w:val="16"/>
        </w:rPr>
        <w:t>v</w:t>
      </w:r>
      <w:r w:rsidRPr="000D5097">
        <w:rPr>
          <w:rFonts w:ascii="Tahoma" w:hAnsi="Tahoma" w:cs="Tahoma"/>
          <w:sz w:val="16"/>
          <w:szCs w:val="16"/>
        </w:rPr>
        <w:t>ajícího</w:t>
      </w:r>
      <w:r w:rsidR="00526218" w:rsidRPr="000D5097">
        <w:rPr>
          <w:rFonts w:ascii="Tahoma" w:hAnsi="Tahoma" w:cs="Tahoma"/>
          <w:sz w:val="16"/>
          <w:szCs w:val="16"/>
        </w:rPr>
        <w:t xml:space="preserve"> nebo na email</w:t>
      </w:r>
      <w:r w:rsidRPr="000D5097">
        <w:rPr>
          <w:rFonts w:ascii="Tahoma" w:hAnsi="Tahoma" w:cs="Tahoma"/>
          <w:sz w:val="16"/>
          <w:szCs w:val="16"/>
        </w:rPr>
        <w:t>:</w:t>
      </w:r>
      <w:r w:rsidR="00CE24DA">
        <w:rPr>
          <w:rFonts w:ascii="Tahoma" w:hAnsi="Tahoma" w:cs="Tahoma"/>
          <w:sz w:val="16"/>
          <w:szCs w:val="16"/>
        </w:rPr>
        <w:t xml:space="preserve"> granimex@granimex.cz.</w:t>
      </w:r>
    </w:p>
    <w:p w14:paraId="5193BC5F" w14:textId="77777777" w:rsidR="004030F5" w:rsidRPr="000D5097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Prodávají</w:t>
      </w:r>
      <w:r w:rsidR="005A615D" w:rsidRPr="000D5097">
        <w:rPr>
          <w:rFonts w:ascii="Tahoma" w:hAnsi="Tahoma" w:cs="Tahoma"/>
          <w:sz w:val="16"/>
          <w:szCs w:val="16"/>
        </w:rPr>
        <w:t>cí</w:t>
      </w:r>
      <w:r w:rsidRPr="000D5097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0D5097">
        <w:rPr>
          <w:rFonts w:ascii="Tahoma" w:hAnsi="Tahoma" w:cs="Tahoma"/>
          <w:sz w:val="16"/>
          <w:szCs w:val="16"/>
        </w:rPr>
        <w:t>,</w:t>
      </w:r>
      <w:r w:rsidRPr="000D5097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0D5097">
        <w:rPr>
          <w:rFonts w:ascii="Tahoma" w:hAnsi="Tahoma" w:cs="Tahoma"/>
          <w:sz w:val="16"/>
          <w:szCs w:val="16"/>
        </w:rPr>
        <w:t>2 pracovních dnů</w:t>
      </w:r>
      <w:r w:rsidRPr="000D5097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0D5097">
        <w:rPr>
          <w:rFonts w:ascii="Tahoma" w:hAnsi="Tahoma" w:cs="Tahoma"/>
          <w:sz w:val="16"/>
          <w:szCs w:val="16"/>
        </w:rPr>
        <w:t xml:space="preserve"> Potvrze</w:t>
      </w:r>
      <w:r w:rsidR="00570D3E" w:rsidRPr="000D5097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0D5097">
        <w:rPr>
          <w:rFonts w:ascii="Tahoma" w:hAnsi="Tahoma" w:cs="Tahoma"/>
          <w:sz w:val="16"/>
          <w:szCs w:val="16"/>
        </w:rPr>
        <w:t>.</w:t>
      </w:r>
      <w:r w:rsidR="003C6266" w:rsidRPr="000D5097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2BAE7409" w14:textId="77777777" w:rsidR="005A615D" w:rsidRPr="000D5097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0D5097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0D5097">
        <w:rPr>
          <w:rFonts w:ascii="Tahoma" w:hAnsi="Tahoma" w:cs="Tahoma"/>
          <w:sz w:val="16"/>
          <w:szCs w:val="16"/>
          <w:lang w:bidi="en-US"/>
        </w:rPr>
        <w:t>3</w:t>
      </w:r>
      <w:r w:rsidR="00566509" w:rsidRPr="000D5097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0D5097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0D50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0D5097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0D5097">
        <w:rPr>
          <w:rFonts w:ascii="Tahoma" w:hAnsi="Tahoma" w:cs="Tahoma"/>
          <w:sz w:val="16"/>
          <w:szCs w:val="16"/>
          <w:lang w:bidi="en-US"/>
        </w:rPr>
        <w:t>.</w:t>
      </w:r>
    </w:p>
    <w:p w14:paraId="5EA649D8" w14:textId="350B8596" w:rsidR="00D96EB9" w:rsidRPr="000D5097" w:rsidRDefault="006846CA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0D50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nejpozději do 5 pracovních dnů od doručení objednávky. </w:t>
      </w:r>
      <w:r w:rsidRPr="000D5097">
        <w:rPr>
          <w:rFonts w:ascii="Arial" w:hAnsi="Arial" w:cs="Arial"/>
          <w:sz w:val="16"/>
          <w:szCs w:val="16"/>
          <w:u w:val="single"/>
          <w:lang w:bidi="en-US"/>
        </w:rPr>
        <w:t>Výjimkou je první dodávka, která bude dodána nejdéle 5 týdnů od doručení oznámení o výběru dodavatele.</w:t>
      </w:r>
      <w:r w:rsidRPr="000D5097">
        <w:rPr>
          <w:rFonts w:ascii="Arial" w:hAnsi="Arial" w:cs="Arial"/>
          <w:sz w:val="16"/>
          <w:szCs w:val="16"/>
          <w:lang w:bidi="en-US"/>
        </w:rPr>
        <w:t xml:space="preserve"> </w:t>
      </w:r>
      <w:r w:rsidR="00D96EB9" w:rsidRPr="000D5097">
        <w:rPr>
          <w:rFonts w:ascii="Tahoma" w:hAnsi="Tahoma" w:cs="Tahoma"/>
          <w:sz w:val="16"/>
          <w:szCs w:val="16"/>
          <w:lang w:bidi="en-US"/>
        </w:rPr>
        <w:t>Zboží bude prodávajícím předáno a kupujícím převzato na základě shodných prohlášení smluvních stran v zápisu o předání a převzetí zboží, kterým se pro účely této smlouvy rozumí dodací list. Na dodacím list</w:t>
      </w:r>
      <w:r w:rsidR="00D96EB9" w:rsidRPr="000D5097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="00D96EB9" w:rsidRPr="000D5097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C6BD5BC" w14:textId="77777777" w:rsidR="00D96EB9" w:rsidRPr="000D50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3FF36736" w14:textId="77777777" w:rsidR="00D96EB9" w:rsidRPr="000D50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7CB5B41" w14:textId="77777777" w:rsidR="00E73DAB" w:rsidRPr="000D5097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0D5097">
        <w:rPr>
          <w:rFonts w:ascii="Tahoma" w:hAnsi="Tahoma" w:cs="Tahoma"/>
          <w:sz w:val="16"/>
          <w:szCs w:val="16"/>
        </w:rPr>
        <w:t>m</w:t>
      </w:r>
      <w:r w:rsidRPr="000D5097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4F78C83F" w14:textId="77777777" w:rsidR="00D96EB9" w:rsidRPr="000D50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Prodávající </w:t>
      </w:r>
      <w:r w:rsidR="00094FFF" w:rsidRPr="000D5097">
        <w:rPr>
          <w:rFonts w:ascii="Tahoma" w:hAnsi="Tahoma" w:cs="Tahoma"/>
          <w:sz w:val="16"/>
          <w:szCs w:val="16"/>
        </w:rPr>
        <w:t xml:space="preserve">odpovídá </w:t>
      </w:r>
      <w:r w:rsidRPr="000D5097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0D5097">
        <w:rPr>
          <w:rFonts w:ascii="Tahoma" w:hAnsi="Tahoma" w:cs="Tahoma"/>
          <w:sz w:val="16"/>
          <w:szCs w:val="16"/>
        </w:rPr>
        <w:t>ke kupujícímu</w:t>
      </w:r>
      <w:r w:rsidRPr="000D5097">
        <w:rPr>
          <w:rFonts w:ascii="Tahoma" w:hAnsi="Tahoma" w:cs="Tahoma"/>
          <w:sz w:val="16"/>
          <w:szCs w:val="16"/>
        </w:rPr>
        <w:t>, tak aby nebylo zboží znehodnoceno.</w:t>
      </w:r>
    </w:p>
    <w:p w14:paraId="67A6E7A2" w14:textId="77777777" w:rsidR="00477115" w:rsidRPr="000D5097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0D5097">
        <w:rPr>
          <w:rFonts w:ascii="Tahoma" w:hAnsi="Tahoma" w:cs="Tahoma"/>
          <w:sz w:val="16"/>
          <w:szCs w:val="16"/>
        </w:rPr>
        <w:t xml:space="preserve">prodávající </w:t>
      </w:r>
      <w:r w:rsidRPr="000D5097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0D5097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0D5097">
        <w:rPr>
          <w:rFonts w:ascii="Tahoma" w:hAnsi="Tahoma" w:cs="Tahoma"/>
          <w:sz w:val="16"/>
          <w:szCs w:val="16"/>
        </w:rPr>
        <w:t xml:space="preserve">. </w:t>
      </w:r>
    </w:p>
    <w:p w14:paraId="09112E63" w14:textId="77777777" w:rsidR="008B5F97" w:rsidRPr="000D5097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2940EB3A" w14:textId="77777777" w:rsidR="00E717F4" w:rsidRPr="000D5097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0D5097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0D5097">
        <w:rPr>
          <w:rFonts w:ascii="Tahoma" w:hAnsi="Tahoma" w:cs="Tahoma"/>
          <w:sz w:val="16"/>
          <w:szCs w:val="16"/>
        </w:rPr>
        <w:t>ZZVZ</w:t>
      </w:r>
      <w:r w:rsidRPr="000D5097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0D5097">
        <w:rPr>
          <w:rFonts w:ascii="Tahoma" w:hAnsi="Tahoma" w:cs="Tahoma"/>
          <w:sz w:val="16"/>
          <w:szCs w:val="16"/>
        </w:rPr>
        <w:t>kupujícího</w:t>
      </w:r>
      <w:r w:rsidRPr="000D5097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</w:t>
      </w:r>
      <w:r w:rsidRPr="000D5097">
        <w:rPr>
          <w:rFonts w:ascii="Tahoma" w:hAnsi="Tahoma" w:cs="Tahoma"/>
          <w:sz w:val="16"/>
          <w:szCs w:val="16"/>
        </w:rPr>
        <w:lastRenderedPageBreak/>
        <w:t xml:space="preserve">vztahu k celkové kupní ceně tato nesmí být vyšší, než byla nabídková cena obsažena v nabídce osloveného dodavatele v zadávacím řízení na veřejnou zakázku. </w:t>
      </w:r>
    </w:p>
    <w:p w14:paraId="3A8CCBF0" w14:textId="77777777" w:rsidR="00FD662D" w:rsidRPr="000D5097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V </w:t>
      </w:r>
      <w:r w:rsidR="00FD662D" w:rsidRPr="000D5097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2179840C" w14:textId="77777777" w:rsidR="00E8465A" w:rsidRPr="000D5097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4DCB8152" w14:textId="77777777" w:rsidR="00E8465A" w:rsidRPr="000D5097" w:rsidRDefault="00E8465A" w:rsidP="004A26FB">
      <w:pPr>
        <w:pStyle w:val="Nadpis1"/>
        <w:numPr>
          <w:ilvl w:val="0"/>
          <w:numId w:val="41"/>
        </w:numPr>
        <w:ind w:left="709"/>
        <w:jc w:val="center"/>
      </w:pPr>
      <w:r w:rsidRPr="000D5097">
        <w:t>Záruka za jakost zboží, odpovědnost za vady</w:t>
      </w:r>
    </w:p>
    <w:p w14:paraId="132D1323" w14:textId="77777777" w:rsidR="00E8465A" w:rsidRPr="000D50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0D5097">
        <w:rPr>
          <w:rFonts w:ascii="Tahoma" w:hAnsi="Tahoma" w:cs="Tahoma"/>
          <w:sz w:val="16"/>
          <w:szCs w:val="16"/>
        </w:rPr>
        <w:t> </w:t>
      </w:r>
      <w:r w:rsidRPr="000D5097">
        <w:rPr>
          <w:rFonts w:ascii="Tahoma" w:hAnsi="Tahoma" w:cs="Tahoma"/>
          <w:sz w:val="16"/>
          <w:szCs w:val="16"/>
        </w:rPr>
        <w:t>množství</w:t>
      </w:r>
      <w:r w:rsidR="003C5479" w:rsidRPr="000D5097">
        <w:rPr>
          <w:rFonts w:ascii="Tahoma" w:hAnsi="Tahoma" w:cs="Tahoma"/>
          <w:sz w:val="16"/>
          <w:szCs w:val="16"/>
        </w:rPr>
        <w:t xml:space="preserve"> podle objednávek kupujícího</w:t>
      </w:r>
      <w:r w:rsidRPr="000D5097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0D50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343F237" w14:textId="77777777" w:rsidR="00E8465A" w:rsidRPr="000D50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242FCEFD" w14:textId="29460ACE" w:rsidR="006846CA" w:rsidRPr="000D5097" w:rsidRDefault="006846CA" w:rsidP="006846C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0D5097">
        <w:rPr>
          <w:rFonts w:ascii="Arial" w:hAnsi="Arial" w:cs="Arial"/>
          <w:sz w:val="16"/>
          <w:szCs w:val="16"/>
          <w:u w:val="single"/>
        </w:rPr>
        <w:t xml:space="preserve">Tolerance z požadované síly </w:t>
      </w:r>
      <w:r w:rsidR="004B718B" w:rsidRPr="000D5097">
        <w:rPr>
          <w:rFonts w:ascii="Arial" w:hAnsi="Arial" w:cs="Arial"/>
          <w:sz w:val="16"/>
          <w:szCs w:val="16"/>
          <w:u w:val="single"/>
        </w:rPr>
        <w:t>sáčků</w:t>
      </w:r>
      <w:r w:rsidRPr="000D5097">
        <w:rPr>
          <w:rFonts w:ascii="Arial" w:hAnsi="Arial" w:cs="Arial"/>
          <w:sz w:val="16"/>
          <w:szCs w:val="16"/>
          <w:u w:val="single"/>
        </w:rPr>
        <w:t xml:space="preserve"> (mikrony) max. o +/- 5%.</w:t>
      </w:r>
    </w:p>
    <w:p w14:paraId="20B01348" w14:textId="77777777" w:rsidR="00E8465A" w:rsidRPr="000D50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0D5097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0D5097">
        <w:rPr>
          <w:rFonts w:ascii="Tahoma" w:hAnsi="Tahoma" w:cs="Tahoma"/>
          <w:sz w:val="16"/>
          <w:szCs w:val="16"/>
        </w:rPr>
        <w:t>,</w:t>
      </w:r>
      <w:r w:rsidR="0052173B" w:rsidRPr="000D5097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DE068D5" w14:textId="77777777" w:rsidR="0052173B" w:rsidRPr="000D50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0D5097">
        <w:rPr>
          <w:rFonts w:ascii="Tahoma" w:hAnsi="Tahoma" w:cs="Tahoma"/>
          <w:sz w:val="16"/>
          <w:szCs w:val="16"/>
        </w:rPr>
        <w:t>.</w:t>
      </w:r>
    </w:p>
    <w:p w14:paraId="45226548" w14:textId="77777777" w:rsidR="00E8465A" w:rsidRPr="000D5097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0D5097">
        <w:rPr>
          <w:rFonts w:ascii="Tahoma" w:hAnsi="Tahoma" w:cs="Tahoma"/>
          <w:sz w:val="16"/>
          <w:szCs w:val="16"/>
        </w:rPr>
        <w:t xml:space="preserve"> </w:t>
      </w:r>
    </w:p>
    <w:p w14:paraId="539453F2" w14:textId="1E48D97C" w:rsidR="00A42B4E" w:rsidRPr="000D50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CE24DA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2C1919">
          <w:rPr>
            <w:rStyle w:val="Hypertextovodkaz"/>
            <w:rFonts w:ascii="Tahoma" w:hAnsi="Tahoma" w:cs="Tahoma"/>
            <w:sz w:val="16"/>
            <w:szCs w:val="16"/>
          </w:rPr>
          <w:t>xxx</w:t>
        </w:r>
      </w:hyperlink>
      <w:r w:rsidR="00CE24DA">
        <w:rPr>
          <w:rFonts w:ascii="Tahoma" w:hAnsi="Tahoma" w:cs="Tahoma"/>
          <w:sz w:val="16"/>
          <w:szCs w:val="16"/>
        </w:rPr>
        <w:t xml:space="preserve">. </w:t>
      </w:r>
      <w:r w:rsidR="001D41A8" w:rsidRPr="000D5097">
        <w:rPr>
          <w:rFonts w:ascii="Tahoma" w:hAnsi="Tahoma" w:cs="Tahoma"/>
          <w:sz w:val="16"/>
          <w:szCs w:val="16"/>
        </w:rPr>
        <w:t xml:space="preserve">Prodávající je povinen reagovat na reklamaci do 24 hodin od nahlášení.  </w:t>
      </w:r>
      <w:r w:rsidRPr="000D5097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7C654E1E" w14:textId="77777777" w:rsidR="00A42B4E" w:rsidRPr="000D50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572C19E" w14:textId="77777777" w:rsidR="00A42B4E" w:rsidRPr="000D50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nárokovat dodání chybějícího plnění,</w:t>
      </w:r>
    </w:p>
    <w:p w14:paraId="2E7AB9D1" w14:textId="77777777" w:rsidR="00A42B4E" w:rsidRPr="000D50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5376496" w14:textId="77777777" w:rsidR="00A42B4E" w:rsidRPr="000D50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nárokovat slevu z kupní ceny,</w:t>
      </w:r>
    </w:p>
    <w:p w14:paraId="291AAA48" w14:textId="77777777" w:rsidR="00A42B4E" w:rsidRPr="000D50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F03532F" w14:textId="5D18C33A" w:rsidR="00A42B4E" w:rsidRPr="000D50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V případě </w:t>
      </w:r>
      <w:r w:rsidR="001A5A6E" w:rsidRPr="000D5097">
        <w:rPr>
          <w:rFonts w:ascii="Tahoma" w:hAnsi="Tahoma" w:cs="Tahoma"/>
          <w:sz w:val="16"/>
          <w:szCs w:val="16"/>
        </w:rPr>
        <w:t xml:space="preserve">uplatnění </w:t>
      </w:r>
      <w:r w:rsidR="00DC5A70" w:rsidRPr="000D5097">
        <w:rPr>
          <w:rFonts w:ascii="Tahoma" w:hAnsi="Tahoma" w:cs="Tahoma"/>
          <w:sz w:val="16"/>
          <w:szCs w:val="16"/>
        </w:rPr>
        <w:t xml:space="preserve">nároku z </w:t>
      </w:r>
      <w:r w:rsidR="001A5A6E" w:rsidRPr="000D5097">
        <w:rPr>
          <w:rFonts w:ascii="Tahoma" w:hAnsi="Tahoma" w:cs="Tahoma"/>
          <w:sz w:val="16"/>
          <w:szCs w:val="16"/>
        </w:rPr>
        <w:t xml:space="preserve">vad </w:t>
      </w:r>
      <w:r w:rsidR="00DC5A70" w:rsidRPr="000D5097">
        <w:rPr>
          <w:rFonts w:ascii="Tahoma" w:hAnsi="Tahoma" w:cs="Tahoma"/>
          <w:sz w:val="16"/>
          <w:szCs w:val="16"/>
        </w:rPr>
        <w:t xml:space="preserve">dodaného </w:t>
      </w:r>
      <w:r w:rsidR="001A5A6E" w:rsidRPr="000D5097">
        <w:rPr>
          <w:rFonts w:ascii="Tahoma" w:hAnsi="Tahoma" w:cs="Tahoma"/>
          <w:sz w:val="16"/>
          <w:szCs w:val="16"/>
        </w:rPr>
        <w:t xml:space="preserve">zboží </w:t>
      </w:r>
      <w:r w:rsidR="009275D3" w:rsidRPr="000D5097">
        <w:rPr>
          <w:rFonts w:ascii="Tahoma" w:hAnsi="Tahoma" w:cs="Tahoma"/>
          <w:sz w:val="16"/>
          <w:szCs w:val="16"/>
        </w:rPr>
        <w:t>kupující</w:t>
      </w:r>
      <w:r w:rsidR="00DC5A70" w:rsidRPr="000D5097">
        <w:rPr>
          <w:rFonts w:ascii="Tahoma" w:hAnsi="Tahoma" w:cs="Tahoma"/>
          <w:sz w:val="16"/>
          <w:szCs w:val="16"/>
        </w:rPr>
        <w:t xml:space="preserve">m </w:t>
      </w:r>
      <w:r w:rsidRPr="000D50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0D5097">
        <w:rPr>
          <w:rFonts w:ascii="Tahoma" w:hAnsi="Tahoma" w:cs="Tahoma"/>
          <w:sz w:val="16"/>
          <w:szCs w:val="16"/>
        </w:rPr>
        <w:t>,</w:t>
      </w:r>
      <w:r w:rsidRPr="000D5097">
        <w:rPr>
          <w:rFonts w:ascii="Tahoma" w:hAnsi="Tahoma" w:cs="Tahoma"/>
          <w:sz w:val="16"/>
          <w:szCs w:val="16"/>
        </w:rPr>
        <w:t xml:space="preserve"> </w:t>
      </w:r>
      <w:r w:rsidR="001A5A6E" w:rsidRPr="000D5097">
        <w:rPr>
          <w:rFonts w:ascii="Tahoma" w:hAnsi="Tahoma" w:cs="Tahoma"/>
          <w:sz w:val="16"/>
          <w:szCs w:val="16"/>
        </w:rPr>
        <w:t xml:space="preserve">se </w:t>
      </w:r>
      <w:r w:rsidR="00DC5A70" w:rsidRPr="000D50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0D5097">
        <w:rPr>
          <w:rFonts w:ascii="Tahoma" w:hAnsi="Tahoma" w:cs="Tahoma"/>
          <w:sz w:val="16"/>
          <w:szCs w:val="16"/>
        </w:rPr>
        <w:t xml:space="preserve">zavazuje </w:t>
      </w:r>
      <w:r w:rsidR="00DC5A70" w:rsidRPr="000D5097">
        <w:rPr>
          <w:rFonts w:ascii="Tahoma" w:hAnsi="Tahoma" w:cs="Tahoma"/>
          <w:sz w:val="16"/>
          <w:szCs w:val="16"/>
        </w:rPr>
        <w:t xml:space="preserve">na žádost kupujícího </w:t>
      </w:r>
      <w:r w:rsidRPr="000D5097">
        <w:rPr>
          <w:rFonts w:ascii="Tahoma" w:hAnsi="Tahoma" w:cs="Tahoma"/>
          <w:sz w:val="16"/>
          <w:szCs w:val="16"/>
        </w:rPr>
        <w:t>obratem, nejpozději do</w:t>
      </w:r>
      <w:r w:rsidR="001D41A8" w:rsidRPr="000D5097">
        <w:rPr>
          <w:rFonts w:ascii="Tahoma" w:hAnsi="Tahoma" w:cs="Tahoma"/>
          <w:sz w:val="16"/>
          <w:szCs w:val="16"/>
        </w:rPr>
        <w:t xml:space="preserve"> </w:t>
      </w:r>
      <w:r w:rsidR="006846CA" w:rsidRPr="000D5097">
        <w:rPr>
          <w:rFonts w:ascii="Tahoma" w:hAnsi="Tahoma" w:cs="Tahoma"/>
          <w:sz w:val="16"/>
          <w:szCs w:val="16"/>
        </w:rPr>
        <w:t xml:space="preserve">3 </w:t>
      </w:r>
      <w:r w:rsidR="001D41A8" w:rsidRPr="000D5097">
        <w:rPr>
          <w:rFonts w:ascii="Tahoma" w:hAnsi="Tahoma" w:cs="Tahoma"/>
          <w:sz w:val="16"/>
          <w:szCs w:val="16"/>
        </w:rPr>
        <w:t xml:space="preserve">pracovních dnů </w:t>
      </w:r>
      <w:r w:rsidR="001A5A6E" w:rsidRPr="000D5097">
        <w:rPr>
          <w:rFonts w:ascii="Tahoma" w:hAnsi="Tahoma" w:cs="Tahoma"/>
          <w:sz w:val="16"/>
          <w:szCs w:val="16"/>
        </w:rPr>
        <w:t>zboží vyměnit</w:t>
      </w:r>
      <w:r w:rsidRPr="000D509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D9B39C5" w14:textId="77777777" w:rsidR="00DC5A70" w:rsidRPr="000D50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704129C" w14:textId="77777777" w:rsidR="00A710A8" w:rsidRPr="000D5097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424AAE8F" w14:textId="77777777" w:rsidR="00B03B8D" w:rsidRPr="000D5097" w:rsidRDefault="00B03B8D" w:rsidP="004A26FB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0D5097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46176D27" w14:textId="77777777" w:rsidR="00EC3404" w:rsidRPr="000D5097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0D5097">
        <w:rPr>
          <w:rFonts w:ascii="Tahoma" w:hAnsi="Tahoma" w:cs="Tahoma"/>
          <w:sz w:val="16"/>
          <w:szCs w:val="16"/>
        </w:rPr>
        <w:t xml:space="preserve"> </w:t>
      </w:r>
      <w:r w:rsidRPr="000D5097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0D50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0D5097">
        <w:rPr>
          <w:rFonts w:ascii="Tahoma" w:hAnsi="Tahoma" w:cs="Tahoma"/>
          <w:sz w:val="16"/>
          <w:szCs w:val="16"/>
        </w:rPr>
        <w:t>prodávající</w:t>
      </w:r>
      <w:r w:rsidR="00EE053A" w:rsidRPr="000D50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BC35CC5" w14:textId="77777777" w:rsidR="000727C0" w:rsidRPr="000D5097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0D5097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0D5097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0D5097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0D5097">
        <w:rPr>
          <w:rFonts w:ascii="Tahoma" w:hAnsi="Tahoma" w:cs="Tahoma"/>
          <w:sz w:val="16"/>
          <w:szCs w:val="16"/>
        </w:rPr>
        <w:t>5</w:t>
      </w:r>
      <w:r w:rsidR="00652C47" w:rsidRPr="000D5097">
        <w:rPr>
          <w:rFonts w:ascii="Tahoma" w:hAnsi="Tahoma" w:cs="Tahoma"/>
          <w:sz w:val="16"/>
          <w:szCs w:val="16"/>
        </w:rPr>
        <w:t xml:space="preserve"> </w:t>
      </w:r>
      <w:r w:rsidR="000B7CA0" w:rsidRPr="000D5097">
        <w:rPr>
          <w:rFonts w:ascii="Tahoma" w:hAnsi="Tahoma" w:cs="Tahoma"/>
          <w:sz w:val="16"/>
          <w:szCs w:val="16"/>
        </w:rPr>
        <w:t>% z kupní ceny objednávky bez DPH</w:t>
      </w:r>
      <w:r w:rsidRPr="000D5097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0D5097" w:rsidDel="00F21C0A">
        <w:rPr>
          <w:rFonts w:ascii="Tahoma" w:hAnsi="Tahoma" w:cs="Tahoma"/>
          <w:sz w:val="16"/>
          <w:szCs w:val="16"/>
        </w:rPr>
        <w:t xml:space="preserve"> </w:t>
      </w:r>
      <w:r w:rsidRPr="000D5097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0D5097">
        <w:rPr>
          <w:rFonts w:ascii="Tahoma" w:hAnsi="Tahoma" w:cs="Tahoma"/>
          <w:sz w:val="16"/>
          <w:szCs w:val="16"/>
        </w:rPr>
        <w:t>.</w:t>
      </w:r>
      <w:bookmarkEnd w:id="6"/>
      <w:r w:rsidR="000727C0" w:rsidRPr="000D5097">
        <w:rPr>
          <w:rFonts w:ascii="Tahoma" w:hAnsi="Tahoma" w:cs="Tahoma"/>
          <w:sz w:val="16"/>
          <w:szCs w:val="16"/>
        </w:rPr>
        <w:t xml:space="preserve"> </w:t>
      </w:r>
    </w:p>
    <w:p w14:paraId="60CA9EBF" w14:textId="77777777" w:rsidR="00504DEC" w:rsidRPr="000D5097" w:rsidRDefault="00504DEC" w:rsidP="004B3904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0D5097">
        <w:rPr>
          <w:rFonts w:ascii="Tahoma" w:hAnsi="Tahoma" w:cs="Tahoma"/>
          <w:sz w:val="16"/>
          <w:szCs w:val="16"/>
        </w:rPr>
        <w:t xml:space="preserve">prodlení </w:t>
      </w:r>
      <w:r w:rsidRPr="000D5097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5838F388" w14:textId="7A683F15" w:rsidR="003C5479" w:rsidRPr="000D5097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0D5097">
        <w:rPr>
          <w:rFonts w:ascii="Tahoma" w:hAnsi="Tahoma" w:cs="Tahoma"/>
          <w:sz w:val="16"/>
          <w:szCs w:val="16"/>
        </w:rPr>
        <w:t xml:space="preserve"> </w:t>
      </w:r>
      <w:r w:rsidR="00875EE9" w:rsidRPr="000D5097">
        <w:rPr>
          <w:rFonts w:ascii="Tahoma" w:hAnsi="Tahoma" w:cs="Tahoma"/>
          <w:sz w:val="16"/>
          <w:szCs w:val="16"/>
        </w:rPr>
        <w:fldChar w:fldCharType="begin"/>
      </w:r>
      <w:r w:rsidR="00875EE9" w:rsidRPr="000D5097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0D509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D5097">
        <w:rPr>
          <w:rFonts w:ascii="Tahoma" w:hAnsi="Tahoma" w:cs="Tahoma"/>
          <w:sz w:val="16"/>
          <w:szCs w:val="16"/>
        </w:rPr>
      </w:r>
      <w:r w:rsidR="00875EE9" w:rsidRPr="000D5097">
        <w:rPr>
          <w:rFonts w:ascii="Tahoma" w:hAnsi="Tahoma" w:cs="Tahoma"/>
          <w:sz w:val="16"/>
          <w:szCs w:val="16"/>
        </w:rPr>
        <w:fldChar w:fldCharType="separate"/>
      </w:r>
      <w:r w:rsidR="00155E0D">
        <w:rPr>
          <w:rFonts w:ascii="Tahoma" w:hAnsi="Tahoma" w:cs="Tahoma"/>
          <w:sz w:val="16"/>
          <w:szCs w:val="16"/>
        </w:rPr>
        <w:t>III</w:t>
      </w:r>
      <w:r w:rsidR="00875EE9" w:rsidRPr="000D5097">
        <w:rPr>
          <w:rFonts w:ascii="Tahoma" w:hAnsi="Tahoma" w:cs="Tahoma"/>
          <w:sz w:val="16"/>
          <w:szCs w:val="16"/>
        </w:rPr>
        <w:fldChar w:fldCharType="end"/>
      </w:r>
      <w:r w:rsidRPr="000D5097">
        <w:rPr>
          <w:rFonts w:ascii="Tahoma" w:hAnsi="Tahoma" w:cs="Tahoma"/>
          <w:sz w:val="16"/>
          <w:szCs w:val="16"/>
        </w:rPr>
        <w:t xml:space="preserve"> odst. </w:t>
      </w:r>
      <w:r w:rsidR="006846CA" w:rsidRPr="000D5097">
        <w:rPr>
          <w:rFonts w:ascii="Tahoma" w:hAnsi="Tahoma" w:cs="Tahoma"/>
          <w:sz w:val="16"/>
          <w:szCs w:val="16"/>
        </w:rPr>
        <w:t>14</w:t>
      </w:r>
      <w:r w:rsidRPr="000D5097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0D5097">
        <w:rPr>
          <w:rFonts w:ascii="Tahoma" w:hAnsi="Tahoma" w:cs="Tahoma"/>
          <w:sz w:val="16"/>
          <w:szCs w:val="16"/>
        </w:rPr>
        <w:t>10.000,-</w:t>
      </w:r>
      <w:r w:rsidRPr="000D5097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1BE382B3" w14:textId="41D132F8" w:rsidR="004533D2" w:rsidRPr="000D5097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0D5097">
        <w:rPr>
          <w:rFonts w:ascii="Tahoma" w:hAnsi="Tahoma" w:cs="Tahoma"/>
          <w:sz w:val="16"/>
          <w:szCs w:val="16"/>
        </w:rPr>
        <w:fldChar w:fldCharType="begin"/>
      </w:r>
      <w:r w:rsidR="00875EE9" w:rsidRPr="000D5097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0D509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D5097">
        <w:rPr>
          <w:rFonts w:ascii="Tahoma" w:hAnsi="Tahoma" w:cs="Tahoma"/>
          <w:sz w:val="16"/>
          <w:szCs w:val="16"/>
        </w:rPr>
      </w:r>
      <w:r w:rsidR="00875EE9" w:rsidRPr="000D5097">
        <w:rPr>
          <w:rFonts w:ascii="Tahoma" w:hAnsi="Tahoma" w:cs="Tahoma"/>
          <w:sz w:val="16"/>
          <w:szCs w:val="16"/>
        </w:rPr>
        <w:fldChar w:fldCharType="separate"/>
      </w:r>
      <w:r w:rsidR="00155E0D">
        <w:rPr>
          <w:rFonts w:ascii="Tahoma" w:hAnsi="Tahoma" w:cs="Tahoma"/>
          <w:sz w:val="16"/>
          <w:szCs w:val="16"/>
        </w:rPr>
        <w:t>VII</w:t>
      </w:r>
      <w:r w:rsidR="00875EE9" w:rsidRPr="000D5097">
        <w:rPr>
          <w:rFonts w:ascii="Tahoma" w:hAnsi="Tahoma" w:cs="Tahoma"/>
          <w:sz w:val="16"/>
          <w:szCs w:val="16"/>
        </w:rPr>
        <w:fldChar w:fldCharType="end"/>
      </w:r>
      <w:r w:rsidRPr="000D5097">
        <w:rPr>
          <w:rFonts w:ascii="Tahoma" w:hAnsi="Tahoma" w:cs="Tahoma"/>
          <w:sz w:val="16"/>
          <w:szCs w:val="16"/>
        </w:rPr>
        <w:t xml:space="preserve"> odst. </w:t>
      </w:r>
      <w:r w:rsidR="00875EE9" w:rsidRPr="000D5097">
        <w:rPr>
          <w:rFonts w:ascii="Tahoma" w:hAnsi="Tahoma" w:cs="Tahoma"/>
          <w:sz w:val="16"/>
          <w:szCs w:val="16"/>
        </w:rPr>
        <w:fldChar w:fldCharType="begin"/>
      </w:r>
      <w:r w:rsidR="00875EE9" w:rsidRPr="000D5097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0D509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D5097">
        <w:rPr>
          <w:rFonts w:ascii="Tahoma" w:hAnsi="Tahoma" w:cs="Tahoma"/>
          <w:sz w:val="16"/>
          <w:szCs w:val="16"/>
        </w:rPr>
      </w:r>
      <w:r w:rsidR="00875EE9" w:rsidRPr="000D5097">
        <w:rPr>
          <w:rFonts w:ascii="Tahoma" w:hAnsi="Tahoma" w:cs="Tahoma"/>
          <w:sz w:val="16"/>
          <w:szCs w:val="16"/>
        </w:rPr>
        <w:fldChar w:fldCharType="separate"/>
      </w:r>
      <w:r w:rsidR="00155E0D">
        <w:rPr>
          <w:rFonts w:ascii="Tahoma" w:hAnsi="Tahoma" w:cs="Tahoma"/>
          <w:sz w:val="16"/>
          <w:szCs w:val="16"/>
        </w:rPr>
        <w:t>4</w:t>
      </w:r>
      <w:r w:rsidR="00875EE9" w:rsidRPr="000D5097">
        <w:rPr>
          <w:rFonts w:ascii="Tahoma" w:hAnsi="Tahoma" w:cs="Tahoma"/>
          <w:sz w:val="16"/>
          <w:szCs w:val="16"/>
        </w:rPr>
        <w:fldChar w:fldCharType="end"/>
      </w:r>
      <w:r w:rsidRPr="000D5097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0219BBC9" w14:textId="77777777" w:rsidR="00115661" w:rsidRPr="000D5097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045CEAF" w14:textId="77777777" w:rsidR="00115661" w:rsidRPr="000D5097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116E00E" w14:textId="77777777" w:rsidR="00115661" w:rsidRPr="000D50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59E2059" w14:textId="77777777" w:rsidR="00E8465A" w:rsidRPr="000D5097" w:rsidRDefault="008954A7" w:rsidP="004A26FB">
      <w:pPr>
        <w:pStyle w:val="Nadpis1"/>
        <w:numPr>
          <w:ilvl w:val="0"/>
          <w:numId w:val="41"/>
        </w:numPr>
        <w:ind w:left="709"/>
        <w:jc w:val="center"/>
      </w:pPr>
      <w:r w:rsidRPr="000D5097">
        <w:t xml:space="preserve">Doba trvání, </w:t>
      </w:r>
      <w:r w:rsidR="00E8465A" w:rsidRPr="000D5097">
        <w:t>Ukončení smlouvy</w:t>
      </w:r>
    </w:p>
    <w:p w14:paraId="47E555A6" w14:textId="504EFB4D" w:rsidR="00117AF0" w:rsidRPr="000D5097" w:rsidRDefault="00117AF0" w:rsidP="004836E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6846CA" w:rsidRPr="000D5097">
        <w:rPr>
          <w:rFonts w:ascii="Tahoma" w:hAnsi="Tahoma" w:cs="Tahoma"/>
          <w:sz w:val="16"/>
          <w:szCs w:val="16"/>
        </w:rPr>
        <w:t>1 rok</w:t>
      </w:r>
      <w:r w:rsidRPr="000D5097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 </w:t>
      </w:r>
      <w:r w:rsidR="004836EC" w:rsidRPr="000D5097">
        <w:rPr>
          <w:rFonts w:ascii="Tahoma" w:hAnsi="Tahoma" w:cs="Tahoma"/>
          <w:sz w:val="16"/>
          <w:szCs w:val="16"/>
        </w:rPr>
        <w:t>19.2.2026</w:t>
      </w:r>
      <w:r w:rsidRPr="000D5097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4413A842" w14:textId="77777777" w:rsidR="00E8465A" w:rsidRPr="000D509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Smlouvu</w:t>
      </w:r>
      <w:r w:rsidR="00E8465A" w:rsidRPr="000D5097">
        <w:rPr>
          <w:rFonts w:ascii="Tahoma" w:hAnsi="Tahoma" w:cs="Tahoma"/>
          <w:sz w:val="16"/>
          <w:szCs w:val="16"/>
        </w:rPr>
        <w:t xml:space="preserve"> </w:t>
      </w:r>
      <w:r w:rsidRPr="000D5097">
        <w:rPr>
          <w:rFonts w:ascii="Tahoma" w:hAnsi="Tahoma" w:cs="Tahoma"/>
          <w:sz w:val="16"/>
          <w:szCs w:val="16"/>
        </w:rPr>
        <w:t xml:space="preserve">mohou </w:t>
      </w:r>
      <w:r w:rsidR="00E8465A" w:rsidRPr="000D509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0D5097">
        <w:rPr>
          <w:rFonts w:ascii="Tahoma" w:hAnsi="Tahoma" w:cs="Tahoma"/>
          <w:sz w:val="16"/>
          <w:szCs w:val="16"/>
        </w:rPr>
        <w:t>činí</w:t>
      </w:r>
      <w:r w:rsidR="00E51725" w:rsidRPr="000D5097">
        <w:rPr>
          <w:rFonts w:ascii="Tahoma" w:hAnsi="Tahoma" w:cs="Tahoma"/>
          <w:sz w:val="16"/>
          <w:szCs w:val="16"/>
        </w:rPr>
        <w:t xml:space="preserve"> </w:t>
      </w:r>
      <w:r w:rsidR="00504DEC" w:rsidRPr="000D5097">
        <w:rPr>
          <w:rFonts w:ascii="Tahoma" w:hAnsi="Tahoma" w:cs="Tahoma"/>
          <w:sz w:val="16"/>
          <w:szCs w:val="16"/>
        </w:rPr>
        <w:t>2</w:t>
      </w:r>
      <w:r w:rsidR="00E51725" w:rsidRPr="000D5097">
        <w:rPr>
          <w:rFonts w:ascii="Tahoma" w:hAnsi="Tahoma" w:cs="Tahoma"/>
          <w:sz w:val="16"/>
          <w:szCs w:val="16"/>
        </w:rPr>
        <w:t xml:space="preserve"> měsíc</w:t>
      </w:r>
      <w:r w:rsidR="00220B09" w:rsidRPr="000D5097">
        <w:rPr>
          <w:rFonts w:ascii="Tahoma" w:hAnsi="Tahoma" w:cs="Tahoma"/>
          <w:sz w:val="16"/>
          <w:szCs w:val="16"/>
        </w:rPr>
        <w:t>e</w:t>
      </w:r>
      <w:r w:rsidR="00F51533" w:rsidRPr="000D5097">
        <w:rPr>
          <w:rFonts w:ascii="Tahoma" w:hAnsi="Tahoma" w:cs="Tahoma"/>
          <w:sz w:val="16"/>
          <w:szCs w:val="16"/>
        </w:rPr>
        <w:t xml:space="preserve"> a</w:t>
      </w:r>
      <w:r w:rsidR="00E8465A" w:rsidRPr="000D509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0D509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0D5097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12AB57B" w14:textId="591B2578" w:rsidR="007C5949" w:rsidRPr="000D50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0D5097">
        <w:rPr>
          <w:rFonts w:ascii="Tahoma" w:hAnsi="Tahoma" w:cs="Tahoma"/>
          <w:sz w:val="16"/>
          <w:szCs w:val="16"/>
        </w:rPr>
        <w:t>na neměla zájem smlouvu uzavřít;</w:t>
      </w:r>
      <w:r w:rsidRPr="000D5097">
        <w:rPr>
          <w:rFonts w:ascii="Tahoma" w:hAnsi="Tahoma" w:cs="Tahoma"/>
          <w:sz w:val="16"/>
          <w:szCs w:val="16"/>
        </w:rPr>
        <w:t xml:space="preserve"> na st</w:t>
      </w:r>
      <w:r w:rsidR="007C5949" w:rsidRPr="000D5097">
        <w:rPr>
          <w:rFonts w:ascii="Tahoma" w:hAnsi="Tahoma" w:cs="Tahoma"/>
          <w:sz w:val="16"/>
          <w:szCs w:val="16"/>
        </w:rPr>
        <w:t>r</w:t>
      </w:r>
      <w:r w:rsidRPr="000D5097">
        <w:rPr>
          <w:rFonts w:ascii="Tahoma" w:hAnsi="Tahoma" w:cs="Tahoma"/>
          <w:sz w:val="16"/>
          <w:szCs w:val="16"/>
        </w:rPr>
        <w:t>aně prodávajícího</w:t>
      </w:r>
      <w:r w:rsidR="00D52913" w:rsidRPr="000D5097">
        <w:rPr>
          <w:rFonts w:ascii="Tahoma" w:hAnsi="Tahoma" w:cs="Tahoma"/>
          <w:sz w:val="16"/>
          <w:szCs w:val="16"/>
        </w:rPr>
        <w:t xml:space="preserve"> </w:t>
      </w:r>
      <w:r w:rsidRPr="000D5097">
        <w:rPr>
          <w:rFonts w:ascii="Tahoma" w:hAnsi="Tahoma" w:cs="Tahoma"/>
          <w:sz w:val="16"/>
          <w:szCs w:val="16"/>
        </w:rPr>
        <w:t xml:space="preserve"> </w:t>
      </w:r>
      <w:r w:rsidR="005C7939" w:rsidRPr="000D5097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0D5097">
        <w:rPr>
          <w:rFonts w:ascii="Tahoma" w:hAnsi="Tahoma" w:cs="Tahoma"/>
          <w:sz w:val="16"/>
          <w:szCs w:val="16"/>
        </w:rPr>
        <w:fldChar w:fldCharType="begin"/>
      </w:r>
      <w:r w:rsidR="00875EE9" w:rsidRPr="000D5097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0D509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D5097">
        <w:rPr>
          <w:rFonts w:ascii="Tahoma" w:hAnsi="Tahoma" w:cs="Tahoma"/>
          <w:sz w:val="16"/>
          <w:szCs w:val="16"/>
        </w:rPr>
      </w:r>
      <w:r w:rsidR="00875EE9" w:rsidRPr="000D5097">
        <w:rPr>
          <w:rFonts w:ascii="Tahoma" w:hAnsi="Tahoma" w:cs="Tahoma"/>
          <w:sz w:val="16"/>
          <w:szCs w:val="16"/>
        </w:rPr>
        <w:fldChar w:fldCharType="separate"/>
      </w:r>
      <w:r w:rsidR="00155E0D">
        <w:rPr>
          <w:rFonts w:ascii="Tahoma" w:hAnsi="Tahoma" w:cs="Tahoma"/>
          <w:sz w:val="16"/>
          <w:szCs w:val="16"/>
        </w:rPr>
        <w:t>V</w:t>
      </w:r>
      <w:r w:rsidR="00875EE9" w:rsidRPr="000D5097">
        <w:rPr>
          <w:rFonts w:ascii="Tahoma" w:hAnsi="Tahoma" w:cs="Tahoma"/>
          <w:sz w:val="16"/>
          <w:szCs w:val="16"/>
        </w:rPr>
        <w:fldChar w:fldCharType="end"/>
      </w:r>
      <w:r w:rsidR="007C5949" w:rsidRPr="000D5097">
        <w:rPr>
          <w:rFonts w:ascii="Tahoma" w:hAnsi="Tahoma" w:cs="Tahoma"/>
          <w:sz w:val="16"/>
          <w:szCs w:val="16"/>
        </w:rPr>
        <w:t xml:space="preserve"> odst. </w:t>
      </w:r>
      <w:r w:rsidR="007864ED" w:rsidRPr="000D5097">
        <w:rPr>
          <w:rFonts w:ascii="Tahoma" w:hAnsi="Tahoma" w:cs="Tahoma"/>
          <w:sz w:val="16"/>
          <w:szCs w:val="16"/>
        </w:rPr>
        <w:fldChar w:fldCharType="begin"/>
      </w:r>
      <w:r w:rsidR="007864ED" w:rsidRPr="000D5097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0D5097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0D5097">
        <w:rPr>
          <w:rFonts w:ascii="Tahoma" w:hAnsi="Tahoma" w:cs="Tahoma"/>
          <w:sz w:val="16"/>
          <w:szCs w:val="16"/>
        </w:rPr>
      </w:r>
      <w:r w:rsidR="007864ED" w:rsidRPr="000D5097">
        <w:rPr>
          <w:rFonts w:ascii="Tahoma" w:hAnsi="Tahoma" w:cs="Tahoma"/>
          <w:sz w:val="16"/>
          <w:szCs w:val="16"/>
        </w:rPr>
        <w:fldChar w:fldCharType="separate"/>
      </w:r>
      <w:r w:rsidR="00155E0D">
        <w:rPr>
          <w:rFonts w:ascii="Tahoma" w:hAnsi="Tahoma" w:cs="Tahoma"/>
          <w:sz w:val="16"/>
          <w:szCs w:val="16"/>
        </w:rPr>
        <w:t>2</w:t>
      </w:r>
      <w:r w:rsidR="007864ED" w:rsidRPr="000D5097">
        <w:rPr>
          <w:rFonts w:ascii="Tahoma" w:hAnsi="Tahoma" w:cs="Tahoma"/>
          <w:sz w:val="16"/>
          <w:szCs w:val="16"/>
        </w:rPr>
        <w:fldChar w:fldCharType="end"/>
      </w:r>
      <w:r w:rsidR="007C5949" w:rsidRPr="000D5097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0D50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0D50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E8110CB" w14:textId="77777777" w:rsidR="00E40E79" w:rsidRPr="000D5097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586DFECE" w14:textId="77777777" w:rsidR="00852DFE" w:rsidRPr="000D5097" w:rsidRDefault="00852DFE" w:rsidP="004A26FB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0D5097">
        <w:rPr>
          <w:lang w:bidi="en-US"/>
        </w:rPr>
        <w:lastRenderedPageBreak/>
        <w:t>Závěrečná ustanovení</w:t>
      </w:r>
      <w:bookmarkEnd w:id="7"/>
    </w:p>
    <w:p w14:paraId="0ED5147B" w14:textId="77777777" w:rsidR="00852DFE" w:rsidRPr="000D50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0D50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1F7F7EE3" w14:textId="77777777" w:rsidR="00D864C0" w:rsidRPr="000D5097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9522CA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D864C0" w:rsidRPr="009522CA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8" w:name="_Hlk163739777"/>
      <w:r w:rsidR="00D864C0" w:rsidRPr="0072752B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</w:t>
      </w:r>
      <w:r w:rsidR="00D864C0" w:rsidRPr="000D5097">
        <w:rPr>
          <w:rFonts w:ascii="Tahoma" w:hAnsi="Tahoma" w:cs="Tahoma"/>
          <w:sz w:val="16"/>
          <w:szCs w:val="16"/>
          <w:lang w:val="cs-CZ"/>
        </w:rPr>
        <w:t xml:space="preserve">uvními stranami </w:t>
      </w:r>
      <w:r w:rsidR="00D864C0" w:rsidRPr="000D5097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0D5097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793399E3" w14:textId="77777777" w:rsidR="00852DFE" w:rsidRPr="000D50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0D5097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0D5097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4BA387FC" w14:textId="77777777" w:rsidR="002E1A08" w:rsidRPr="000D5097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0D5097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5BA4A563" w14:textId="77777777" w:rsidR="00B352CE" w:rsidRPr="000D5097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5669B4CF" w14:textId="77777777" w:rsidR="00B352CE" w:rsidRPr="000D5097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304A4DFB" w14:textId="77777777" w:rsidR="00B352CE" w:rsidRPr="000D5097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2D9E556D" w14:textId="77777777" w:rsidR="00B352CE" w:rsidRPr="000D5097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2E3FF5C3" w14:textId="77777777" w:rsidR="00B22164" w:rsidRPr="000D5097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66C41866" w14:textId="77777777" w:rsidR="00B5356B" w:rsidRPr="000D5097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0D5097">
        <w:rPr>
          <w:rFonts w:ascii="Tahoma" w:hAnsi="Tahoma" w:cs="Tahoma"/>
          <w:sz w:val="16"/>
          <w:szCs w:val="16"/>
        </w:rPr>
        <w:t>ZZVZ</w:t>
      </w:r>
      <w:r w:rsidRPr="000D5097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0BE8E3BD" w14:textId="77777777" w:rsidR="00852DFE" w:rsidRPr="000D50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075859B" w14:textId="77777777" w:rsidR="00852DFE" w:rsidRPr="000D50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D50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7934AC6" w14:textId="77777777" w:rsidR="00885CE5" w:rsidRPr="000D50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28A86201" w14:textId="77777777" w:rsidR="00A76D75" w:rsidRPr="000D50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C477A9" w14:textId="54B388B3" w:rsidR="00E8465A" w:rsidRPr="000D5097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Příloha</w:t>
      </w:r>
      <w:r w:rsidR="00B020D8" w:rsidRPr="000D5097">
        <w:rPr>
          <w:rFonts w:ascii="Tahoma" w:hAnsi="Tahoma" w:cs="Tahoma"/>
          <w:sz w:val="16"/>
          <w:szCs w:val="16"/>
        </w:rPr>
        <w:t xml:space="preserve"> č.</w:t>
      </w:r>
      <w:r w:rsidR="00D560EE" w:rsidRPr="000D5097">
        <w:rPr>
          <w:rFonts w:ascii="Tahoma" w:hAnsi="Tahoma" w:cs="Tahoma"/>
          <w:sz w:val="16"/>
          <w:szCs w:val="16"/>
        </w:rPr>
        <w:t xml:space="preserve"> </w:t>
      </w:r>
      <w:r w:rsidR="00B020D8" w:rsidRPr="000D5097">
        <w:rPr>
          <w:rFonts w:ascii="Tahoma" w:hAnsi="Tahoma" w:cs="Tahoma"/>
          <w:sz w:val="16"/>
          <w:szCs w:val="16"/>
        </w:rPr>
        <w:t>1</w:t>
      </w:r>
      <w:r w:rsidRPr="000D5097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0D5097">
        <w:rPr>
          <w:rFonts w:ascii="Tahoma" w:hAnsi="Tahoma" w:cs="Tahoma"/>
          <w:sz w:val="16"/>
          <w:szCs w:val="16"/>
        </w:rPr>
        <w:t xml:space="preserve">výsledků </w:t>
      </w:r>
      <w:r w:rsidR="004B718B" w:rsidRPr="000D5097">
        <w:rPr>
          <w:rFonts w:ascii="Tahoma" w:hAnsi="Tahoma" w:cs="Tahoma"/>
          <w:sz w:val="16"/>
          <w:szCs w:val="16"/>
        </w:rPr>
        <w:t>veřejné zakázky</w:t>
      </w:r>
    </w:p>
    <w:p w14:paraId="322F6A2F" w14:textId="77777777" w:rsidR="00A76D75" w:rsidRPr="000D50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   </w:t>
      </w:r>
    </w:p>
    <w:p w14:paraId="6009541B" w14:textId="77777777" w:rsidR="00885CE5" w:rsidRPr="000D50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          </w:t>
      </w:r>
    </w:p>
    <w:p w14:paraId="60EC7124" w14:textId="02EC9FC4" w:rsidR="00FE6B8F" w:rsidRPr="000D50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V</w:t>
      </w:r>
      <w:r w:rsidR="00CE24DA">
        <w:rPr>
          <w:rFonts w:ascii="Tahoma" w:hAnsi="Tahoma" w:cs="Tahoma"/>
          <w:sz w:val="16"/>
          <w:szCs w:val="16"/>
        </w:rPr>
        <w:t xml:space="preserve"> Mírovce </w:t>
      </w:r>
      <w:r w:rsidRPr="000D5097">
        <w:rPr>
          <w:rFonts w:ascii="Tahoma" w:hAnsi="Tahoma" w:cs="Tahoma"/>
          <w:sz w:val="16"/>
          <w:szCs w:val="16"/>
        </w:rPr>
        <w:t>dne</w:t>
      </w:r>
      <w:r w:rsidR="00885CE5" w:rsidRPr="000D5097">
        <w:rPr>
          <w:rFonts w:ascii="Tahoma" w:hAnsi="Tahoma" w:cs="Tahoma"/>
          <w:sz w:val="16"/>
          <w:szCs w:val="16"/>
        </w:rPr>
        <w:t>:</w:t>
      </w:r>
      <w:r w:rsidR="009A360A" w:rsidRPr="000D5097">
        <w:rPr>
          <w:rFonts w:ascii="Tahoma" w:hAnsi="Tahoma" w:cs="Tahoma"/>
          <w:sz w:val="16"/>
          <w:szCs w:val="16"/>
        </w:rPr>
        <w:tab/>
      </w:r>
      <w:r w:rsidR="00E947B2">
        <w:rPr>
          <w:rFonts w:ascii="Tahoma" w:hAnsi="Tahoma" w:cs="Tahoma"/>
          <w:sz w:val="16"/>
          <w:szCs w:val="16"/>
        </w:rPr>
        <w:tab/>
      </w:r>
      <w:r w:rsidR="00F85923" w:rsidRPr="000D5097">
        <w:rPr>
          <w:rFonts w:ascii="Tahoma" w:hAnsi="Tahoma" w:cs="Tahoma"/>
          <w:sz w:val="16"/>
          <w:szCs w:val="16"/>
        </w:rPr>
        <w:tab/>
      </w:r>
      <w:r w:rsidR="00F85923" w:rsidRPr="000D5097">
        <w:rPr>
          <w:rFonts w:ascii="Tahoma" w:hAnsi="Tahoma" w:cs="Tahoma"/>
          <w:sz w:val="16"/>
          <w:szCs w:val="16"/>
        </w:rPr>
        <w:tab/>
      </w:r>
      <w:r w:rsidR="00B91897" w:rsidRPr="000D5097">
        <w:rPr>
          <w:rFonts w:ascii="Tahoma" w:hAnsi="Tahoma" w:cs="Tahoma"/>
          <w:sz w:val="16"/>
          <w:szCs w:val="16"/>
        </w:rPr>
        <w:tab/>
      </w:r>
      <w:r w:rsidR="00CE24DA">
        <w:rPr>
          <w:rFonts w:ascii="Tahoma" w:hAnsi="Tahoma" w:cs="Tahoma"/>
          <w:sz w:val="16"/>
          <w:szCs w:val="16"/>
        </w:rPr>
        <w:tab/>
      </w:r>
      <w:r w:rsidR="009B16AF" w:rsidRPr="000D5097">
        <w:rPr>
          <w:rFonts w:ascii="Tahoma" w:hAnsi="Tahoma" w:cs="Tahoma"/>
          <w:sz w:val="16"/>
          <w:szCs w:val="16"/>
        </w:rPr>
        <w:tab/>
      </w:r>
      <w:r w:rsidRPr="000D5097">
        <w:rPr>
          <w:rFonts w:ascii="Tahoma" w:hAnsi="Tahoma" w:cs="Tahoma"/>
          <w:sz w:val="16"/>
          <w:szCs w:val="16"/>
        </w:rPr>
        <w:t xml:space="preserve">V Praze dne:       </w:t>
      </w:r>
    </w:p>
    <w:p w14:paraId="69BD4A0B" w14:textId="77777777" w:rsidR="00FE6B8F" w:rsidRPr="000D50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DCE6B47" w14:textId="77777777" w:rsidR="00A76D75" w:rsidRPr="000D50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12F6501F" w14:textId="77777777" w:rsidR="00C41146" w:rsidRPr="000D50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0E6C7A20" w14:textId="77777777" w:rsidR="00BB3057" w:rsidRPr="000D50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295CE53" w14:textId="77777777" w:rsidR="00E258AF" w:rsidRPr="000D5097" w:rsidRDefault="00E258AF" w:rsidP="00FD635C">
      <w:pPr>
        <w:rPr>
          <w:rFonts w:ascii="Tahoma" w:hAnsi="Tahoma" w:cs="Tahoma"/>
          <w:sz w:val="16"/>
          <w:szCs w:val="16"/>
        </w:rPr>
      </w:pPr>
    </w:p>
    <w:p w14:paraId="781948E6" w14:textId="77777777" w:rsidR="009B16AF" w:rsidRPr="000D5097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>z</w:t>
      </w:r>
      <w:r w:rsidR="009B16AF" w:rsidRPr="000D5097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0D5097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0D5097">
        <w:rPr>
          <w:rFonts w:ascii="Tahoma" w:hAnsi="Tahoma" w:cs="Tahoma"/>
          <w:sz w:val="16"/>
          <w:szCs w:val="16"/>
        </w:rPr>
        <w:t>a kupujícího:</w:t>
      </w:r>
    </w:p>
    <w:p w14:paraId="7D0E9E68" w14:textId="77777777" w:rsidR="009B16AF" w:rsidRPr="000D509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4DFE98D" w14:textId="77777777" w:rsidR="009B16AF" w:rsidRPr="000D509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D0FA41C" w14:textId="77777777" w:rsidR="009B16AF" w:rsidRPr="000D509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C179081" w14:textId="77777777" w:rsidR="009B16AF" w:rsidRPr="000D509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F0F5F89" w14:textId="77777777" w:rsidR="009B16AF" w:rsidRPr="000D5097" w:rsidRDefault="009B16AF" w:rsidP="009B16AF">
      <w:pPr>
        <w:rPr>
          <w:rFonts w:ascii="Tahoma" w:hAnsi="Tahoma" w:cs="Tahoma"/>
          <w:sz w:val="16"/>
          <w:szCs w:val="16"/>
        </w:rPr>
      </w:pPr>
    </w:p>
    <w:p w14:paraId="2BD0C6DD" w14:textId="0534F4A1" w:rsidR="009B16AF" w:rsidRPr="000D5097" w:rsidRDefault="00CE24DA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Miroslav Krpálek</w:t>
      </w:r>
      <w:r w:rsidR="009B16AF" w:rsidRPr="000D5097">
        <w:rPr>
          <w:rFonts w:ascii="Tahoma" w:hAnsi="Tahoma" w:cs="Tahoma"/>
          <w:sz w:val="16"/>
          <w:szCs w:val="16"/>
        </w:rPr>
        <w:tab/>
      </w:r>
      <w:r w:rsidR="009B16AF" w:rsidRPr="000D5097">
        <w:rPr>
          <w:rFonts w:ascii="Tahoma" w:hAnsi="Tahoma" w:cs="Tahoma"/>
          <w:sz w:val="16"/>
          <w:szCs w:val="16"/>
        </w:rPr>
        <w:tab/>
      </w:r>
      <w:r w:rsidR="009B16AF" w:rsidRPr="000D5097">
        <w:rPr>
          <w:rFonts w:ascii="Tahoma" w:hAnsi="Tahoma" w:cs="Tahoma"/>
          <w:sz w:val="16"/>
          <w:szCs w:val="16"/>
        </w:rPr>
        <w:tab/>
        <w:t xml:space="preserve">                           </w:t>
      </w:r>
      <w:r w:rsidR="007D34C2" w:rsidRPr="000D5097">
        <w:rPr>
          <w:rFonts w:ascii="Tahoma" w:hAnsi="Tahoma" w:cs="Tahoma"/>
          <w:sz w:val="16"/>
          <w:szCs w:val="16"/>
        </w:rPr>
        <w:tab/>
      </w:r>
      <w:r w:rsidR="009B16AF" w:rsidRPr="000D5097">
        <w:rPr>
          <w:rFonts w:ascii="Tahoma" w:hAnsi="Tahoma" w:cs="Tahoma"/>
          <w:sz w:val="16"/>
          <w:szCs w:val="16"/>
        </w:rPr>
        <w:t xml:space="preserve">  </w:t>
      </w:r>
      <w:r w:rsidR="009B16AF" w:rsidRPr="000D5097">
        <w:rPr>
          <w:rFonts w:ascii="Tahoma" w:hAnsi="Tahoma" w:cs="Tahoma"/>
          <w:sz w:val="16"/>
          <w:szCs w:val="16"/>
        </w:rPr>
        <w:tab/>
      </w:r>
      <w:r w:rsidR="00760A12" w:rsidRPr="000D5097">
        <w:rPr>
          <w:rFonts w:ascii="Tahoma" w:hAnsi="Tahoma" w:cs="Tahoma"/>
          <w:sz w:val="16"/>
          <w:szCs w:val="16"/>
        </w:rPr>
        <w:t>prof. MUDr. David Feltl, Ph.D., MBA</w:t>
      </w:r>
    </w:p>
    <w:p w14:paraId="0369D9B1" w14:textId="77777777" w:rsidR="009B16AF" w:rsidRPr="000D5097" w:rsidRDefault="009B16AF" w:rsidP="009B16AF">
      <w:pPr>
        <w:rPr>
          <w:rFonts w:ascii="Tahoma" w:hAnsi="Tahoma" w:cs="Tahoma"/>
          <w:sz w:val="16"/>
          <w:szCs w:val="16"/>
        </w:rPr>
      </w:pPr>
      <w:r w:rsidRPr="000D5097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0D5097">
        <w:rPr>
          <w:rFonts w:ascii="Tahoma" w:hAnsi="Tahoma" w:cs="Tahoma"/>
          <w:sz w:val="16"/>
          <w:szCs w:val="16"/>
        </w:rPr>
        <w:tab/>
      </w:r>
      <w:r w:rsidRPr="000D5097">
        <w:rPr>
          <w:rFonts w:ascii="Tahoma" w:hAnsi="Tahoma" w:cs="Tahoma"/>
          <w:sz w:val="16"/>
          <w:szCs w:val="16"/>
        </w:rPr>
        <w:tab/>
      </w:r>
      <w:r w:rsidRPr="000D5097">
        <w:rPr>
          <w:rFonts w:ascii="Tahoma" w:hAnsi="Tahoma" w:cs="Tahoma"/>
          <w:sz w:val="16"/>
          <w:szCs w:val="16"/>
        </w:rPr>
        <w:tab/>
      </w:r>
      <w:r w:rsidR="00760A12" w:rsidRPr="000D5097">
        <w:rPr>
          <w:rFonts w:ascii="Tahoma" w:hAnsi="Tahoma" w:cs="Tahoma"/>
          <w:sz w:val="16"/>
          <w:szCs w:val="16"/>
        </w:rPr>
        <w:t>ředitel</w:t>
      </w:r>
    </w:p>
    <w:p w14:paraId="0ED100C5" w14:textId="77777777" w:rsidR="009B16AF" w:rsidRPr="000D5097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3173227" w14:textId="77777777" w:rsidR="009B16AF" w:rsidRPr="000D5097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BEBB891" w14:textId="77777777" w:rsidR="00FD635C" w:rsidRPr="000D5097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D146793" w14:textId="77777777" w:rsidR="00FD635C" w:rsidRPr="000D5097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2D63529" w14:textId="77777777" w:rsidR="00E51725" w:rsidRPr="000D5097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EC26007" w14:textId="5BD86277" w:rsidR="00E51725" w:rsidRP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0D5097">
        <w:rPr>
          <w:rFonts w:ascii="Arial" w:hAnsi="Arial" w:cs="Arial"/>
          <w:b/>
          <w:sz w:val="16"/>
          <w:szCs w:val="16"/>
        </w:rPr>
        <w:br w:type="page"/>
      </w:r>
      <w:r w:rsidR="00E51725" w:rsidRPr="000D5097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0D5097">
        <w:rPr>
          <w:rFonts w:ascii="Arial" w:hAnsi="Arial" w:cs="Arial"/>
          <w:b/>
          <w:sz w:val="16"/>
          <w:szCs w:val="16"/>
        </w:rPr>
        <w:t xml:space="preserve">výsledků </w:t>
      </w:r>
      <w:r w:rsidR="004B718B" w:rsidRPr="000D5097">
        <w:rPr>
          <w:rFonts w:ascii="Arial" w:hAnsi="Arial" w:cs="Arial"/>
          <w:b/>
          <w:sz w:val="16"/>
          <w:szCs w:val="16"/>
        </w:rPr>
        <w:t>veřejné zakázky</w:t>
      </w:r>
    </w:p>
    <w:p w14:paraId="11EAC93B" w14:textId="77777777" w:rsidR="00E51725" w:rsidRDefault="00E51725" w:rsidP="00C1046B">
      <w:pPr>
        <w:rPr>
          <w:rFonts w:ascii="Arial" w:hAnsi="Arial" w:cs="Arial"/>
          <w:b/>
          <w:sz w:val="16"/>
          <w:szCs w:val="16"/>
        </w:rPr>
      </w:pPr>
    </w:p>
    <w:tbl>
      <w:tblPr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355"/>
        <w:gridCol w:w="1669"/>
        <w:gridCol w:w="1117"/>
        <w:gridCol w:w="584"/>
        <w:gridCol w:w="709"/>
        <w:gridCol w:w="1606"/>
        <w:gridCol w:w="359"/>
        <w:gridCol w:w="911"/>
        <w:gridCol w:w="30"/>
      </w:tblGrid>
      <w:tr w:rsidR="00C1046B" w14:paraId="4F4071D1" w14:textId="77777777" w:rsidTr="00C1046B">
        <w:trPr>
          <w:gridAfter w:val="1"/>
          <w:wAfter w:w="30" w:type="dxa"/>
          <w:trHeight w:val="65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F56EB1A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Položka č.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4861BBD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7E2EC97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79B28E8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Rozměr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67D3422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Síla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C45CCE6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Potisk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CD27781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požadavek na balení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13F9BE8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04CD97D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cena za MJ bez DPH</w:t>
            </w:r>
          </w:p>
        </w:tc>
      </w:tr>
      <w:tr w:rsidR="00C1046B" w14:paraId="25610015" w14:textId="77777777" w:rsidTr="00C1046B">
        <w:trPr>
          <w:trHeight w:val="504"/>
        </w:trPr>
        <w:tc>
          <w:tcPr>
            <w:tcW w:w="8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B3DDB" w14:textId="77777777" w:rsidR="00C1046B" w:rsidRDefault="00C1046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Skupina II.</w:t>
            </w:r>
          </w:p>
        </w:tc>
      </w:tr>
      <w:tr w:rsidR="00C1046B" w14:paraId="1D74F019" w14:textId="77777777" w:rsidTr="00C1046B">
        <w:trPr>
          <w:gridAfter w:val="1"/>
          <w:wAfter w:w="30" w:type="dxa"/>
          <w:trHeight w:val="4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F37B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84F5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020000000474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8B95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sáček odpad., červený, 500x600mm, 15 mi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D881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500x600mm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8CA1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C611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bez potisku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6240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role, 50ks na roli, balení v krabici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16A0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EF1C" w14:textId="77777777" w:rsidR="00C1046B" w:rsidRDefault="00C1046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0,52 Kč</w:t>
            </w:r>
          </w:p>
        </w:tc>
      </w:tr>
      <w:tr w:rsidR="00C1046B" w14:paraId="59C5E177" w14:textId="77777777" w:rsidTr="00C1046B">
        <w:trPr>
          <w:gridAfter w:val="1"/>
          <w:wAfter w:w="30" w:type="dxa"/>
          <w:trHeight w:val="4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AA47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2C4C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020000000513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5CE4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sáček odpad., červený, 630x850mm, 30 mi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6547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630x850mm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3573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 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62C1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bez potisku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681F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role, 25-50ks na roli, balení v krabici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3738" w14:textId="77777777" w:rsidR="00C1046B" w:rsidRDefault="00C104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1D88" w14:textId="77777777" w:rsidR="00C1046B" w:rsidRDefault="00C1046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1,35 Kč</w:t>
            </w:r>
          </w:p>
        </w:tc>
      </w:tr>
    </w:tbl>
    <w:p w14:paraId="6FFCB729" w14:textId="77777777" w:rsidR="00C1046B" w:rsidRPr="00E51725" w:rsidRDefault="00C1046B" w:rsidP="00C1046B">
      <w:pPr>
        <w:rPr>
          <w:rFonts w:ascii="Arial" w:hAnsi="Arial" w:cs="Arial"/>
          <w:b/>
          <w:sz w:val="16"/>
          <w:szCs w:val="16"/>
        </w:rPr>
      </w:pPr>
    </w:p>
    <w:sectPr w:rsidR="00C1046B" w:rsidRPr="00E51725" w:rsidSect="00D43C36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D582" w14:textId="77777777" w:rsidR="00C2012D" w:rsidRDefault="00C2012D">
      <w:r>
        <w:separator/>
      </w:r>
    </w:p>
  </w:endnote>
  <w:endnote w:type="continuationSeparator" w:id="0">
    <w:p w14:paraId="392609B4" w14:textId="77777777" w:rsidR="00C2012D" w:rsidRDefault="00C2012D">
      <w:r>
        <w:continuationSeparator/>
      </w:r>
    </w:p>
  </w:endnote>
  <w:endnote w:type="continuationNotice" w:id="1">
    <w:p w14:paraId="0A6777DF" w14:textId="77777777" w:rsidR="00C2012D" w:rsidRDefault="00C20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5A62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0013" w14:textId="77777777" w:rsidR="00C2012D" w:rsidRDefault="00C2012D">
      <w:r>
        <w:separator/>
      </w:r>
    </w:p>
  </w:footnote>
  <w:footnote w:type="continuationSeparator" w:id="0">
    <w:p w14:paraId="6CED9A99" w14:textId="77777777" w:rsidR="00C2012D" w:rsidRDefault="00C2012D">
      <w:r>
        <w:continuationSeparator/>
      </w:r>
    </w:p>
  </w:footnote>
  <w:footnote w:type="continuationNotice" w:id="1">
    <w:p w14:paraId="1ED7AB1F" w14:textId="77777777" w:rsidR="00C2012D" w:rsidRDefault="00C20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F3F5" w14:textId="49C444CF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A91DF9">
      <w:rPr>
        <w:rFonts w:ascii="Arial" w:hAnsi="Arial" w:cs="Arial"/>
        <w:b/>
        <w:sz w:val="18"/>
        <w:szCs w:val="18"/>
      </w:rPr>
      <w:t>1154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3E40CC">
      <w:rPr>
        <w:rFonts w:ascii="Arial" w:hAnsi="Arial" w:cs="Arial"/>
        <w:b/>
        <w:sz w:val="18"/>
        <w:szCs w:val="18"/>
      </w:rPr>
      <w:t>5</w:t>
    </w:r>
  </w:p>
  <w:p w14:paraId="3F23FA76" w14:textId="77777777" w:rsidR="00F631EC" w:rsidRDefault="00F631EC" w:rsidP="00D94981">
    <w:pPr>
      <w:pStyle w:val="Zhlav"/>
      <w:jc w:val="right"/>
      <w:rPr>
        <w:b/>
      </w:rPr>
    </w:pPr>
  </w:p>
  <w:p w14:paraId="624C4F77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F30B3B"/>
    <w:multiLevelType w:val="hybridMultilevel"/>
    <w:tmpl w:val="BEA2F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7712548">
    <w:abstractNumId w:val="7"/>
  </w:num>
  <w:num w:numId="2" w16cid:durableId="949627918">
    <w:abstractNumId w:val="28"/>
  </w:num>
  <w:num w:numId="3" w16cid:durableId="1230723474">
    <w:abstractNumId w:val="21"/>
  </w:num>
  <w:num w:numId="4" w16cid:durableId="66652968">
    <w:abstractNumId w:val="27"/>
  </w:num>
  <w:num w:numId="5" w16cid:durableId="997224969">
    <w:abstractNumId w:val="6"/>
  </w:num>
  <w:num w:numId="6" w16cid:durableId="334959902">
    <w:abstractNumId w:val="40"/>
  </w:num>
  <w:num w:numId="7" w16cid:durableId="1522744450">
    <w:abstractNumId w:val="30"/>
  </w:num>
  <w:num w:numId="8" w16cid:durableId="2147313565">
    <w:abstractNumId w:val="12"/>
  </w:num>
  <w:num w:numId="9" w16cid:durableId="1315842457">
    <w:abstractNumId w:val="8"/>
  </w:num>
  <w:num w:numId="10" w16cid:durableId="295069267">
    <w:abstractNumId w:val="34"/>
  </w:num>
  <w:num w:numId="11" w16cid:durableId="1189953417">
    <w:abstractNumId w:val="9"/>
  </w:num>
  <w:num w:numId="12" w16cid:durableId="464930993">
    <w:abstractNumId w:val="32"/>
  </w:num>
  <w:num w:numId="13" w16cid:durableId="1733691781">
    <w:abstractNumId w:val="3"/>
  </w:num>
  <w:num w:numId="14" w16cid:durableId="1908613500">
    <w:abstractNumId w:val="26"/>
  </w:num>
  <w:num w:numId="15" w16cid:durableId="1215507662">
    <w:abstractNumId w:val="19"/>
  </w:num>
  <w:num w:numId="16" w16cid:durableId="554388161">
    <w:abstractNumId w:val="11"/>
  </w:num>
  <w:num w:numId="17" w16cid:durableId="257103240">
    <w:abstractNumId w:val="1"/>
  </w:num>
  <w:num w:numId="18" w16cid:durableId="1018696770">
    <w:abstractNumId w:val="25"/>
  </w:num>
  <w:num w:numId="19" w16cid:durableId="1469586618">
    <w:abstractNumId w:val="2"/>
  </w:num>
  <w:num w:numId="20" w16cid:durableId="1183476584">
    <w:abstractNumId w:val="10"/>
  </w:num>
  <w:num w:numId="21" w16cid:durableId="848369280">
    <w:abstractNumId w:val="39"/>
  </w:num>
  <w:num w:numId="22" w16cid:durableId="1546717761">
    <w:abstractNumId w:val="5"/>
  </w:num>
  <w:num w:numId="23" w16cid:durableId="2138912585">
    <w:abstractNumId w:val="4"/>
  </w:num>
  <w:num w:numId="24" w16cid:durableId="497695342">
    <w:abstractNumId w:val="35"/>
  </w:num>
  <w:num w:numId="25" w16cid:durableId="1486580048">
    <w:abstractNumId w:val="15"/>
  </w:num>
  <w:num w:numId="26" w16cid:durableId="2040928337">
    <w:abstractNumId w:val="31"/>
  </w:num>
  <w:num w:numId="27" w16cid:durableId="204146822">
    <w:abstractNumId w:val="16"/>
  </w:num>
  <w:num w:numId="28" w16cid:durableId="866454180">
    <w:abstractNumId w:val="22"/>
  </w:num>
  <w:num w:numId="29" w16cid:durableId="1546722671">
    <w:abstractNumId w:val="38"/>
  </w:num>
  <w:num w:numId="30" w16cid:durableId="14066071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0552812">
    <w:abstractNumId w:val="0"/>
  </w:num>
  <w:num w:numId="32" w16cid:durableId="1128863858">
    <w:abstractNumId w:val="36"/>
  </w:num>
  <w:num w:numId="33" w16cid:durableId="215433066">
    <w:abstractNumId w:val="33"/>
  </w:num>
  <w:num w:numId="34" w16cid:durableId="60061099">
    <w:abstractNumId w:val="18"/>
  </w:num>
  <w:num w:numId="35" w16cid:durableId="1866476181">
    <w:abstractNumId w:val="29"/>
  </w:num>
  <w:num w:numId="36" w16cid:durableId="13534535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78741">
    <w:abstractNumId w:val="37"/>
  </w:num>
  <w:num w:numId="38" w16cid:durableId="1082145254">
    <w:abstractNumId w:val="14"/>
  </w:num>
  <w:num w:numId="39" w16cid:durableId="2032416736">
    <w:abstractNumId w:val="13"/>
  </w:num>
  <w:num w:numId="40" w16cid:durableId="1233077475">
    <w:abstractNumId w:val="20"/>
  </w:num>
  <w:num w:numId="41" w16cid:durableId="180700928">
    <w:abstractNumId w:val="23"/>
  </w:num>
  <w:num w:numId="42" w16cid:durableId="344554766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144080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46424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C7BBF"/>
    <w:rsid w:val="000D1B36"/>
    <w:rsid w:val="000D5097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55E0D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3D84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1919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16D8E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66655"/>
    <w:rsid w:val="003747DA"/>
    <w:rsid w:val="0039145D"/>
    <w:rsid w:val="003928F1"/>
    <w:rsid w:val="00396458"/>
    <w:rsid w:val="003A1B2D"/>
    <w:rsid w:val="003A2C9D"/>
    <w:rsid w:val="003A586C"/>
    <w:rsid w:val="003A6FA0"/>
    <w:rsid w:val="003A7BED"/>
    <w:rsid w:val="003B5E23"/>
    <w:rsid w:val="003C30FE"/>
    <w:rsid w:val="003C3659"/>
    <w:rsid w:val="003C5479"/>
    <w:rsid w:val="003C6266"/>
    <w:rsid w:val="003E25F0"/>
    <w:rsid w:val="003E40CC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200D"/>
    <w:rsid w:val="00477115"/>
    <w:rsid w:val="004827A9"/>
    <w:rsid w:val="004836EC"/>
    <w:rsid w:val="00492844"/>
    <w:rsid w:val="00495B36"/>
    <w:rsid w:val="004A055B"/>
    <w:rsid w:val="004A26FB"/>
    <w:rsid w:val="004A3CCC"/>
    <w:rsid w:val="004A75F6"/>
    <w:rsid w:val="004B3904"/>
    <w:rsid w:val="004B61EF"/>
    <w:rsid w:val="004B718B"/>
    <w:rsid w:val="004B7650"/>
    <w:rsid w:val="004C1040"/>
    <w:rsid w:val="004C38D8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67E70"/>
    <w:rsid w:val="00672035"/>
    <w:rsid w:val="00676E59"/>
    <w:rsid w:val="00682B14"/>
    <w:rsid w:val="00683DFC"/>
    <w:rsid w:val="006846CA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D7BC6"/>
    <w:rsid w:val="006F5B01"/>
    <w:rsid w:val="007043BA"/>
    <w:rsid w:val="00705919"/>
    <w:rsid w:val="00707B76"/>
    <w:rsid w:val="0071420F"/>
    <w:rsid w:val="00716AFE"/>
    <w:rsid w:val="007212E3"/>
    <w:rsid w:val="0072752B"/>
    <w:rsid w:val="00735BC7"/>
    <w:rsid w:val="0074098C"/>
    <w:rsid w:val="0074473F"/>
    <w:rsid w:val="00744C05"/>
    <w:rsid w:val="00744D14"/>
    <w:rsid w:val="0075152F"/>
    <w:rsid w:val="00752DD7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161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85F31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2CA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813"/>
    <w:rsid w:val="009C7A64"/>
    <w:rsid w:val="009D6BEE"/>
    <w:rsid w:val="009D7142"/>
    <w:rsid w:val="009E1FB4"/>
    <w:rsid w:val="009F2882"/>
    <w:rsid w:val="009F3257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91DF9"/>
    <w:rsid w:val="00AA0E7B"/>
    <w:rsid w:val="00AA2B4D"/>
    <w:rsid w:val="00AA7F91"/>
    <w:rsid w:val="00AB0353"/>
    <w:rsid w:val="00AB3E4E"/>
    <w:rsid w:val="00AB483F"/>
    <w:rsid w:val="00AD10C2"/>
    <w:rsid w:val="00AD2342"/>
    <w:rsid w:val="00AE4BBD"/>
    <w:rsid w:val="00AF125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0F78"/>
    <w:rsid w:val="00B5352D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046B"/>
    <w:rsid w:val="00C11D41"/>
    <w:rsid w:val="00C167D5"/>
    <w:rsid w:val="00C2012D"/>
    <w:rsid w:val="00C209A4"/>
    <w:rsid w:val="00C23FCC"/>
    <w:rsid w:val="00C247EC"/>
    <w:rsid w:val="00C25073"/>
    <w:rsid w:val="00C27369"/>
    <w:rsid w:val="00C35DF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4DA"/>
    <w:rsid w:val="00CE25F1"/>
    <w:rsid w:val="00CF0AAD"/>
    <w:rsid w:val="00CF29D4"/>
    <w:rsid w:val="00CF3A5F"/>
    <w:rsid w:val="00D02BFE"/>
    <w:rsid w:val="00D0338A"/>
    <w:rsid w:val="00D04731"/>
    <w:rsid w:val="00D05935"/>
    <w:rsid w:val="00D06F46"/>
    <w:rsid w:val="00D101BF"/>
    <w:rsid w:val="00D12D00"/>
    <w:rsid w:val="00D12D52"/>
    <w:rsid w:val="00D17D51"/>
    <w:rsid w:val="00D2495E"/>
    <w:rsid w:val="00D34902"/>
    <w:rsid w:val="00D3652A"/>
    <w:rsid w:val="00D36A18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47B2"/>
    <w:rsid w:val="00E952F3"/>
    <w:rsid w:val="00E963EE"/>
    <w:rsid w:val="00E966E7"/>
    <w:rsid w:val="00EA3810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43538"/>
    <w:rsid w:val="00F51533"/>
    <w:rsid w:val="00F555EB"/>
    <w:rsid w:val="00F57C42"/>
    <w:rsid w:val="00F60263"/>
    <w:rsid w:val="00F61294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506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83088"/>
  <w15:chartTrackingRefBased/>
  <w15:docId w15:val="{D60F1360-4844-4CA8-89B4-635DC958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styleId="Nevyeenzmnka">
    <w:name w:val="Unresolved Mention"/>
    <w:basedOn w:val="Standardnpsmoodstavce"/>
    <w:uiPriority w:val="99"/>
    <w:semiHidden/>
    <w:unhideWhenUsed/>
    <w:rsid w:val="00CE2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rpalek@granim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1529-1154/1154-25_RS.docx</ZkracenyRetezec>
    <Smazat xmlns="acca34e4-9ecd-41c8-99eb-d6aa654aaa55">&lt;a href="/sites/evidencesmluv/_layouts/15/IniWrkflIP.aspx?List=%7b45688869-8B73-4574-991F-DA277FEECC6D%7d&amp;amp;ID=3248&amp;amp;ItemGuid=%7bB773079B-2F6F-4015-8DFB-8F5BEFA9B08D%7d&amp;amp;TemplateID=%7bd3f8102e-f4a5-4901-b93c-fb146a9d820d%7d"&gt;&lt;img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CFE2A-6FAB-4C99-B495-F4E9F028AB2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A8B4929-BDAD-47DA-B62D-D9137A061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0505CB8-BBF6-460C-B81D-AB855E5C0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3083</Words>
  <Characters>18434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21475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2025-12-30T12:48:00Z</cp:lastPrinted>
  <dcterms:created xsi:type="dcterms:W3CDTF">2026-01-20T06:16:00Z</dcterms:created>
  <dcterms:modified xsi:type="dcterms:W3CDTF">2026-01-20T06:16:00Z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c356d378-f633-456d-80f6-8bc6031cbccb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