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787" w:left="2988" w:right="2978" w:bottom="1557" w:header="359" w:footer="3" w:gutter="0"/>
          <w:pgNumType w:start="1"/>
          <w:cols w:space="720"/>
          <w:noEndnote/>
          <w:rtlGutter w:val="0"/>
          <w:docGrid w:linePitch="360"/>
        </w:sectPr>
      </w:pPr>
      <w:bookmarkStart w:id="0" w:name="bookmark0"/>
      <w:bookmarkStart w:id="1" w:name="bookmark1"/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 nájemní smlouvě č.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01/POh/24 POh 1266/2024</w:t>
      </w:r>
      <w:bookmarkEnd w:id="0"/>
      <w:bookmarkEnd w:id="1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787" w:left="0" w:right="0" w:bottom="8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/>
        <w:keepLines/>
        <w:framePr w:w="1584" w:h="379" w:wrap="none" w:vAnchor="text" w:hAnchor="page" w:x="139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Smluvní strany:</w:t>
      </w:r>
      <w:bookmarkEnd w:id="3"/>
      <w:bookmarkEnd w:id="4"/>
      <w:bookmarkEnd w:id="5"/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787" w:left="1394" w:right="1389" w:bottom="8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/>
        <w:keepLines/>
        <w:widowControl w:val="0"/>
        <w:shd w:val="clear" w:color="auto" w:fill="auto"/>
        <w:tabs>
          <w:tab w:pos="1014" w:val="left"/>
        </w:tabs>
        <w:bidi w:val="0"/>
        <w:spacing w:before="0" w:after="0" w:line="240" w:lineRule="auto"/>
        <w:ind w:left="0" w:right="0" w:firstLine="56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12700</wp:posOffset>
                </wp:positionV>
                <wp:extent cx="1029970" cy="115506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9970" cy="11550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Obchodní název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Sídlo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IČO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DIČ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Statutární orgán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Číslo účtu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700000000000003pt;margin-top:1.pt;width:81.100000000000009pt;height:90.95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Obchodní název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Sídlo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IČO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DIČ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Statutární orgán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Číslo účtu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6" w:name="bookmark6"/>
      <w:bookmarkStart w:id="7" w:name="bookmark7"/>
      <w:bookmarkStart w:id="8" w:name="bookmark8"/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</w:t>
      </w:r>
      <w:bookmarkEnd w:id="6"/>
      <w:bookmarkEnd w:id="7"/>
      <w:bookmarkEnd w:id="8"/>
    </w:p>
    <w:p>
      <w:pPr>
        <w:pStyle w:val="Style11"/>
        <w:keepNext w:val="0"/>
        <w:keepLines w:val="0"/>
        <w:widowControl w:val="0"/>
        <w:shd w:val="clear" w:color="auto" w:fill="auto"/>
        <w:tabs>
          <w:tab w:pos="1014" w:val="left"/>
        </w:tabs>
        <w:bidi w:val="0"/>
        <w:spacing w:before="0" w:after="0" w:line="240" w:lineRule="auto"/>
        <w:ind w:left="0" w:right="0" w:firstLine="560"/>
        <w:jc w:val="left"/>
      </w:pPr>
      <w:bookmarkStart w:id="9" w:name="bookmark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</w:t>
        <w:tab/>
        <w:t>Bezručova 4219, 430 03 Chomutov</w:t>
      </w:r>
      <w:bookmarkEnd w:id="9"/>
    </w:p>
    <w:p>
      <w:pPr>
        <w:pStyle w:val="Style11"/>
        <w:keepNext w:val="0"/>
        <w:keepLines w:val="0"/>
        <w:widowControl w:val="0"/>
        <w:shd w:val="clear" w:color="auto" w:fill="auto"/>
        <w:tabs>
          <w:tab w:pos="1014" w:val="left"/>
        </w:tabs>
        <w:bidi w:val="0"/>
        <w:spacing w:before="0" w:after="0" w:line="240" w:lineRule="auto"/>
        <w:ind w:left="0" w:right="0" w:firstLine="5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</w:t>
        <w:tab/>
        <w:t>70889988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1014" w:val="left"/>
        </w:tabs>
        <w:bidi w:val="0"/>
        <w:spacing w:before="0" w:after="0" w:line="240" w:lineRule="auto"/>
        <w:ind w:left="0" w:right="0" w:firstLine="5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</w:t>
        <w:tab/>
        <w:t>CZ70889988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5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32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419100</wp:posOffset>
                </wp:positionV>
                <wp:extent cx="1195070" cy="199326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5070" cy="1993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(dále jen Nájemce)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Obchodní název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Sídlo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IČO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DIČ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Zastoupená Bankovní spojení Číslo účtu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700000000000003pt;margin-top:33.pt;width:94.100000000000009pt;height:156.95000000000002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(dále jen Nájemce)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a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Obchodní název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Sídlo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IČO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DIČ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Zastoupená Bankovní spojení Číslo účtu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vedeném Krajským soudem v Ústí nad Labem v oddílu A, vložka 13052.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AmiCom Teplice s. r. o.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 Revoluční 666, Teplice 415 01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748" w:val="left"/>
        </w:tabs>
        <w:bidi w:val="0"/>
        <w:spacing w:before="0" w:after="0" w:line="240" w:lineRule="auto"/>
        <w:ind w:left="0" w:right="0" w:firstLine="3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</w:t>
        <w:tab/>
        <w:t>61325546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748" w:val="left"/>
        </w:tabs>
        <w:bidi w:val="0"/>
        <w:spacing w:before="0" w:after="0" w:line="240" w:lineRule="auto"/>
        <w:ind w:left="0" w:right="0" w:firstLine="3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</w:t>
        <w:tab/>
        <w:t>CZ61325546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3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AmiCom Teplice s.r.o. je zapsaná v obchodním rejstříku vedeném Krajským soudem v Ústí nad Labem v oddílu C, vložka 6966.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Pronajímatel)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 na těchto změnách v nájemní smlouvě: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Míra inflace vyhlášená Českým statistickým úřadem za rok 2025 činí 2,5 %. Dle článku II, bodu 2.3 nájemní smlouvy č. 01/POh/24 POh 1266/2024 se nájemné o tuto inflaci upravuje.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Nájemné</w:t>
      </w:r>
    </w:p>
    <w:p>
      <w:pPr>
        <w:pStyle w:val="Style1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8" w:val="left"/>
        </w:tabs>
        <w:bidi w:val="0"/>
        <w:spacing w:before="0"/>
        <w:ind w:left="720" w:right="0" w:hanging="72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Nájemné dle této smlouvy činí za 1 kalendářní rok částku Kč 115.620,-. Nájemné je uvedeno bez daně z přidané hodnoty (dále jen „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“), která bude dopočítána dle platných právních předpisů. V nájemném za kalendářní rok jsou zahrnuty veškeré náklady za služby související s umístěním zařízení nájemce (úklid, údržba Předmětu nájmu apod.) včetně dodávky elektrické energie (viz čl. III. této smlouvy).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</w:t>
      </w:r>
    </w:p>
    <w:p>
      <w:pPr>
        <w:pStyle w:val="Style1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8" w:val="left"/>
        </w:tabs>
        <w:bidi w:val="0"/>
        <w:spacing w:before="0" w:after="280"/>
        <w:ind w:left="0" w:right="0" w:firstLine="0"/>
        <w:jc w:val="left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jedné čtvrtletní splátky činí Kč 28.905,00 bez DPH.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 Plnění předmětu této smlouvy před účinností této smlouvy se považuje za plnění podle této smlouvy a práva a povinnosti z něj vzniklé se řídí touto smlouvou.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body nájemní smlouvy tímto dodatkem neřešené zůstávají v platnosti.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nabývá platnosti dnem podpisu obou smluvních stran s účinností datem uveřejnění v registru smluv.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je vyhotoven ve dvou výtiscích, z nichž každý má platnost originálu. Každá smluvní strana obdrží po jednom podepsaném výtisku.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787" w:left="1394" w:right="1389" w:bottom="1557" w:header="359" w:footer="3" w:gutter="0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Teplicích dne …………………………….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5" w:after="3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901" w:left="0" w:right="0" w:bottom="190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…………………………………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………………………………..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901" w:left="2100" w:right="1793" w:bottom="1901" w:header="0" w:footer="3" w:gutter="0"/>
          <w:cols w:num="2" w:space="1755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Pronajímatel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901" w:left="2100" w:right="1793" w:bottom="1901" w:header="0" w:footer="3" w:gutter="0"/>
      <w:cols w:num="2" w:space="1755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903605</wp:posOffset>
              </wp:positionH>
              <wp:positionV relativeFrom="page">
                <wp:posOffset>10082530</wp:posOffset>
              </wp:positionV>
              <wp:extent cx="996950" cy="17081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6950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(celkem 2)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.150000000000006pt;margin-top:793.89999999999998pt;width:78.5pt;height:13.4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(celkem 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"/>
      <w:numFmt w:val="decimal"/>
      <w:lvlText w:val="6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b/>
      <w:bCs/>
      <w:i w:val="0"/>
      <w:iCs w:val="0"/>
      <w:smallCaps w:val="0"/>
      <w:strike w:val="0"/>
      <w:u w:val="none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  <w:outlineLvl w:val="0"/>
    </w:pPr>
    <w:rPr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ind w:firstLine="280"/>
      <w:outlineLvl w:val="1"/>
    </w:pPr>
    <w:rPr>
      <w:b/>
      <w:bCs/>
      <w:i w:val="0"/>
      <w:iCs w:val="0"/>
      <w:smallCaps w:val="0"/>
      <w:strike w:val="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80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770"/>
    </w:pPr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220" w:line="264" w:lineRule="auto"/>
      <w:ind w:left="360" w:hanging="3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Dodatek č</dc:title>
  <dc:subject/>
  <dc:creator>Alice Flesarová</dc:creator>
  <cp:keywords/>
</cp:coreProperties>
</file>