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200" w:after="0" w:line="240" w:lineRule="auto"/>
        <w:ind w:left="0" w:right="0" w:firstLine="0"/>
        <w:jc w:val="center"/>
      </w:pPr>
      <w:bookmarkStart w:id="0" w:name="bookmark0"/>
      <w:bookmarkStart w:id="1" w:name="bookmark1"/>
      <w:bookmarkStart w:id="2" w:name="bookmark2"/>
      <w:r>
        <w:rPr>
          <w:rFonts w:ascii="Times New Roman" w:eastAsia="Times New Roman" w:hAnsi="Times New Roman" w:cs="Times New Roman"/>
          <w:color w:val="000000"/>
          <w:spacing w:val="0"/>
          <w:w w:val="100"/>
          <w:position w:val="0"/>
          <w:shd w:val="clear" w:color="auto" w:fill="auto"/>
          <w:lang w:val="cs-CZ" w:eastAsia="cs-CZ" w:bidi="cs-CZ"/>
        </w:rPr>
        <w:t>Smlouva</w:t>
      </w:r>
      <w:bookmarkEnd w:id="0"/>
      <w:bookmarkEnd w:id="1"/>
      <w:bookmarkEnd w:id="2"/>
    </w:p>
    <w:p>
      <w:pPr>
        <w:pStyle w:val="Style4"/>
        <w:keepNext/>
        <w:keepLines/>
        <w:widowControl w:val="0"/>
        <w:shd w:val="clear" w:color="auto" w:fill="auto"/>
        <w:bidi w:val="0"/>
        <w:spacing w:before="0" w:after="0" w:line="240" w:lineRule="auto"/>
        <w:ind w:left="0" w:right="0" w:firstLine="0"/>
        <w:jc w:val="center"/>
      </w:pPr>
      <w:bookmarkStart w:id="0" w:name="bookmark0"/>
      <w:bookmarkStart w:id="1" w:name="bookmark1"/>
      <w:bookmarkStart w:id="3" w:name="bookmark3"/>
      <w:r>
        <w:rPr>
          <w:rFonts w:ascii="Times New Roman" w:eastAsia="Times New Roman" w:hAnsi="Times New Roman" w:cs="Times New Roman"/>
          <w:color w:val="000000"/>
          <w:spacing w:val="0"/>
          <w:w w:val="100"/>
          <w:position w:val="0"/>
          <w:shd w:val="clear" w:color="auto" w:fill="auto"/>
          <w:lang w:val="cs-CZ" w:eastAsia="cs-CZ" w:bidi="cs-CZ"/>
        </w:rPr>
        <w:t>o zřízení věcného břemene - služebnosti cesty a stezky</w:t>
      </w:r>
      <w:bookmarkEnd w:id="0"/>
      <w:bookmarkEnd w:id="1"/>
      <w:bookmarkEnd w:id="3"/>
    </w:p>
    <w:p>
      <w:pPr>
        <w:pStyle w:val="Style4"/>
        <w:keepNext/>
        <w:keepLines/>
        <w:widowControl w:val="0"/>
        <w:shd w:val="clear" w:color="auto" w:fill="auto"/>
        <w:bidi w:val="0"/>
        <w:spacing w:before="0" w:after="0" w:line="240" w:lineRule="auto"/>
        <w:ind w:left="0" w:right="0" w:firstLine="0"/>
        <w:jc w:val="center"/>
      </w:pPr>
      <w:bookmarkStart w:id="0" w:name="bookmark0"/>
      <w:bookmarkStart w:id="1" w:name="bookmark1"/>
      <w:bookmarkStart w:id="4" w:name="bookmark4"/>
      <w:r>
        <w:rPr>
          <w:rFonts w:ascii="Times New Roman" w:eastAsia="Times New Roman" w:hAnsi="Times New Roman" w:cs="Times New Roman"/>
          <w:color w:val="000000"/>
          <w:spacing w:val="0"/>
          <w:w w:val="100"/>
          <w:position w:val="0"/>
          <w:shd w:val="clear" w:color="auto" w:fill="auto"/>
          <w:lang w:val="cs-CZ" w:eastAsia="cs-CZ" w:bidi="cs-CZ"/>
        </w:rPr>
        <w:t>a umístění stavby</w:t>
      </w:r>
      <w:bookmarkEnd w:id="0"/>
      <w:bookmarkEnd w:id="1"/>
      <w:bookmarkEnd w:id="4"/>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uzavřená dle § 1257 a násl. zákona č. 89/2012 Sb., občanský zákoník, ve znění pozdějších</w:t>
        <w:br/>
        <w:t>předpisů</w:t>
      </w:r>
    </w:p>
    <w:p>
      <w:pPr>
        <w:pStyle w:val="Style9"/>
        <w:keepNext/>
        <w:keepLines/>
        <w:widowControl w:val="0"/>
        <w:shd w:val="clear" w:color="auto" w:fill="auto"/>
        <w:bidi w:val="0"/>
        <w:spacing w:before="0" w:after="0" w:line="240" w:lineRule="auto"/>
        <w:ind w:left="0" w:right="0" w:firstLine="0"/>
        <w:jc w:val="center"/>
      </w:pPr>
      <w:bookmarkStart w:id="5" w:name="bookmark5"/>
      <w:bookmarkStart w:id="6" w:name="bookmark6"/>
      <w:bookmarkStart w:id="7" w:name="bookmark7"/>
      <w:r>
        <w:rPr>
          <w:rFonts w:ascii="Times New Roman" w:eastAsia="Times New Roman" w:hAnsi="Times New Roman" w:cs="Times New Roman"/>
          <w:color w:val="000000"/>
          <w:spacing w:val="0"/>
          <w:w w:val="100"/>
          <w:position w:val="0"/>
          <w:sz w:val="24"/>
          <w:szCs w:val="24"/>
          <w:shd w:val="clear" w:color="auto" w:fill="auto"/>
          <w:lang w:val="cs-CZ" w:eastAsia="cs-CZ" w:bidi="cs-CZ"/>
        </w:rPr>
        <w:t>POh, s.p. číslo 1193/2025</w:t>
      </w:r>
      <w:bookmarkEnd w:id="5"/>
      <w:bookmarkEnd w:id="6"/>
      <w:bookmarkEnd w:id="7"/>
    </w:p>
    <w:p>
      <w:pPr>
        <w:pStyle w:val="Style9"/>
        <w:keepNext/>
        <w:keepLines/>
        <w:widowControl w:val="0"/>
        <w:shd w:val="clear" w:color="auto" w:fill="auto"/>
        <w:bidi w:val="0"/>
        <w:spacing w:before="0" w:after="60" w:line="240" w:lineRule="auto"/>
        <w:ind w:left="0" w:right="0" w:firstLine="0"/>
        <w:jc w:val="center"/>
      </w:pPr>
      <w:bookmarkStart w:id="5" w:name="bookmark5"/>
      <w:bookmarkStart w:id="6" w:name="bookmark6"/>
      <w:bookmarkStart w:id="8" w:name="bookmark8"/>
      <w:r>
        <w:rPr>
          <w:rFonts w:ascii="Times New Roman" w:eastAsia="Times New Roman" w:hAnsi="Times New Roman" w:cs="Times New Roman"/>
          <w:color w:val="000000"/>
          <w:spacing w:val="0"/>
          <w:w w:val="100"/>
          <w:position w:val="0"/>
          <w:sz w:val="24"/>
          <w:szCs w:val="24"/>
          <w:shd w:val="clear" w:color="auto" w:fill="auto"/>
          <w:lang w:val="cs-CZ" w:eastAsia="cs-CZ" w:bidi="cs-CZ"/>
        </w:rPr>
        <w:t>č. 5/VB/2025</w:t>
      </w:r>
      <w:bookmarkEnd w:id="5"/>
      <w:bookmarkEnd w:id="6"/>
      <w:bookmarkEnd w:id="8"/>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„smlouva“)</w:t>
      </w:r>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w:t>
      </w:r>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Smluvní strany</w:t>
      </w:r>
    </w:p>
    <w:p>
      <w:pPr>
        <w:pStyle w:val="Style9"/>
        <w:keepNext/>
        <w:keepLines/>
        <w:widowControl w:val="0"/>
        <w:numPr>
          <w:ilvl w:val="0"/>
          <w:numId w:val="1"/>
        </w:numPr>
        <w:shd w:val="clear" w:color="auto" w:fill="auto"/>
        <w:tabs>
          <w:tab w:pos="706" w:val="left"/>
        </w:tabs>
        <w:bidi w:val="0"/>
        <w:spacing w:before="0" w:after="0" w:line="240" w:lineRule="auto"/>
        <w:ind w:left="0" w:right="0" w:firstLine="0"/>
        <w:jc w:val="left"/>
      </w:pPr>
      <w:bookmarkStart w:id="10" w:name="bookmark10"/>
      <w:bookmarkStart w:id="11" w:name="bookmark11"/>
      <w:bookmarkStart w:id="12" w:name="bookmark12"/>
      <w:bookmarkStart w:id="9" w:name="bookmark9"/>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Karlovarský kraj</w:t>
      </w:r>
      <w:bookmarkEnd w:id="10"/>
      <w:bookmarkEnd w:id="12"/>
      <w:bookmarkEnd w:id="9"/>
    </w:p>
    <w:p>
      <w:pPr>
        <w:pStyle w:val="Style2"/>
        <w:keepNext w:val="0"/>
        <w:keepLines w:val="0"/>
        <w:widowControl w:val="0"/>
        <w:shd w:val="clear" w:color="auto" w:fill="auto"/>
        <w:tabs>
          <w:tab w:pos="4200" w:val="left"/>
        </w:tabs>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se sídlem:</w:t>
        <w:tab/>
        <w:t>Závodní 353/88, 360 06 Karlovy Vary</w:t>
      </w:r>
    </w:p>
    <w:p>
      <w:pPr>
        <w:pStyle w:val="Style2"/>
        <w:keepNext w:val="0"/>
        <w:keepLines w:val="0"/>
        <w:widowControl w:val="0"/>
        <w:shd w:val="clear" w:color="auto" w:fill="auto"/>
        <w:tabs>
          <w:tab w:pos="4200" w:val="left"/>
        </w:tabs>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tab/>
        <w:t>70891168</w:t>
      </w:r>
    </w:p>
    <w:p>
      <w:pPr>
        <w:pStyle w:val="Style2"/>
        <w:keepNext w:val="0"/>
        <w:keepLines w:val="0"/>
        <w:widowControl w:val="0"/>
        <w:shd w:val="clear" w:color="auto" w:fill="auto"/>
        <w:tabs>
          <w:tab w:pos="4200" w:val="left"/>
        </w:tabs>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tab/>
        <w:t>CZ70891168</w:t>
      </w:r>
    </w:p>
    <w:p>
      <w:pPr>
        <w:pStyle w:val="Style2"/>
        <w:keepNext w:val="0"/>
        <w:keepLines w:val="0"/>
        <w:widowControl w:val="0"/>
        <w:shd w:val="clear" w:color="auto" w:fill="auto"/>
        <w:bidi w:val="0"/>
        <w:spacing w:before="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zastoupený</w:t>
      </w:r>
    </w:p>
    <w:p>
      <w:pPr>
        <w:pStyle w:val="Style2"/>
        <w:keepNext w:val="0"/>
        <w:keepLines w:val="0"/>
        <w:widowControl w:val="0"/>
        <w:shd w:val="clear" w:color="auto" w:fill="auto"/>
        <w:tabs>
          <w:tab w:pos="4200" w:val="left"/>
        </w:tabs>
        <w:bidi w:val="0"/>
        <w:spacing w:before="0" w:after="0" w:line="240" w:lineRule="auto"/>
        <w:ind w:left="72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Krajská správa a údržba silnic Karlovarského kraje, příspěvková organizace </w:t>
      </w:r>
      <w:r>
        <w:rPr>
          <w:rFonts w:ascii="Times New Roman" w:eastAsia="Times New Roman" w:hAnsi="Times New Roman" w:cs="Times New Roman"/>
          <w:color w:val="000000"/>
          <w:spacing w:val="0"/>
          <w:w w:val="100"/>
          <w:position w:val="0"/>
          <w:sz w:val="24"/>
          <w:szCs w:val="24"/>
          <w:shd w:val="clear" w:color="auto" w:fill="auto"/>
          <w:lang w:val="cs-CZ" w:eastAsia="cs-CZ" w:bidi="cs-CZ"/>
        </w:rPr>
        <w:t>se sídlem:</w:t>
        <w:tab/>
        <w:t>Chebská 282, 356 01 Sokolov</w:t>
      </w:r>
    </w:p>
    <w:p>
      <w:pPr>
        <w:pStyle w:val="Style2"/>
        <w:keepNext w:val="0"/>
        <w:keepLines w:val="0"/>
        <w:widowControl w:val="0"/>
        <w:shd w:val="clear" w:color="auto" w:fill="auto"/>
        <w:tabs>
          <w:tab w:pos="4200" w:val="left"/>
        </w:tabs>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kontaktní adresa:</w:t>
        <w:tab/>
        <w:t>Chebská 282, 356 04 Dolní Rychnov</w:t>
      </w:r>
    </w:p>
    <w:p>
      <w:pPr>
        <w:pStyle w:val="Style2"/>
        <w:keepNext w:val="0"/>
        <w:keepLines w:val="0"/>
        <w:widowControl w:val="0"/>
        <w:shd w:val="clear" w:color="auto" w:fill="auto"/>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zastoupená:</w:t>
      </w:r>
    </w:p>
    <w:p>
      <w:pPr>
        <w:pStyle w:val="Style2"/>
        <w:keepNext w:val="0"/>
        <w:keepLines w:val="0"/>
        <w:widowControl w:val="0"/>
        <w:shd w:val="clear" w:color="auto" w:fill="auto"/>
        <w:tabs>
          <w:tab w:pos="4200" w:val="left"/>
        </w:tabs>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tab/>
        <w:t>70947023</w:t>
      </w:r>
    </w:p>
    <w:p>
      <w:pPr>
        <w:pStyle w:val="Style2"/>
        <w:keepNext w:val="0"/>
        <w:keepLines w:val="0"/>
        <w:widowControl w:val="0"/>
        <w:shd w:val="clear" w:color="auto" w:fill="auto"/>
        <w:tabs>
          <w:tab w:pos="4200" w:val="left"/>
        </w:tabs>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tab/>
        <w:t>CZ70947023</w:t>
      </w:r>
    </w:p>
    <w:p>
      <w:pPr>
        <w:pStyle w:val="Style2"/>
        <w:keepNext w:val="0"/>
        <w:keepLines w:val="0"/>
        <w:widowControl w:val="0"/>
        <w:shd w:val="clear" w:color="auto" w:fill="auto"/>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line="240" w:lineRule="auto"/>
        <w:ind w:left="7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zapsaná v obchodním rejstříku u Krajského soudu v Plzni, oddíl Pr, vložka 114 zřizovací listina ze dne 13. 12. 2001</w:t>
      </w:r>
    </w:p>
    <w:p>
      <w:pPr>
        <w:pStyle w:val="Style2"/>
        <w:keepNext w:val="0"/>
        <w:keepLines w:val="0"/>
        <w:widowControl w:val="0"/>
        <w:shd w:val="clear" w:color="auto" w:fill="auto"/>
        <w:bidi w:val="0"/>
        <w:spacing w:before="0" w:after="48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jako strana oprávněná (dále jen „oprávněný“)</w:t>
      </w:r>
    </w:p>
    <w:p>
      <w:pPr>
        <w:pStyle w:val="Style2"/>
        <w:keepNext w:val="0"/>
        <w:keepLines w:val="0"/>
        <w:widowControl w:val="0"/>
        <w:numPr>
          <w:ilvl w:val="0"/>
          <w:numId w:val="1"/>
        </w:numPr>
        <w:shd w:val="clear" w:color="auto" w:fill="auto"/>
        <w:tabs>
          <w:tab w:pos="706" w:val="left"/>
          <w:tab w:pos="4200" w:val="left"/>
        </w:tabs>
        <w:bidi w:val="0"/>
        <w:spacing w:before="0" w:after="0" w:line="240" w:lineRule="auto"/>
        <w:ind w:left="720" w:right="0" w:hanging="720"/>
        <w:jc w:val="left"/>
      </w:pPr>
      <w:bookmarkStart w:id="13" w:name="bookmark13"/>
      <w:bookmarkEnd w:id="13"/>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Povodí Ohře, státní podnik, </w:t>
      </w:r>
      <w:r>
        <w:rPr>
          <w:rFonts w:ascii="Times New Roman" w:eastAsia="Times New Roman" w:hAnsi="Times New Roman" w:cs="Times New Roman"/>
          <w:color w:val="000000"/>
          <w:spacing w:val="0"/>
          <w:w w:val="100"/>
          <w:position w:val="0"/>
          <w:sz w:val="24"/>
          <w:szCs w:val="24"/>
          <w:shd w:val="clear" w:color="auto" w:fill="auto"/>
          <w:lang w:val="cs-CZ" w:eastAsia="cs-CZ" w:bidi="cs-CZ"/>
        </w:rPr>
        <w:t>se sídlem:</w:t>
        <w:tab/>
        <w:t>Bezručova 4219, 430 03 Chomutov</w:t>
      </w:r>
    </w:p>
    <w:p>
      <w:pPr>
        <w:pStyle w:val="Style2"/>
        <w:keepNext w:val="0"/>
        <w:keepLines w:val="0"/>
        <w:widowControl w:val="0"/>
        <w:shd w:val="clear" w:color="auto" w:fill="auto"/>
        <w:bidi w:val="0"/>
        <w:spacing w:before="0" w:after="0" w:line="240" w:lineRule="auto"/>
        <w:ind w:left="7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statutární orgán: zastoupený ve věcech smluvních:</w:t>
      </w:r>
    </w:p>
    <w:p>
      <w:pPr>
        <w:pStyle w:val="Style2"/>
        <w:keepNext w:val="0"/>
        <w:keepLines w:val="0"/>
        <w:widowControl w:val="0"/>
        <w:shd w:val="clear" w:color="auto" w:fill="auto"/>
        <w:tabs>
          <w:tab w:pos="4200" w:val="left"/>
        </w:tabs>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tab/>
        <w:t>70889988</w:t>
      </w:r>
    </w:p>
    <w:p>
      <w:pPr>
        <w:pStyle w:val="Style2"/>
        <w:keepNext w:val="0"/>
        <w:keepLines w:val="0"/>
        <w:widowControl w:val="0"/>
        <w:shd w:val="clear" w:color="auto" w:fill="auto"/>
        <w:tabs>
          <w:tab w:pos="4200" w:val="left"/>
        </w:tabs>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line="240" w:lineRule="auto"/>
        <w:ind w:left="72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Státní podnik je zapsán v obchodním rejstříku u Krajského soudu v Ústí nad Labem v oddílu A, vložce č.13052.</w:t>
      </w:r>
    </w:p>
    <w:p>
      <w:pPr>
        <w:pStyle w:val="Style2"/>
        <w:keepNext w:val="0"/>
        <w:keepLines w:val="0"/>
        <w:widowControl w:val="0"/>
        <w:shd w:val="clear" w:color="auto" w:fill="auto"/>
        <w:bidi w:val="0"/>
        <w:spacing w:before="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jako strana povinná (dále jen „povinný“)</w:t>
      </w:r>
    </w:p>
    <w:p>
      <w:pPr>
        <w:pStyle w:val="Style2"/>
        <w:keepNext w:val="0"/>
        <w:keepLines w:val="0"/>
        <w:widowControl w:val="0"/>
        <w:shd w:val="clear" w:color="auto" w:fill="auto"/>
        <w:bidi w:val="0"/>
        <w:spacing w:before="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(společně také jako „smluvní strany“)</w:t>
      </w:r>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II.</w:t>
      </w:r>
    </w:p>
    <w:p>
      <w:pPr>
        <w:pStyle w:val="Style9"/>
        <w:keepNext/>
        <w:keepLines/>
        <w:widowControl w:val="0"/>
        <w:shd w:val="clear" w:color="auto" w:fill="auto"/>
        <w:bidi w:val="0"/>
        <w:spacing w:before="0" w:line="240" w:lineRule="auto"/>
        <w:ind w:left="0" w:right="0" w:firstLine="0"/>
        <w:jc w:val="center"/>
      </w:pPr>
      <w:bookmarkStart w:id="14" w:name="bookmark14"/>
      <w:bookmarkStart w:id="15" w:name="bookmark15"/>
      <w:bookmarkStart w:id="16" w:name="bookmark16"/>
      <w:r>
        <w:rPr>
          <w:rFonts w:ascii="Times New Roman" w:eastAsia="Times New Roman" w:hAnsi="Times New Roman" w:cs="Times New Roman"/>
          <w:color w:val="000000"/>
          <w:spacing w:val="0"/>
          <w:w w:val="100"/>
          <w:position w:val="0"/>
          <w:sz w:val="24"/>
          <w:szCs w:val="24"/>
          <w:shd w:val="clear" w:color="auto" w:fill="auto"/>
          <w:lang w:val="cs-CZ" w:eastAsia="cs-CZ" w:bidi="cs-CZ"/>
        </w:rPr>
        <w:t>Charakteristika vlastnictví</w:t>
      </w:r>
      <w:bookmarkEnd w:id="14"/>
      <w:bookmarkEnd w:id="15"/>
      <w:bookmarkEnd w:id="16"/>
    </w:p>
    <w:p>
      <w:pPr>
        <w:pStyle w:val="Style2"/>
        <w:keepNext w:val="0"/>
        <w:keepLines w:val="0"/>
        <w:widowControl w:val="0"/>
        <w:shd w:val="clear" w:color="auto" w:fill="auto"/>
        <w:bidi w:val="0"/>
        <w:spacing w:before="0" w:after="50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Povinný prohlašuje, že má právo hospodařit s majetkem státu, a to s pozemkem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 č. 11 v k. ú. Sokolov – vodní plocha </w:t>
      </w:r>
      <w:r>
        <w:rPr>
          <w:rFonts w:ascii="Times New Roman" w:eastAsia="Times New Roman" w:hAnsi="Times New Roman" w:cs="Times New Roman"/>
          <w:color w:val="000000"/>
          <w:spacing w:val="0"/>
          <w:w w:val="100"/>
          <w:position w:val="0"/>
          <w:sz w:val="24"/>
          <w:szCs w:val="24"/>
          <w:shd w:val="clear" w:color="auto" w:fill="auto"/>
          <w:lang w:val="cs-CZ" w:eastAsia="cs-CZ" w:bidi="cs-CZ"/>
        </w:rPr>
        <w:t>(koryto vodního toku přirozené nebo upravené), obec Sokolov, zapsaným na LV č. 3629 u Katastrálního úřadu pro Karlovarský kraj, Katastrální pracoviště Sokolov</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center"/>
      </w:pPr>
      <w:bookmarkStart w:id="17" w:name="bookmark17"/>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w:t>
      </w:r>
      <w:bookmarkEnd w:id="17"/>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II.</w:t>
      </w:r>
    </w:p>
    <w:p>
      <w:pPr>
        <w:pStyle w:val="Style2"/>
        <w:keepNext w:val="0"/>
        <w:keepLines w:val="0"/>
        <w:widowControl w:val="0"/>
        <w:shd w:val="clear" w:color="auto" w:fill="auto"/>
        <w:bidi w:val="0"/>
        <w:spacing w:before="0" w:line="240" w:lineRule="auto"/>
        <w:ind w:left="0" w:right="0" w:firstLine="0"/>
        <w:jc w:val="center"/>
      </w:pPr>
      <w:bookmarkStart w:id="18" w:name="bookmark18"/>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w:t>
      </w:r>
      <w:bookmarkEnd w:id="18"/>
      <w:r>
        <w:rPr>
          <w:rFonts w:ascii="Times New Roman" w:eastAsia="Times New Roman" w:hAnsi="Times New Roman" w:cs="Times New Roman"/>
          <w:b/>
          <w:bCs/>
          <w:color w:val="000000"/>
          <w:spacing w:val="0"/>
          <w:w w:val="100"/>
          <w:position w:val="0"/>
          <w:sz w:val="24"/>
          <w:szCs w:val="24"/>
          <w:shd w:val="clear" w:color="auto" w:fill="auto"/>
          <w:lang w:val="cs-CZ" w:eastAsia="cs-CZ" w:bidi="cs-CZ"/>
        </w:rPr>
        <w:t>řízení věcného břemene – služebnosti cesty a stezky a umístění stavby</w:t>
      </w:r>
    </w:p>
    <w:p>
      <w:pPr>
        <w:pStyle w:val="Style2"/>
        <w:keepNext w:val="0"/>
        <w:keepLines w:val="0"/>
        <w:widowControl w:val="0"/>
        <w:numPr>
          <w:ilvl w:val="0"/>
          <w:numId w:val="3"/>
        </w:numPr>
        <w:shd w:val="clear" w:color="auto" w:fill="auto"/>
        <w:tabs>
          <w:tab w:pos="706" w:val="left"/>
        </w:tabs>
        <w:bidi w:val="0"/>
        <w:spacing w:before="0" w:line="240" w:lineRule="auto"/>
        <w:ind w:left="0" w:right="0" w:firstLine="0"/>
        <w:jc w:val="both"/>
      </w:pPr>
      <w:bookmarkStart w:id="19" w:name="bookmark19"/>
      <w:bookmarkEnd w:id="19"/>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Povinný touto smlouvou zřizuje k pozemku uvedenému v čl. II. ve prospěch oprávněného věcné břemeno – služebnost cesty a stezky a služebnost spočívající v právu umístit a dále provozovat na pozemku stavbu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mostu </w:t>
      </w: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„stavba“), vybudovanou v rámci akce „Modernizace mostu ev.č. 210 29-2 Sokolov“. Rozsah věcného břemene – služebnosti v terénu je vymezen geometrickým plánem č. 4386-32/2025, který je nedílnou součástí této smlouvy. Toto právo zahrnuje též právo přístupu ke stavbě za účelem zajištění provozu, oprav, údržby či likvidace stavby na nezbytně nutnou dobu.</w:t>
      </w:r>
    </w:p>
    <w:p>
      <w:pPr>
        <w:pStyle w:val="Style2"/>
        <w:keepNext w:val="0"/>
        <w:keepLines w:val="0"/>
        <w:widowControl w:val="0"/>
        <w:numPr>
          <w:ilvl w:val="0"/>
          <w:numId w:val="3"/>
        </w:numPr>
        <w:shd w:val="clear" w:color="auto" w:fill="auto"/>
        <w:tabs>
          <w:tab w:pos="706" w:val="left"/>
        </w:tabs>
        <w:bidi w:val="0"/>
        <w:spacing w:before="0" w:line="240" w:lineRule="auto"/>
        <w:ind w:left="0" w:right="0" w:firstLine="0"/>
        <w:jc w:val="both"/>
      </w:pPr>
      <w:bookmarkStart w:id="20" w:name="bookmark20"/>
      <w:bookmarkEnd w:id="20"/>
      <w:r>
        <w:rPr>
          <w:rFonts w:ascii="Times New Roman" w:eastAsia="Times New Roman" w:hAnsi="Times New Roman" w:cs="Times New Roman"/>
          <w:color w:val="000000"/>
          <w:spacing w:val="0"/>
          <w:w w:val="100"/>
          <w:position w:val="0"/>
          <w:sz w:val="24"/>
          <w:szCs w:val="24"/>
          <w:shd w:val="clear" w:color="auto" w:fill="auto"/>
          <w:lang w:val="cs-CZ" w:eastAsia="cs-CZ" w:bidi="cs-CZ"/>
        </w:rPr>
        <w:t>Most je součástí silnice umístěné na pozemku p. č. 343/1 a 4021/8 v k. ú. Sokolov ve vlastnictví oprávněného.</w:t>
      </w:r>
    </w:p>
    <w:p>
      <w:pPr>
        <w:pStyle w:val="Style2"/>
        <w:keepNext w:val="0"/>
        <w:keepLines w:val="0"/>
        <w:widowControl w:val="0"/>
        <w:shd w:val="clear" w:color="auto" w:fill="auto"/>
        <w:bidi w:val="0"/>
        <w:spacing w:before="0" w:after="0" w:line="240" w:lineRule="auto"/>
        <w:ind w:left="0" w:right="0" w:firstLine="0"/>
        <w:jc w:val="center"/>
      </w:pPr>
      <w:bookmarkStart w:id="21" w:name="bookmark21"/>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w:t>
      </w:r>
      <w:bookmarkEnd w:id="21"/>
      <w:r>
        <w:rPr>
          <w:rFonts w:ascii="Times New Roman" w:eastAsia="Times New Roman" w:hAnsi="Times New Roman" w:cs="Times New Roman"/>
          <w:b/>
          <w:bCs/>
          <w:color w:val="000000"/>
          <w:spacing w:val="0"/>
          <w:w w:val="100"/>
          <w:position w:val="0"/>
          <w:sz w:val="24"/>
          <w:szCs w:val="24"/>
          <w:shd w:val="clear" w:color="auto" w:fill="auto"/>
          <w:lang w:val="cs-CZ" w:eastAsia="cs-CZ" w:bidi="cs-CZ"/>
        </w:rPr>
        <w:t>V.</w:t>
      </w:r>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Úhrada za zřízení věcného břemena – služebnosti cesty a stezky a umístění stavby</w:t>
      </w:r>
    </w:p>
    <w:p>
      <w:pPr>
        <w:pStyle w:val="Style2"/>
        <w:keepNext w:val="0"/>
        <w:keepLines w:val="0"/>
        <w:widowControl w:val="0"/>
        <w:numPr>
          <w:ilvl w:val="0"/>
          <w:numId w:val="5"/>
        </w:numPr>
        <w:shd w:val="clear" w:color="auto" w:fill="auto"/>
        <w:tabs>
          <w:tab w:pos="706" w:val="left"/>
        </w:tabs>
        <w:bidi w:val="0"/>
        <w:spacing w:before="0" w:line="240" w:lineRule="auto"/>
        <w:ind w:left="0" w:right="0" w:firstLine="0"/>
        <w:jc w:val="both"/>
      </w:pPr>
      <w:bookmarkStart w:id="22" w:name="bookmark22"/>
      <w:bookmarkEnd w:id="22"/>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Věcné břemeno - služebnost se zřizuje úplatně, a to za jednorázovou úhradu ve výši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69.254,15 Kč </w:t>
      </w:r>
      <w:r>
        <w:rPr>
          <w:rFonts w:ascii="Times New Roman" w:eastAsia="Times New Roman" w:hAnsi="Times New Roman" w:cs="Times New Roman"/>
          <w:color w:val="000000"/>
          <w:spacing w:val="0"/>
          <w:w w:val="100"/>
          <w:position w:val="0"/>
          <w:sz w:val="24"/>
          <w:szCs w:val="24"/>
          <w:shd w:val="clear" w:color="auto" w:fill="auto"/>
          <w:lang w:val="cs-CZ" w:eastAsia="cs-CZ" w:bidi="cs-CZ"/>
        </w:rPr>
        <w:t>+ platná sazba DPH (602,21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115 Kč).</w:t>
      </w:r>
    </w:p>
    <w:p>
      <w:pPr>
        <w:pStyle w:val="Style2"/>
        <w:keepNext w:val="0"/>
        <w:keepLines w:val="0"/>
        <w:widowControl w:val="0"/>
        <w:numPr>
          <w:ilvl w:val="0"/>
          <w:numId w:val="5"/>
        </w:numPr>
        <w:shd w:val="clear" w:color="auto" w:fill="auto"/>
        <w:tabs>
          <w:tab w:pos="706" w:val="left"/>
        </w:tabs>
        <w:bidi w:val="0"/>
        <w:spacing w:before="0" w:line="240" w:lineRule="auto"/>
        <w:ind w:left="0" w:right="0" w:firstLine="0"/>
        <w:jc w:val="both"/>
      </w:pPr>
      <w:bookmarkStart w:id="23" w:name="bookmark23"/>
      <w:bookmarkEnd w:id="23"/>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Dohodnutá částka bude uhrazena na základě daňového dokladu, který povinný vystaví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oprávněnému </w:t>
      </w:r>
      <w:r>
        <w:rPr>
          <w:rFonts w:ascii="Times New Roman" w:eastAsia="Times New Roman" w:hAnsi="Times New Roman" w:cs="Times New Roman"/>
          <w:color w:val="000000"/>
          <w:spacing w:val="0"/>
          <w:w w:val="100"/>
          <w:position w:val="0"/>
          <w:sz w:val="24"/>
          <w:szCs w:val="24"/>
          <w:shd w:val="clear" w:color="auto" w:fill="auto"/>
          <w:lang w:val="cs-CZ" w:eastAsia="cs-CZ" w:bidi="cs-CZ"/>
        </w:rPr>
        <w:t>nejpozději do 15 dnů ode dne vzniku věcného břemene. Dnem uskutečnění zdanitelného plnění je den poskytnutí služby, tj. den vzniku věcného břemene nebo den vystavení daňového dokladu podle toho, který den nastane dříve. Splatnost je stanovena na 30 dnů od data vystavení daňového dokladu.</w:t>
      </w:r>
    </w:p>
    <w:p>
      <w:pPr>
        <w:pStyle w:val="Style2"/>
        <w:keepNext w:val="0"/>
        <w:keepLines w:val="0"/>
        <w:widowControl w:val="0"/>
        <w:numPr>
          <w:ilvl w:val="0"/>
          <w:numId w:val="5"/>
        </w:numPr>
        <w:shd w:val="clear" w:color="auto" w:fill="auto"/>
        <w:tabs>
          <w:tab w:pos="706" w:val="left"/>
        </w:tabs>
        <w:bidi w:val="0"/>
        <w:spacing w:before="0" w:line="240" w:lineRule="auto"/>
        <w:ind w:left="0" w:right="0" w:firstLine="0"/>
        <w:jc w:val="both"/>
      </w:pPr>
      <w:bookmarkStart w:id="24" w:name="bookmark24"/>
      <w:bookmarkEnd w:id="24"/>
      <w:r>
        <w:rPr>
          <w:rFonts w:ascii="Times New Roman" w:eastAsia="Times New Roman" w:hAnsi="Times New Roman" w:cs="Times New Roman"/>
          <w:color w:val="000000"/>
          <w:spacing w:val="0"/>
          <w:w w:val="100"/>
          <w:position w:val="0"/>
          <w:sz w:val="24"/>
          <w:szCs w:val="24"/>
          <w:shd w:val="clear" w:color="auto" w:fill="auto"/>
          <w:lang w:val="cs-CZ" w:eastAsia="cs-CZ" w:bidi="cs-CZ"/>
        </w:rPr>
        <w:t>Neuhradí-li oprávněný částku ve lhůtě splatnosti, bude mu účtován smluvní úrok z prodlení ve výši 0,3 % z částky včas nezaplacené za každý den prodlení.</w:t>
      </w:r>
    </w:p>
    <w:p>
      <w:pPr>
        <w:pStyle w:val="Style2"/>
        <w:keepNext w:val="0"/>
        <w:keepLines w:val="0"/>
        <w:widowControl w:val="0"/>
        <w:numPr>
          <w:ilvl w:val="0"/>
          <w:numId w:val="5"/>
        </w:numPr>
        <w:shd w:val="clear" w:color="auto" w:fill="auto"/>
        <w:tabs>
          <w:tab w:pos="706" w:val="left"/>
        </w:tabs>
        <w:bidi w:val="0"/>
        <w:spacing w:before="0" w:line="240" w:lineRule="auto"/>
        <w:ind w:left="0" w:right="0" w:firstLine="0"/>
        <w:jc w:val="both"/>
      </w:pPr>
      <w:bookmarkStart w:id="25" w:name="bookmark25"/>
      <w:bookmarkEnd w:id="25"/>
      <w:r>
        <w:rPr>
          <w:rFonts w:ascii="Times New Roman" w:eastAsia="Times New Roman" w:hAnsi="Times New Roman" w:cs="Times New Roman"/>
          <w:color w:val="000000"/>
          <w:spacing w:val="0"/>
          <w:w w:val="100"/>
          <w:position w:val="0"/>
          <w:sz w:val="24"/>
          <w:szCs w:val="24"/>
          <w:shd w:val="clear" w:color="auto" w:fill="auto"/>
          <w:lang w:val="cs-CZ" w:eastAsia="cs-CZ" w:bidi="cs-CZ"/>
        </w:rPr>
        <w:t>Jakékoliv další úhrady (zejména nájemné) povinnému z věcného břemene nepřísluší.</w:t>
      </w:r>
    </w:p>
    <w:p>
      <w:pPr>
        <w:pStyle w:val="Style9"/>
        <w:keepNext/>
        <w:keepLines/>
        <w:widowControl w:val="0"/>
        <w:shd w:val="clear" w:color="auto" w:fill="auto"/>
        <w:bidi w:val="0"/>
        <w:spacing w:before="0" w:after="0" w:line="240" w:lineRule="auto"/>
        <w:ind w:left="0" w:right="0" w:firstLine="0"/>
        <w:jc w:val="center"/>
      </w:pPr>
      <w:bookmarkStart w:id="26" w:name="bookmark26"/>
      <w:bookmarkStart w:id="27" w:name="bookmark27"/>
      <w:bookmarkStart w:id="28" w:name="bookmark28"/>
      <w:bookmarkStart w:id="29" w:name="bookmark29"/>
      <w:r>
        <w:rPr>
          <w:rFonts w:ascii="Times New Roman" w:eastAsia="Times New Roman" w:hAnsi="Times New Roman" w:cs="Times New Roman"/>
          <w:color w:val="000000"/>
          <w:spacing w:val="0"/>
          <w:w w:val="100"/>
          <w:position w:val="0"/>
          <w:sz w:val="24"/>
          <w:szCs w:val="24"/>
          <w:shd w:val="clear" w:color="auto" w:fill="auto"/>
          <w:lang w:val="cs-CZ" w:eastAsia="cs-CZ" w:bidi="cs-CZ"/>
        </w:rPr>
        <w:t>V</w:t>
      </w:r>
      <w:bookmarkEnd w:id="28"/>
      <w:r>
        <w:rPr>
          <w:rFonts w:ascii="Times New Roman" w:eastAsia="Times New Roman" w:hAnsi="Times New Roman" w:cs="Times New Roman"/>
          <w:color w:val="000000"/>
          <w:spacing w:val="0"/>
          <w:w w:val="100"/>
          <w:position w:val="0"/>
          <w:sz w:val="24"/>
          <w:szCs w:val="24"/>
          <w:shd w:val="clear" w:color="auto" w:fill="auto"/>
          <w:lang w:val="cs-CZ" w:eastAsia="cs-CZ" w:bidi="cs-CZ"/>
        </w:rPr>
        <w:t>.</w:t>
      </w:r>
      <w:bookmarkEnd w:id="26"/>
      <w:bookmarkEnd w:id="27"/>
      <w:bookmarkEnd w:id="29"/>
    </w:p>
    <w:p>
      <w:pPr>
        <w:pStyle w:val="Style9"/>
        <w:keepNext/>
        <w:keepLines/>
        <w:widowControl w:val="0"/>
        <w:shd w:val="clear" w:color="auto" w:fill="auto"/>
        <w:bidi w:val="0"/>
        <w:spacing w:before="0" w:line="240" w:lineRule="auto"/>
        <w:ind w:left="0" w:right="0" w:firstLine="0"/>
        <w:jc w:val="center"/>
      </w:pPr>
      <w:bookmarkStart w:id="26" w:name="bookmark26"/>
      <w:bookmarkStart w:id="27" w:name="bookmark27"/>
      <w:bookmarkStart w:id="30" w:name="bookmark30"/>
      <w:r>
        <w:rPr>
          <w:rFonts w:ascii="Times New Roman" w:eastAsia="Times New Roman" w:hAnsi="Times New Roman" w:cs="Times New Roman"/>
          <w:color w:val="000000"/>
          <w:spacing w:val="0"/>
          <w:w w:val="100"/>
          <w:position w:val="0"/>
          <w:sz w:val="24"/>
          <w:szCs w:val="24"/>
          <w:shd w:val="clear" w:color="auto" w:fill="auto"/>
          <w:lang w:val="cs-CZ" w:eastAsia="cs-CZ" w:bidi="cs-CZ"/>
        </w:rPr>
        <w:t>Povinnosti oprávněného</w:t>
      </w:r>
      <w:bookmarkEnd w:id="26"/>
      <w:bookmarkEnd w:id="27"/>
      <w:bookmarkEnd w:id="30"/>
    </w:p>
    <w:p>
      <w:pPr>
        <w:pStyle w:val="Style2"/>
        <w:keepNext w:val="0"/>
        <w:keepLines w:val="0"/>
        <w:widowControl w:val="0"/>
        <w:numPr>
          <w:ilvl w:val="0"/>
          <w:numId w:val="7"/>
        </w:numPr>
        <w:shd w:val="clear" w:color="auto" w:fill="auto"/>
        <w:tabs>
          <w:tab w:pos="560" w:val="left"/>
        </w:tabs>
        <w:bidi w:val="0"/>
        <w:spacing w:before="0" w:line="240" w:lineRule="auto"/>
        <w:ind w:left="0" w:right="0" w:firstLine="0"/>
        <w:jc w:val="both"/>
      </w:pPr>
      <w:bookmarkStart w:id="31" w:name="bookmark31"/>
      <w:bookmarkEnd w:id="31"/>
      <w:r>
        <w:rPr>
          <w:rFonts w:ascii="Times New Roman" w:eastAsia="Times New Roman" w:hAnsi="Times New Roman" w:cs="Times New Roman"/>
          <w:color w:val="000000"/>
          <w:spacing w:val="0"/>
          <w:w w:val="100"/>
          <w:position w:val="0"/>
          <w:sz w:val="24"/>
          <w:szCs w:val="24"/>
          <w:shd w:val="clear" w:color="auto" w:fill="auto"/>
          <w:lang w:val="cs-CZ" w:eastAsia="cs-CZ" w:bidi="cs-CZ"/>
        </w:rPr>
        <w:t>Oprávněný se podpisem této smlouvy zavazuje písemně oznámit povinnému každý vstup (vjezd) a způsob vstupu (vjezdu) na dotčený pozemek v případě oprav mostu.</w:t>
      </w:r>
    </w:p>
    <w:p>
      <w:pPr>
        <w:pStyle w:val="Style2"/>
        <w:keepNext w:val="0"/>
        <w:keepLines w:val="0"/>
        <w:widowControl w:val="0"/>
        <w:numPr>
          <w:ilvl w:val="0"/>
          <w:numId w:val="7"/>
        </w:numPr>
        <w:shd w:val="clear" w:color="auto" w:fill="auto"/>
        <w:tabs>
          <w:tab w:pos="560" w:val="left"/>
        </w:tabs>
        <w:bidi w:val="0"/>
        <w:spacing w:before="0" w:line="240" w:lineRule="auto"/>
        <w:ind w:left="0" w:right="0" w:firstLine="0"/>
        <w:jc w:val="both"/>
      </w:pPr>
      <w:bookmarkStart w:id="32" w:name="bookmark32"/>
      <w:bookmarkEnd w:id="32"/>
      <w:r>
        <w:rPr>
          <w:rFonts w:ascii="Times New Roman" w:eastAsia="Times New Roman" w:hAnsi="Times New Roman" w:cs="Times New Roman"/>
          <w:color w:val="000000"/>
          <w:spacing w:val="0"/>
          <w:w w:val="100"/>
          <w:position w:val="0"/>
          <w:sz w:val="24"/>
          <w:szCs w:val="24"/>
          <w:shd w:val="clear" w:color="auto" w:fill="auto"/>
          <w:lang w:val="cs-CZ" w:eastAsia="cs-CZ" w:bidi="cs-CZ"/>
        </w:rPr>
        <w:t>Oprávněný se zavazuje při každém vstupu (vjezdu) na dotčený pozemek co nejvíce šetřit majetek povinného.</w:t>
      </w:r>
    </w:p>
    <w:p>
      <w:pPr>
        <w:pStyle w:val="Style2"/>
        <w:keepNext w:val="0"/>
        <w:keepLines w:val="0"/>
        <w:widowControl w:val="0"/>
        <w:numPr>
          <w:ilvl w:val="0"/>
          <w:numId w:val="7"/>
        </w:numPr>
        <w:shd w:val="clear" w:color="auto" w:fill="auto"/>
        <w:tabs>
          <w:tab w:pos="501" w:val="left"/>
        </w:tabs>
        <w:bidi w:val="0"/>
        <w:spacing w:before="0" w:line="240" w:lineRule="auto"/>
        <w:ind w:left="0" w:right="0" w:firstLine="0"/>
        <w:jc w:val="both"/>
      </w:pPr>
      <w:bookmarkStart w:id="33" w:name="bookmark33"/>
      <w:bookmarkEnd w:id="33"/>
      <w:r>
        <w:rPr>
          <w:rFonts w:ascii="Times New Roman" w:eastAsia="Times New Roman" w:hAnsi="Times New Roman" w:cs="Times New Roman"/>
          <w:color w:val="000000"/>
          <w:spacing w:val="0"/>
          <w:w w:val="100"/>
          <w:position w:val="0"/>
          <w:sz w:val="24"/>
          <w:szCs w:val="24"/>
          <w:shd w:val="clear" w:color="auto" w:fill="auto"/>
          <w:lang w:val="cs-CZ" w:eastAsia="cs-CZ" w:bidi="cs-CZ"/>
        </w:rPr>
        <w:t>Oprávněný se zavazuje, že dojde-li při uplatňování práv z věcného břemene - služebnosti dle čl. III. této smlouvy k zásahu do majetku, se kterým má povinný právo hospodařit či k jeho poškození (dále jen „majetek“)</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uvede majetek do původního či náležitého stavu a to v souladu s příslušnými právními předpisy, technickými normami a pokyny povinného.</w:t>
      </w:r>
    </w:p>
    <w:p>
      <w:pPr>
        <w:pStyle w:val="Style2"/>
        <w:keepNext w:val="0"/>
        <w:keepLines w:val="0"/>
        <w:widowControl w:val="0"/>
        <w:numPr>
          <w:ilvl w:val="0"/>
          <w:numId w:val="7"/>
        </w:numPr>
        <w:shd w:val="clear" w:color="auto" w:fill="auto"/>
        <w:tabs>
          <w:tab w:pos="501" w:val="left"/>
        </w:tabs>
        <w:bidi w:val="0"/>
        <w:spacing w:before="0" w:line="240" w:lineRule="auto"/>
        <w:ind w:left="0" w:right="0" w:firstLine="0"/>
        <w:jc w:val="both"/>
      </w:pPr>
      <w:bookmarkStart w:id="34" w:name="bookmark34"/>
      <w:bookmarkEnd w:id="34"/>
      <w:r>
        <w:rPr>
          <w:rFonts w:ascii="Times New Roman" w:eastAsia="Times New Roman" w:hAnsi="Times New Roman" w:cs="Times New Roman"/>
          <w:color w:val="000000"/>
          <w:spacing w:val="0"/>
          <w:w w:val="100"/>
          <w:position w:val="0"/>
          <w:sz w:val="24"/>
          <w:szCs w:val="24"/>
          <w:shd w:val="clear" w:color="auto" w:fill="auto"/>
          <w:lang w:val="cs-CZ" w:eastAsia="cs-CZ" w:bidi="cs-CZ"/>
        </w:rPr>
        <w:t>Oprávněný se zavazuje uhradit škodu v případě porušení povinností podle odst. 5.3. této smlouvy a vzniku škody na majetku povinného a škodu způsobenou třetím osobám v souvislosti s tím.</w:t>
      </w:r>
    </w:p>
    <w:p>
      <w:pPr>
        <w:pStyle w:val="Style2"/>
        <w:keepNext w:val="0"/>
        <w:keepLines w:val="0"/>
        <w:widowControl w:val="0"/>
        <w:numPr>
          <w:ilvl w:val="0"/>
          <w:numId w:val="7"/>
        </w:numPr>
        <w:shd w:val="clear" w:color="auto" w:fill="auto"/>
        <w:tabs>
          <w:tab w:pos="501" w:val="left"/>
        </w:tabs>
        <w:bidi w:val="0"/>
        <w:spacing w:before="0" w:after="500" w:line="240" w:lineRule="auto"/>
        <w:ind w:left="0" w:right="0" w:firstLine="0"/>
        <w:jc w:val="both"/>
      </w:pPr>
      <w:bookmarkStart w:id="35" w:name="bookmark35"/>
      <w:bookmarkEnd w:id="35"/>
      <w:r>
        <w:rPr>
          <w:rFonts w:ascii="Times New Roman" w:eastAsia="Times New Roman" w:hAnsi="Times New Roman" w:cs="Times New Roman"/>
          <w:color w:val="000000"/>
          <w:spacing w:val="0"/>
          <w:w w:val="100"/>
          <w:position w:val="0"/>
          <w:sz w:val="24"/>
          <w:szCs w:val="24"/>
          <w:shd w:val="clear" w:color="auto" w:fill="auto"/>
          <w:lang w:val="cs-CZ" w:eastAsia="cs-CZ" w:bidi="cs-CZ"/>
        </w:rPr>
        <w:t>Oprávněný se zavazuje odstranit na výzvu povinného na své náklady stavbu v případě ukončení užívání, funkčnosti či ztráty účelu stavby, pro kterou byla zřízena, a to do 30 dnů ode dne doručení výzvy. Při odstraňování stavby se zavazuje postupovat přiměřeně dle odst. 5.3. této smlouvy a poskytne povinnému součinnost při výmazu věcného břemene - služebnosti z katastru nemovitostí. V případě, že oprávněný neodstraní na výzvu povinného na své náklady stavbu v případě ukončení užívání, funkčnosti či ztráty účelu stavby, pro kterou byla zřízena, zavazuje se povinnému zaplatit smluvní pokutu ve výši 10.000 Kč a bere na vědomí, že povinný odstraní tuto stavbu na náklady oprávněného.</w:t>
      </w:r>
    </w:p>
    <w:p>
      <w:pPr>
        <w:pStyle w:val="Style2"/>
        <w:keepNext w:val="0"/>
        <w:keepLines w:val="0"/>
        <w:widowControl w:val="0"/>
        <w:shd w:val="clear" w:color="auto" w:fill="auto"/>
        <w:bidi w:val="0"/>
        <w:spacing w:before="0" w:after="0" w:line="240" w:lineRule="auto"/>
        <w:ind w:left="0" w:right="0" w:firstLine="0"/>
        <w:jc w:val="center"/>
      </w:pPr>
      <w:bookmarkStart w:id="36" w:name="bookmark36"/>
      <w:r>
        <w:rPr>
          <w:rFonts w:ascii="Times New Roman" w:eastAsia="Times New Roman" w:hAnsi="Times New Roman" w:cs="Times New Roman"/>
          <w:b/>
          <w:bCs/>
          <w:color w:val="000000"/>
          <w:spacing w:val="0"/>
          <w:w w:val="100"/>
          <w:position w:val="0"/>
          <w:sz w:val="24"/>
          <w:szCs w:val="24"/>
          <w:shd w:val="clear" w:color="auto" w:fill="auto"/>
          <w:lang w:val="cs-CZ" w:eastAsia="cs-CZ" w:bidi="cs-CZ"/>
        </w:rPr>
        <w:t>V</w:t>
      </w:r>
      <w:bookmarkEnd w:id="36"/>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w:t>
      </w:r>
    </w:p>
    <w:p>
      <w:pPr>
        <w:pStyle w:val="Style9"/>
        <w:keepNext/>
        <w:keepLines/>
        <w:widowControl w:val="0"/>
        <w:shd w:val="clear" w:color="auto" w:fill="auto"/>
        <w:bidi w:val="0"/>
        <w:spacing w:before="0" w:line="240" w:lineRule="auto"/>
        <w:ind w:left="0" w:right="0" w:firstLine="0"/>
        <w:jc w:val="center"/>
      </w:pPr>
      <w:bookmarkStart w:id="37" w:name="bookmark37"/>
      <w:bookmarkStart w:id="38" w:name="bookmark38"/>
      <w:bookmarkStart w:id="39" w:name="bookmark39"/>
      <w:r>
        <w:rPr>
          <w:rFonts w:ascii="Times New Roman" w:eastAsia="Times New Roman" w:hAnsi="Times New Roman" w:cs="Times New Roman"/>
          <w:color w:val="000000"/>
          <w:spacing w:val="0"/>
          <w:w w:val="100"/>
          <w:position w:val="0"/>
          <w:sz w:val="24"/>
          <w:szCs w:val="24"/>
          <w:shd w:val="clear" w:color="auto" w:fill="auto"/>
          <w:lang w:val="cs-CZ" w:eastAsia="cs-CZ" w:bidi="cs-CZ"/>
        </w:rPr>
        <w:t>Vkladové řízení</w:t>
      </w:r>
      <w:bookmarkEnd w:id="37"/>
      <w:bookmarkEnd w:id="38"/>
      <w:bookmarkEnd w:id="39"/>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Oprávněný a povinný se dohodli, že návrh na vklad práv odpovídající věcnému břemeni - služebnosti cesty a stezky a umístění stavby dle této smlouvy předloží v zastoupení účastníků příslušnému katastrálnímu úřadu oprávněný, a to do 30 dnů po podpisu této smlouvy oběma smluvními stranami.</w:t>
      </w:r>
    </w:p>
    <w:p>
      <w:pPr>
        <w:pStyle w:val="Style2"/>
        <w:keepNext w:val="0"/>
        <w:keepLines w:val="0"/>
        <w:widowControl w:val="0"/>
        <w:shd w:val="clear" w:color="auto" w:fill="auto"/>
        <w:bidi w:val="0"/>
        <w:spacing w:before="0" w:after="0" w:line="240" w:lineRule="auto"/>
        <w:ind w:left="0" w:right="0" w:firstLine="0"/>
        <w:jc w:val="center"/>
      </w:pPr>
      <w:bookmarkStart w:id="40" w:name="bookmark40"/>
      <w:r>
        <w:rPr>
          <w:rFonts w:ascii="Times New Roman" w:eastAsia="Times New Roman" w:hAnsi="Times New Roman" w:cs="Times New Roman"/>
          <w:b/>
          <w:bCs/>
          <w:color w:val="000000"/>
          <w:spacing w:val="0"/>
          <w:w w:val="100"/>
          <w:position w:val="0"/>
          <w:sz w:val="24"/>
          <w:szCs w:val="24"/>
          <w:shd w:val="clear" w:color="auto" w:fill="auto"/>
          <w:lang w:val="cs-CZ" w:eastAsia="cs-CZ" w:bidi="cs-CZ"/>
        </w:rPr>
        <w:t>V</w:t>
      </w:r>
      <w:bookmarkEnd w:id="40"/>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II.</w:t>
      </w:r>
    </w:p>
    <w:p>
      <w:pPr>
        <w:pStyle w:val="Style9"/>
        <w:keepNext/>
        <w:keepLines/>
        <w:widowControl w:val="0"/>
        <w:shd w:val="clear" w:color="auto" w:fill="auto"/>
        <w:bidi w:val="0"/>
        <w:spacing w:before="0" w:line="240" w:lineRule="auto"/>
        <w:ind w:left="0" w:right="0" w:firstLine="0"/>
        <w:jc w:val="center"/>
      </w:pPr>
      <w:bookmarkStart w:id="41" w:name="bookmark41"/>
      <w:bookmarkStart w:id="42" w:name="bookmark42"/>
      <w:bookmarkStart w:id="43" w:name="bookmark43"/>
      <w:r>
        <w:rPr>
          <w:rFonts w:ascii="Times New Roman" w:eastAsia="Times New Roman" w:hAnsi="Times New Roman" w:cs="Times New Roman"/>
          <w:color w:val="000000"/>
          <w:spacing w:val="0"/>
          <w:w w:val="100"/>
          <w:position w:val="0"/>
          <w:sz w:val="24"/>
          <w:szCs w:val="24"/>
          <w:shd w:val="clear" w:color="auto" w:fill="auto"/>
          <w:lang w:val="cs-CZ" w:eastAsia="cs-CZ" w:bidi="cs-CZ"/>
        </w:rPr>
        <w:t>Compliance doložka</w:t>
      </w:r>
      <w:bookmarkEnd w:id="41"/>
      <w:bookmarkEnd w:id="42"/>
      <w:bookmarkEnd w:id="43"/>
    </w:p>
    <w:p>
      <w:pPr>
        <w:pStyle w:val="Style2"/>
        <w:keepNext w:val="0"/>
        <w:keepLines w:val="0"/>
        <w:widowControl w:val="0"/>
        <w:numPr>
          <w:ilvl w:val="0"/>
          <w:numId w:val="9"/>
        </w:numPr>
        <w:shd w:val="clear" w:color="auto" w:fill="auto"/>
        <w:tabs>
          <w:tab w:pos="706" w:val="left"/>
        </w:tabs>
        <w:bidi w:val="0"/>
        <w:spacing w:before="0" w:line="240" w:lineRule="auto"/>
        <w:ind w:left="0" w:right="0" w:firstLine="0"/>
        <w:jc w:val="both"/>
      </w:pPr>
      <w:bookmarkStart w:id="44" w:name="bookmark44"/>
      <w:bookmarkEnd w:id="44"/>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9"/>
        </w:numPr>
        <w:shd w:val="clear" w:color="auto" w:fill="auto"/>
        <w:tabs>
          <w:tab w:pos="706" w:val="left"/>
        </w:tabs>
        <w:bidi w:val="0"/>
        <w:spacing w:before="0" w:line="240" w:lineRule="auto"/>
        <w:ind w:left="0" w:right="0" w:firstLine="0"/>
        <w:jc w:val="both"/>
      </w:pPr>
      <w:bookmarkStart w:id="45" w:name="bookmark45"/>
      <w:bookmarkEnd w:id="45"/>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9"/>
        </w:numPr>
        <w:shd w:val="clear" w:color="auto" w:fill="auto"/>
        <w:tabs>
          <w:tab w:pos="706" w:val="left"/>
        </w:tabs>
        <w:bidi w:val="0"/>
        <w:spacing w:before="0" w:line="240" w:lineRule="auto"/>
        <w:ind w:left="0" w:right="0" w:firstLine="0"/>
        <w:jc w:val="both"/>
      </w:pPr>
      <w:bookmarkStart w:id="46" w:name="bookmark46"/>
      <w:bookmarkEnd w:id="46"/>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Oprávněný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http://www.poh.cz/protikorupcni-a-compliance-</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program/d-1346/p1=1458</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Oprávněný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9"/>
        </w:numPr>
        <w:shd w:val="clear" w:color="auto" w:fill="auto"/>
        <w:tabs>
          <w:tab w:pos="706" w:val="left"/>
        </w:tabs>
        <w:bidi w:val="0"/>
        <w:spacing w:before="0" w:after="500" w:line="240" w:lineRule="auto"/>
        <w:ind w:left="0" w:right="0" w:firstLine="0"/>
        <w:jc w:val="both"/>
      </w:pPr>
      <w:bookmarkStart w:id="47" w:name="bookmark47"/>
      <w:bookmarkEnd w:id="47"/>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48" w:name="bookmark48"/>
      <w:r>
        <w:rPr>
          <w:rFonts w:ascii="Times New Roman" w:eastAsia="Times New Roman" w:hAnsi="Times New Roman" w:cs="Times New Roman"/>
          <w:b/>
          <w:bCs/>
          <w:color w:val="000000"/>
          <w:spacing w:val="0"/>
          <w:w w:val="100"/>
          <w:position w:val="0"/>
          <w:sz w:val="24"/>
          <w:szCs w:val="24"/>
          <w:shd w:val="clear" w:color="auto" w:fill="auto"/>
          <w:lang w:val="cs-CZ" w:eastAsia="cs-CZ" w:bidi="cs-CZ"/>
        </w:rPr>
        <w:t>V</w:t>
      </w:r>
      <w:bookmarkEnd w:id="48"/>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III.</w:t>
      </w:r>
    </w:p>
    <w:p>
      <w:pPr>
        <w:pStyle w:val="Style9"/>
        <w:keepNext/>
        <w:keepLines/>
        <w:widowControl w:val="0"/>
        <w:shd w:val="clear" w:color="auto" w:fill="auto"/>
        <w:bidi w:val="0"/>
        <w:spacing w:before="0" w:line="240" w:lineRule="auto"/>
        <w:ind w:left="0" w:right="0" w:firstLine="0"/>
        <w:jc w:val="center"/>
      </w:pPr>
      <w:bookmarkStart w:id="49" w:name="bookmark49"/>
      <w:bookmarkStart w:id="50" w:name="bookmark50"/>
      <w:bookmarkStart w:id="51" w:name="bookmark51"/>
      <w:r>
        <w:rPr>
          <w:rFonts w:ascii="Times New Roman" w:eastAsia="Times New Roman" w:hAnsi="Times New Roman" w:cs="Times New Roman"/>
          <w:color w:val="000000"/>
          <w:spacing w:val="0"/>
          <w:w w:val="100"/>
          <w:position w:val="0"/>
          <w:sz w:val="24"/>
          <w:szCs w:val="24"/>
          <w:shd w:val="clear" w:color="auto" w:fill="auto"/>
          <w:lang w:val="cs-CZ" w:eastAsia="cs-CZ" w:bidi="cs-CZ"/>
        </w:rPr>
        <w:t>Ochrana a zpracování osobních údajů</w:t>
      </w:r>
      <w:bookmarkEnd w:id="49"/>
      <w:bookmarkEnd w:id="50"/>
      <w:bookmarkEnd w:id="51"/>
    </w:p>
    <w:p>
      <w:pPr>
        <w:pStyle w:val="Style2"/>
        <w:keepNext w:val="0"/>
        <w:keepLines w:val="0"/>
        <w:widowControl w:val="0"/>
        <w:shd w:val="clear" w:color="auto" w:fill="auto"/>
        <w:bidi w:val="0"/>
        <w:spacing w:before="0" w:after="50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lze nalézt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http://www.poh.cz/informace-o-zpracovani-osobnich-udaju/d-1369/p1=1459</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center"/>
      </w:pPr>
      <w:bookmarkStart w:id="52" w:name="bookmark52"/>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w:t>
      </w:r>
      <w:bookmarkEnd w:id="52"/>
      <w:r>
        <w:rPr>
          <w:rFonts w:ascii="Times New Roman" w:eastAsia="Times New Roman" w:hAnsi="Times New Roman" w:cs="Times New Roman"/>
          <w:b/>
          <w:bCs/>
          <w:color w:val="000000"/>
          <w:spacing w:val="0"/>
          <w:w w:val="100"/>
          <w:position w:val="0"/>
          <w:sz w:val="24"/>
          <w:szCs w:val="24"/>
          <w:shd w:val="clear" w:color="auto" w:fill="auto"/>
          <w:lang w:val="cs-CZ" w:eastAsia="cs-CZ" w:bidi="cs-CZ"/>
        </w:rPr>
        <w:t>X.</w:t>
      </w:r>
    </w:p>
    <w:p>
      <w:pPr>
        <w:pStyle w:val="Style9"/>
        <w:keepNext/>
        <w:keepLines/>
        <w:widowControl w:val="0"/>
        <w:shd w:val="clear" w:color="auto" w:fill="auto"/>
        <w:bidi w:val="0"/>
        <w:spacing w:before="0" w:line="240" w:lineRule="auto"/>
        <w:ind w:left="0" w:right="0" w:firstLine="0"/>
        <w:jc w:val="center"/>
      </w:pPr>
      <w:bookmarkStart w:id="53" w:name="bookmark53"/>
      <w:bookmarkStart w:id="54" w:name="bookmark54"/>
      <w:bookmarkStart w:id="55" w:name="bookmark55"/>
      <w:r>
        <w:rPr>
          <w:rFonts w:ascii="Times New Roman" w:eastAsia="Times New Roman" w:hAnsi="Times New Roman" w:cs="Times New Roman"/>
          <w:color w:val="000000"/>
          <w:spacing w:val="0"/>
          <w:w w:val="100"/>
          <w:position w:val="0"/>
          <w:sz w:val="24"/>
          <w:szCs w:val="24"/>
          <w:shd w:val="clear" w:color="auto" w:fill="auto"/>
          <w:lang w:val="cs-CZ" w:eastAsia="cs-CZ" w:bidi="cs-CZ"/>
        </w:rPr>
        <w:t>Další ujednání</w:t>
      </w:r>
      <w:bookmarkEnd w:id="53"/>
      <w:bookmarkEnd w:id="54"/>
      <w:bookmarkEnd w:id="55"/>
    </w:p>
    <w:p>
      <w:pPr>
        <w:pStyle w:val="Style2"/>
        <w:keepNext w:val="0"/>
        <w:keepLines w:val="0"/>
        <w:widowControl w:val="0"/>
        <w:numPr>
          <w:ilvl w:val="0"/>
          <w:numId w:val="11"/>
        </w:numPr>
        <w:shd w:val="clear" w:color="auto" w:fill="auto"/>
        <w:tabs>
          <w:tab w:pos="541" w:val="left"/>
        </w:tabs>
        <w:bidi w:val="0"/>
        <w:spacing w:before="0" w:line="240" w:lineRule="auto"/>
        <w:ind w:left="0" w:right="0" w:firstLine="0"/>
        <w:jc w:val="both"/>
      </w:pPr>
      <w:bookmarkStart w:id="56" w:name="bookmark56"/>
      <w:bookmarkEnd w:id="56"/>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1"/>
        </w:numPr>
        <w:shd w:val="clear" w:color="auto" w:fill="auto"/>
        <w:tabs>
          <w:tab w:pos="541" w:val="left"/>
        </w:tabs>
        <w:bidi w:val="0"/>
        <w:spacing w:before="0" w:line="240" w:lineRule="auto"/>
        <w:ind w:left="0" w:right="0" w:firstLine="0"/>
        <w:jc w:val="both"/>
      </w:pPr>
      <w:bookmarkStart w:id="57" w:name="bookmark57"/>
      <w:bookmarkEnd w:id="57"/>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zavazují vzájemně se včas a řádně informovat o všech podstatných skutečnostech, které mohou mít vliv na plnění této smlouvy a dále vyvinout potřebnou součinnost k plnění této smlouvy.</w:t>
      </w:r>
    </w:p>
    <w:p>
      <w:pPr>
        <w:pStyle w:val="Style2"/>
        <w:keepNext w:val="0"/>
        <w:keepLines w:val="0"/>
        <w:widowControl w:val="0"/>
        <w:numPr>
          <w:ilvl w:val="0"/>
          <w:numId w:val="11"/>
        </w:numPr>
        <w:shd w:val="clear" w:color="auto" w:fill="auto"/>
        <w:tabs>
          <w:tab w:pos="541" w:val="left"/>
        </w:tabs>
        <w:bidi w:val="0"/>
        <w:spacing w:before="0" w:line="240" w:lineRule="auto"/>
        <w:ind w:left="0" w:right="0" w:firstLine="0"/>
        <w:jc w:val="both"/>
      </w:pPr>
      <w:bookmarkStart w:id="58" w:name="bookmark58"/>
      <w:bookmarkEnd w:id="58"/>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změny vlastníka pozemku přecházejí veškerá práva a povinnosti dle této smlouvy na nového vlastníka.</w:t>
      </w:r>
    </w:p>
    <w:p>
      <w:pPr>
        <w:pStyle w:val="Style2"/>
        <w:keepNext w:val="0"/>
        <w:keepLines w:val="0"/>
        <w:widowControl w:val="0"/>
        <w:numPr>
          <w:ilvl w:val="0"/>
          <w:numId w:val="11"/>
        </w:numPr>
        <w:shd w:val="clear" w:color="auto" w:fill="auto"/>
        <w:tabs>
          <w:tab w:pos="541" w:val="left"/>
        </w:tabs>
        <w:bidi w:val="0"/>
        <w:spacing w:before="0" w:line="240" w:lineRule="auto"/>
        <w:ind w:left="0" w:right="0" w:firstLine="0"/>
        <w:jc w:val="both"/>
      </w:pPr>
      <w:bookmarkStart w:id="59" w:name="bookmark59"/>
      <w:bookmarkEnd w:id="59"/>
      <w:r>
        <w:rPr>
          <w:rFonts w:ascii="Times New Roman" w:eastAsia="Times New Roman" w:hAnsi="Times New Roman" w:cs="Times New Roman"/>
          <w:color w:val="000000"/>
          <w:spacing w:val="0"/>
          <w:w w:val="100"/>
          <w:position w:val="0"/>
          <w:sz w:val="24"/>
          <w:szCs w:val="24"/>
          <w:shd w:val="clear" w:color="auto" w:fill="auto"/>
          <w:lang w:val="cs-CZ" w:eastAsia="cs-CZ" w:bidi="cs-CZ"/>
        </w:rPr>
        <w:t>Tuto smlouvu lze měnit pouze písemnými dodatky, podepsanými oběma smluvními stranami na jedné listině.</w:t>
      </w:r>
    </w:p>
    <w:p>
      <w:pPr>
        <w:pStyle w:val="Style2"/>
        <w:keepNext w:val="0"/>
        <w:keepLines w:val="0"/>
        <w:widowControl w:val="0"/>
        <w:numPr>
          <w:ilvl w:val="0"/>
          <w:numId w:val="11"/>
        </w:numPr>
        <w:shd w:val="clear" w:color="auto" w:fill="auto"/>
        <w:tabs>
          <w:tab w:pos="541" w:val="left"/>
        </w:tabs>
        <w:bidi w:val="0"/>
        <w:spacing w:before="0" w:line="240" w:lineRule="auto"/>
        <w:ind w:left="0" w:right="0" w:firstLine="0"/>
        <w:jc w:val="both"/>
      </w:pPr>
      <w:bookmarkStart w:id="60" w:name="bookmark60"/>
      <w:bookmarkEnd w:id="60"/>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je vyhotovena v pěti stejnopisech, z nichž každý má platnost originálu. Jedno vyhotovení je určeno pro potřeby katastrálního úřadu, dvě vyhotovení obdrží strana povinná a dvě vyhotovení strana oprávněná.</w:t>
      </w:r>
    </w:p>
    <w:p>
      <w:pPr>
        <w:pStyle w:val="Style2"/>
        <w:keepNext w:val="0"/>
        <w:keepLines w:val="0"/>
        <w:widowControl w:val="0"/>
        <w:numPr>
          <w:ilvl w:val="0"/>
          <w:numId w:val="11"/>
        </w:numPr>
        <w:shd w:val="clear" w:color="auto" w:fill="auto"/>
        <w:tabs>
          <w:tab w:pos="541" w:val="left"/>
        </w:tabs>
        <w:bidi w:val="0"/>
        <w:spacing w:before="0" w:line="240" w:lineRule="auto"/>
        <w:ind w:left="0" w:right="0" w:firstLine="0"/>
        <w:jc w:val="both"/>
      </w:pPr>
      <w:bookmarkStart w:id="61" w:name="bookmark61"/>
      <w:bookmarkEnd w:id="61"/>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nabývá platnosti dnem podpisu oběma smluvními stranami a účinnosti zveřejněním v Registru smluv, pokud této účinnosti dle příslušných ustanovení smlouvy nenabude později.</w:t>
      </w:r>
    </w:p>
    <w:p>
      <w:pPr>
        <w:pStyle w:val="Style2"/>
        <w:keepNext w:val="0"/>
        <w:keepLines w:val="0"/>
        <w:widowControl w:val="0"/>
        <w:numPr>
          <w:ilvl w:val="0"/>
          <w:numId w:val="11"/>
        </w:numPr>
        <w:shd w:val="clear" w:color="auto" w:fill="auto"/>
        <w:tabs>
          <w:tab w:pos="541" w:val="left"/>
        </w:tabs>
        <w:bidi w:val="0"/>
        <w:spacing w:before="0" w:line="240" w:lineRule="auto"/>
        <w:ind w:left="0" w:right="0" w:firstLine="0"/>
        <w:jc w:val="both"/>
      </w:pPr>
      <w:bookmarkStart w:id="62" w:name="bookmark62"/>
      <w:bookmarkEnd w:id="62"/>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se uzavírá na dobu životnosti stavby.</w:t>
      </w:r>
      <w:r>
        <w:br w:type="page"/>
      </w:r>
    </w:p>
    <w:p>
      <w:pPr>
        <w:pStyle w:val="Style2"/>
        <w:keepNext w:val="0"/>
        <w:keepLines w:val="0"/>
        <w:widowControl w:val="0"/>
        <w:numPr>
          <w:ilvl w:val="0"/>
          <w:numId w:val="11"/>
        </w:numPr>
        <w:shd w:val="clear" w:color="auto" w:fill="auto"/>
        <w:tabs>
          <w:tab w:pos="560" w:val="left"/>
        </w:tabs>
        <w:bidi w:val="0"/>
        <w:spacing w:before="0" w:line="240" w:lineRule="auto"/>
        <w:ind w:left="0" w:right="0" w:firstLine="0"/>
        <w:jc w:val="both"/>
      </w:pPr>
      <w:bookmarkStart w:id="63" w:name="bookmark63"/>
      <w:bookmarkEnd w:id="63"/>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prohlašují, že si tuto smlouvu přečetly a že byla uzavřena po vzájemném projednání podle jejich pravé a svobodné vůle, nikoli v tísni nebo za nápadně nevýhodných podmínek.</w:t>
      </w:r>
    </w:p>
    <w:p>
      <w:pPr>
        <w:pStyle w:val="Style2"/>
        <w:keepNext w:val="0"/>
        <w:keepLines w:val="0"/>
        <w:widowControl w:val="0"/>
        <w:numPr>
          <w:ilvl w:val="0"/>
          <w:numId w:val="11"/>
        </w:numPr>
        <w:shd w:val="clear" w:color="auto" w:fill="auto"/>
        <w:tabs>
          <w:tab w:pos="560" w:val="left"/>
        </w:tabs>
        <w:bidi w:val="0"/>
        <w:spacing w:before="0" w:line="240" w:lineRule="auto"/>
        <w:ind w:left="0" w:right="0" w:firstLine="0"/>
        <w:jc w:val="both"/>
      </w:pPr>
      <w:bookmarkStart w:id="64" w:name="bookmark64"/>
      <w:bookmarkEnd w:id="64"/>
      <w:r>
        <w:rPr>
          <w:rFonts w:ascii="Times New Roman" w:eastAsia="Times New Roman" w:hAnsi="Times New Roman" w:cs="Times New Roman"/>
          <w:color w:val="000000"/>
          <w:spacing w:val="0"/>
          <w:w w:val="100"/>
          <w:position w:val="0"/>
          <w:sz w:val="24"/>
          <w:szCs w:val="24"/>
          <w:shd w:val="clear" w:color="auto" w:fill="auto"/>
          <w:lang w:val="cs-CZ" w:eastAsia="cs-CZ" w:bidi="cs-CZ"/>
        </w:rPr>
        <w:t>Nedílnou součástí této smlouvy je geometrický plán pro vyznačení věcného břemene - služebnosti č. 4386-32/2025.</w:t>
      </w:r>
    </w:p>
    <w:p>
      <w:pPr>
        <w:pStyle w:val="Style2"/>
        <w:keepNext w:val="0"/>
        <w:keepLines w:val="0"/>
        <w:widowControl w:val="0"/>
        <w:numPr>
          <w:ilvl w:val="0"/>
          <w:numId w:val="11"/>
        </w:numPr>
        <w:shd w:val="clear" w:color="auto" w:fill="auto"/>
        <w:tabs>
          <w:tab w:pos="680" w:val="left"/>
        </w:tabs>
        <w:bidi w:val="0"/>
        <w:spacing w:before="0" w:after="500" w:line="240" w:lineRule="auto"/>
        <w:ind w:left="0" w:right="0" w:firstLine="0"/>
        <w:jc w:val="both"/>
      </w:pPr>
      <w:bookmarkStart w:id="65" w:name="bookmark65"/>
      <w:bookmarkEnd w:id="65"/>
      <w:r>
        <w:rPr>
          <w:rFonts w:ascii="Times New Roman" w:eastAsia="Times New Roman" w:hAnsi="Times New Roman" w:cs="Times New Roman"/>
          <w:color w:val="000000"/>
          <w:spacing w:val="0"/>
          <w:w w:val="100"/>
          <w:position w:val="0"/>
          <w:sz w:val="24"/>
          <w:szCs w:val="24"/>
          <w:shd w:val="clear" w:color="auto" w:fill="auto"/>
          <w:lang w:val="cs-CZ" w:eastAsia="cs-CZ" w:bidi="cs-CZ"/>
        </w:rPr>
        <w:t>Rada Karlovarského kraje rozhodla usnesením č. 1544/12/25 ze dne 15.12.2025 o uzavření smlouvy o zřízení věcného břemene - služebnosti specifikovaného v čl. III. této smlouvy, v souladu s ust. § 59 odst. 3 zákona č. 129/2000 Sb., o krajích (krajské zřízení).</w:t>
      </w:r>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Příloha:</w:t>
      </w:r>
    </w:p>
    <w:p>
      <w:pPr>
        <w:pStyle w:val="Style2"/>
        <w:keepNext w:val="0"/>
        <w:keepLines w:val="0"/>
        <w:widowControl w:val="0"/>
        <w:shd w:val="clear" w:color="auto" w:fill="auto"/>
        <w:bidi w:val="0"/>
        <w:spacing w:before="0" w:after="76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Geometrický plán č. 4386-32/2025</w:t>
      </w:r>
    </w:p>
    <w:p>
      <w:pPr>
        <w:pStyle w:val="Style2"/>
        <w:keepNext w:val="0"/>
        <w:keepLines w:val="0"/>
        <w:widowControl w:val="0"/>
        <w:shd w:val="clear" w:color="auto" w:fill="auto"/>
        <w:bidi w:val="0"/>
        <w:spacing w:before="0" w:after="0" w:line="240" w:lineRule="auto"/>
        <w:ind w:left="0" w:right="0" w:firstLine="0"/>
        <w:jc w:val="center"/>
        <w:sectPr>
          <w:footerReference w:type="default" r:id="rId5"/>
          <w:footnotePr>
            <w:pos w:val="pageBottom"/>
            <w:numFmt w:val="decimal"/>
            <w:numRestart w:val="continuous"/>
          </w:footnotePr>
          <w:pgSz w:w="11909" w:h="16838"/>
          <w:pgMar w:top="1399" w:left="1391" w:right="1377" w:bottom="1881" w:header="971"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886460</wp:posOffset>
                </wp:positionH>
                <wp:positionV relativeFrom="paragraph">
                  <wp:posOffset>12700</wp:posOffset>
                </wp:positionV>
                <wp:extent cx="1017905" cy="243840"/>
                <wp:wrapSquare wrapText="bothSides"/>
                <wp:docPr id="3" name="Shape 3"/>
                <a:graphic xmlns:a="http://schemas.openxmlformats.org/drawingml/2006/main">
                  <a:graphicData uri="http://schemas.microsoft.com/office/word/2010/wordprocessingShape">
                    <wps:wsp>
                      <wps:cNvSpPr txBox="1"/>
                      <wps:spPr>
                        <a:xfrm>
                          <a:ext cx="1017905"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Sokolově dne</w:t>
                            </w:r>
                          </w:p>
                        </w:txbxContent>
                      </wps:txbx>
                      <wps:bodyPr wrap="none" lIns="0" tIns="0" rIns="0" bIns="0">
                        <a:noAutoFit/>
                      </wps:bodyPr>
                    </wps:wsp>
                  </a:graphicData>
                </a:graphic>
              </wp:anchor>
            </w:drawing>
          </mc:Choice>
          <mc:Fallback>
            <w:pict>
              <v:shape id="_x0000_s1029" type="#_x0000_t202" style="position:absolute;margin-left:69.799999999999997pt;margin-top:1.pt;width:80.150000000000006pt;height:19.1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Sokolově dne</w:t>
                      </w:r>
                    </w:p>
                  </w:txbxContent>
                </v:textbox>
                <w10:wrap type="square" anchorx="page"/>
              </v:shape>
            </w:pict>
          </mc:Fallback>
        </mc:AlternateContent>
      </w:r>
      <w:r>
        <w:rPr>
          <w:rFonts w:ascii="Times New Roman" w:eastAsia="Times New Roman" w:hAnsi="Times New Roman" w:cs="Times New Roman"/>
          <w:color w:val="000000"/>
          <w:spacing w:val="0"/>
          <w:w w:val="100"/>
          <w:position w:val="0"/>
          <w:sz w:val="24"/>
          <w:szCs w:val="24"/>
          <w:shd w:val="clear" w:color="auto" w:fill="auto"/>
          <w:lang w:val="cs-CZ" w:eastAsia="cs-CZ" w:bidi="cs-CZ"/>
        </w:rPr>
        <w:t>V Chomutově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5" w:after="3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921" w:header="0" w:footer="3" w:gutter="0"/>
          <w:cols w:space="720"/>
          <w:noEndnote/>
          <w:rtlGutter w:val="0"/>
          <w:docGrid w:linePitch="360"/>
        </w:sectPr>
      </w:pPr>
    </w:p>
    <w:p>
      <w:pPr>
        <w:pStyle w:val="Style2"/>
        <w:keepNext w:val="0"/>
        <w:keepLines w:val="0"/>
        <w:widowControl w:val="0"/>
        <w:shd w:val="clear" w:color="auto" w:fill="auto"/>
        <w:tabs>
          <w:tab w:leader="dot" w:pos="3720" w:val="left"/>
        </w:tabs>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4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 oprávněného</w:t>
      </w:r>
    </w:p>
    <w:p>
      <w:pPr>
        <w:pStyle w:val="Style2"/>
        <w:keepNext w:val="0"/>
        <w:keepLines w:val="0"/>
        <w:widowControl w:val="0"/>
        <w:shd w:val="clear" w:color="auto" w:fill="auto"/>
        <w:tabs>
          <w:tab w:leader="dot" w:pos="3662" w:val="left"/>
        </w:tabs>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680"/>
        <w:jc w:val="both"/>
        <w:sectPr>
          <w:footnotePr>
            <w:pos w:val="pageBottom"/>
            <w:numFmt w:val="decimal"/>
            <w:numRestart w:val="continuous"/>
          </w:footnotePr>
          <w:type w:val="continuous"/>
          <w:pgSz w:w="11909" w:h="16838"/>
          <w:pgMar w:top="1363" w:left="1394" w:right="1840" w:bottom="1921" w:header="0" w:footer="3" w:gutter="0"/>
          <w:cols w:num="2" w:space="1168"/>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za povinného</w:t>
      </w:r>
    </w:p>
    <w:p>
      <w:pPr>
        <w:widowControl w:val="0"/>
        <w:spacing w:line="240" w:lineRule="exact"/>
        <w:rPr>
          <w:sz w:val="19"/>
          <w:szCs w:val="19"/>
        </w:rPr>
      </w:pPr>
    </w:p>
    <w:p>
      <w:pPr>
        <w:widowControl w:val="0"/>
        <w:spacing w:line="240" w:lineRule="exact"/>
        <w:rPr>
          <w:sz w:val="19"/>
          <w:szCs w:val="19"/>
        </w:rPr>
      </w:pP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363"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200"/>
        <w:jc w:val="left"/>
      </w:pPr>
      <w:r>
        <mc:AlternateContent>
          <mc:Choice Requires="wps">
            <w:drawing>
              <wp:anchor distT="0" distB="0" distL="0" distR="0" simplePos="0" relativeHeight="125829380" behindDoc="0" locked="0" layoutInCell="1" allowOverlap="1">
                <wp:simplePos x="0" y="0"/>
                <wp:positionH relativeFrom="page">
                  <wp:posOffset>4147820</wp:posOffset>
                </wp:positionH>
                <wp:positionV relativeFrom="paragraph">
                  <wp:posOffset>0</wp:posOffset>
                </wp:positionV>
                <wp:extent cx="1676400" cy="240665"/>
                <wp:wrapSquare wrapText="bothSides"/>
                <wp:docPr id="5" name="Shape 5"/>
                <a:graphic xmlns:a="http://schemas.openxmlformats.org/drawingml/2006/main">
                  <a:graphicData uri="http://schemas.microsoft.com/office/word/2010/wordprocessingShape">
                    <wps:wsp>
                      <wps:cNvSpPr txBox="1"/>
                      <wps:spPr>
                        <a:xfrm>
                          <a:ext cx="1676400" cy="2406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w:t>
                            </w:r>
                          </w:p>
                        </w:txbxContent>
                      </wps:txbx>
                      <wps:bodyPr wrap="none" lIns="0" tIns="0" rIns="0" bIns="0">
                        <a:noAutoFit/>
                      </wps:bodyPr>
                    </wps:wsp>
                  </a:graphicData>
                </a:graphic>
              </wp:anchor>
            </w:drawing>
          </mc:Choice>
          <mc:Fallback>
            <w:pict>
              <v:shape id="_x0000_s1031" type="#_x0000_t202" style="position:absolute;margin-left:326.60000000000002pt;margin-top:0;width:132.pt;height:18.949999999999999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w:t>
                      </w:r>
                    </w:p>
                  </w:txbxContent>
                </v:textbox>
                <w10:wrap type="square" anchorx="page"/>
              </v:shape>
            </w:pict>
          </mc:Fallback>
        </mc:AlternateContent>
      </w:r>
      <w:r>
        <w:rPr>
          <w:rFonts w:ascii="Times New Roman" w:eastAsia="Times New Roman" w:hAnsi="Times New Roman" w:cs="Times New Roman"/>
          <w:color w:val="000000"/>
          <w:spacing w:val="0"/>
          <w:w w:val="100"/>
          <w:position w:val="0"/>
          <w:sz w:val="24"/>
          <w:szCs w:val="24"/>
          <w:shd w:val="clear" w:color="auto" w:fill="auto"/>
          <w:lang w:val="cs-CZ" w:eastAsia="cs-CZ" w:bidi="cs-CZ"/>
        </w:rPr>
        <w:t>Krajská správa a údržba silnic</w:t>
      </w:r>
    </w:p>
    <w:p>
      <w:pPr>
        <w:pStyle w:val="Style2"/>
        <w:keepNext w:val="0"/>
        <w:keepLines w:val="0"/>
        <w:widowControl w:val="0"/>
        <w:shd w:val="clear" w:color="auto" w:fill="auto"/>
        <w:bidi w:val="0"/>
        <w:spacing w:before="0" w:after="46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Karlovarského kraje, příspěvková organizace</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 správnost:</w:t>
      </w:r>
    </w:p>
    <w:sectPr>
      <w:footnotePr>
        <w:pos w:val="pageBottom"/>
        <w:numFmt w:val="decimal"/>
        <w:numRestart w:val="continuous"/>
      </w:footnotePr>
      <w:type w:val="continuous"/>
      <w:pgSz w:w="11909" w:h="16838"/>
      <w:pgMar w:top="1363" w:left="1394" w:right="5378" w:bottom="136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3747135</wp:posOffset>
              </wp:positionH>
              <wp:positionV relativeFrom="page">
                <wp:posOffset>10078085</wp:posOffset>
              </wp:positionV>
              <wp:extent cx="76200" cy="204470"/>
              <wp:wrapNone/>
              <wp:docPr id="1" name="Shape 1"/>
              <a:graphic xmlns:a="http://schemas.openxmlformats.org/drawingml/2006/main">
                <a:graphicData uri="http://schemas.microsoft.com/office/word/2010/wordprocessingShape">
                  <wps:wsp>
                    <wps:cNvSpPr txBox="1"/>
                    <wps:spPr>
                      <a:xfrm>
                        <a:ext cx="76200" cy="2044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05000000000001pt;margin-top:793.55000000000007pt;width:6.pt;height:16.1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u w:val="none"/>
    </w:rPr>
  </w:style>
  <w:style w:type="character" w:customStyle="1" w:styleId="CharStyle5">
    <w:name w:val="Char Style 5"/>
    <w:basedOn w:val="DefaultParagraphFont"/>
    <w:link w:val="Style4"/>
    <w:rPr>
      <w:b/>
      <w:bCs/>
      <w:i w:val="0"/>
      <w:iCs w:val="0"/>
      <w:smallCaps w:val="0"/>
      <w:strike w:val="0"/>
      <w:sz w:val="32"/>
      <w:szCs w:val="3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0">
    <w:name w:val="Char Style 10"/>
    <w:basedOn w:val="DefaultParagraphFont"/>
    <w:link w:val="Style9"/>
    <w:rPr>
      <w:b/>
      <w:bCs/>
      <w:i w:val="0"/>
      <w:iCs w:val="0"/>
      <w:smallCaps w:val="0"/>
      <w:strike w:val="0"/>
      <w:u w:val="none"/>
    </w:rPr>
  </w:style>
  <w:style w:type="paragraph" w:customStyle="1" w:styleId="Style2">
    <w:name w:val="Style 2"/>
    <w:basedOn w:val="Normal"/>
    <w:link w:val="CharStyle3"/>
    <w:pPr>
      <w:widowControl w:val="0"/>
      <w:shd w:val="clear" w:color="auto" w:fill="FFFFFF"/>
      <w:spacing w:after="220"/>
    </w:pPr>
    <w:rPr>
      <w:b w:val="0"/>
      <w:bCs w:val="0"/>
      <w:i w:val="0"/>
      <w:iCs w:val="0"/>
      <w:smallCaps w:val="0"/>
      <w:strike w:val="0"/>
      <w:u w:val="none"/>
    </w:rPr>
  </w:style>
  <w:style w:type="paragraph" w:customStyle="1" w:styleId="Style4">
    <w:name w:val="Style 4"/>
    <w:basedOn w:val="Normal"/>
    <w:link w:val="CharStyle5"/>
    <w:pPr>
      <w:widowControl w:val="0"/>
      <w:shd w:val="clear" w:color="auto" w:fill="FFFFFF"/>
      <w:spacing w:before="100"/>
      <w:jc w:val="center"/>
      <w:outlineLvl w:val="0"/>
    </w:pPr>
    <w:rPr>
      <w:b/>
      <w:bCs/>
      <w:i w:val="0"/>
      <w:iCs w:val="0"/>
      <w:smallCaps w:val="0"/>
      <w:strike w:val="0"/>
      <w:sz w:val="32"/>
      <w:szCs w:val="3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20"/>
      <w:jc w:val="center"/>
      <w:outlineLvl w:val="1"/>
    </w:pPr>
    <w:rPr>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Smlouva o zřízení věcného břemene</dc:title>
  <dc:subject/>
  <dc:creator>Karel Krtek</dc:creator>
  <cp:keywords/>
</cp:coreProperties>
</file>