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87E7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87E7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87E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87E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87E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87E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87E7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Michal Urbánek</w:t>
            </w:r>
          </w:p>
          <w:p w:rsidR="001F0477" w:rsidRPr="006F0BA2" w:rsidRDefault="00A87E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A87E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87E71">
              <w:rPr>
                <w:rFonts w:ascii="Tahoma" w:hAnsi="Tahoma" w:cs="Tahoma"/>
                <w:bCs/>
                <w:noProof/>
                <w:sz w:val="22"/>
                <w:szCs w:val="22"/>
              </w:rPr>
              <w:t>74723308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87E71"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87E71">
        <w:rPr>
          <w:rFonts w:ascii="Tahoma" w:hAnsi="Tahoma" w:cs="Tahoma"/>
          <w:noProof/>
          <w:sz w:val="28"/>
          <w:szCs w:val="28"/>
        </w:rPr>
        <w:t>11/26/7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87E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Studie Oživení prostoru městského opevnění v ul. Čelakovského, Strakonice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87E7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vypracování architektonické studie pro záměr: Oživení prostoru městského opevnění v ul. Čelakovského, Strakonice - dle cenové nabídky z 13.01.2026. Součástí bude téma rodného domu F. L. Čelakovského, připomenutí městského opevnění, využití torza městského opevnění.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87E71">
        <w:rPr>
          <w:rFonts w:ascii="Tahoma" w:hAnsi="Tahoma" w:cs="Tahoma"/>
          <w:noProof/>
          <w:sz w:val="20"/>
          <w:szCs w:val="20"/>
        </w:rPr>
        <w:t>31. 12. 2026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87E7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87E7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71" w:rsidRDefault="00A87E71">
      <w:r>
        <w:separator/>
      </w:r>
    </w:p>
  </w:endnote>
  <w:endnote w:type="continuationSeparator" w:id="0">
    <w:p w:rsidR="00A87E71" w:rsidRDefault="00A8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71" w:rsidRDefault="00A87E71">
      <w:r>
        <w:separator/>
      </w:r>
    </w:p>
  </w:footnote>
  <w:footnote w:type="continuationSeparator" w:id="0">
    <w:p w:rsidR="00A87E71" w:rsidRDefault="00A8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7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87E71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1626-2DB6-432D-B275-0BB030B1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7E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1289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2026-01-15T14:27:00Z</cp:lastPrinted>
  <dcterms:created xsi:type="dcterms:W3CDTF">2026-01-15T14:26:00Z</dcterms:created>
  <dcterms:modified xsi:type="dcterms:W3CDTF">2026-01-15T14:29:00Z</dcterms:modified>
</cp:coreProperties>
</file>