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A8CC" w14:textId="77777777" w:rsidR="00DC3D22" w:rsidRDefault="00EA11AE" w:rsidP="00EA11AE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</w:t>
      </w:r>
    </w:p>
    <w:p w14:paraId="5B2C38F1" w14:textId="674713A4" w:rsidR="00EA11AE" w:rsidRDefault="00EA11AE" w:rsidP="00EA11AE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37B54" w:rsidRPr="00EA11AE">
        <w:rPr>
          <w:rFonts w:ascii="Arial" w:hAnsi="Arial" w:cs="Arial"/>
          <w:sz w:val="22"/>
          <w:szCs w:val="22"/>
        </w:rPr>
        <w:t xml:space="preserve">Č.j.: </w:t>
      </w:r>
      <w:r w:rsidR="00405426" w:rsidRPr="00405426">
        <w:rPr>
          <w:rFonts w:ascii="Arial" w:hAnsi="Arial" w:cs="Arial"/>
          <w:sz w:val="22"/>
          <w:szCs w:val="22"/>
        </w:rPr>
        <w:t>SPU 480174/2025</w:t>
      </w:r>
    </w:p>
    <w:p w14:paraId="27917B4C" w14:textId="5F5B26ED" w:rsidR="00137B54" w:rsidRPr="00C160A8" w:rsidRDefault="00137B54" w:rsidP="00EA11AE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A11AE">
        <w:rPr>
          <w:rFonts w:ascii="Arial" w:hAnsi="Arial" w:cs="Arial"/>
          <w:sz w:val="22"/>
          <w:szCs w:val="22"/>
        </w:rPr>
        <w:t>UID:</w:t>
      </w:r>
      <w:r w:rsidR="00F069DC" w:rsidRPr="00F069DC">
        <w:t xml:space="preserve"> </w:t>
      </w:r>
      <w:r w:rsidR="00F069DC" w:rsidRPr="00F069DC">
        <w:rPr>
          <w:rFonts w:ascii="Arial" w:hAnsi="Arial" w:cs="Arial"/>
          <w:sz w:val="22"/>
          <w:szCs w:val="22"/>
        </w:rPr>
        <w:t>spuess980511fa</w:t>
      </w:r>
    </w:p>
    <w:bookmarkEnd w:id="0"/>
    <w:p w14:paraId="49051272" w14:textId="77777777" w:rsidR="00EA11AE" w:rsidRPr="00821897" w:rsidRDefault="00EA11AE" w:rsidP="00EA11AE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A16E76" w14:textId="77777777" w:rsidR="00EA11AE" w:rsidRPr="00821897" w:rsidRDefault="00EA11AE" w:rsidP="00EA11AE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21897">
        <w:rPr>
          <w:rFonts w:ascii="Arial" w:hAnsi="Arial" w:cs="Arial"/>
          <w:sz w:val="22"/>
          <w:szCs w:val="22"/>
        </w:rPr>
        <w:t>11a</w:t>
      </w:r>
      <w:proofErr w:type="gramEnd"/>
      <w:r w:rsidRPr="00821897">
        <w:rPr>
          <w:rFonts w:ascii="Arial" w:hAnsi="Arial" w:cs="Arial"/>
          <w:sz w:val="22"/>
          <w:szCs w:val="22"/>
        </w:rPr>
        <w:t>, 130 00 Praha 3 – Žižkov</w:t>
      </w:r>
    </w:p>
    <w:p w14:paraId="661796E8" w14:textId="77777777" w:rsidR="00EA11AE" w:rsidRPr="003736E0" w:rsidRDefault="00EA11AE" w:rsidP="00EA11AE">
      <w:pPr>
        <w:rPr>
          <w:rFonts w:ascii="Arial" w:hAnsi="Arial" w:cs="Arial"/>
          <w:sz w:val="22"/>
          <w:szCs w:val="22"/>
        </w:rPr>
      </w:pPr>
      <w:proofErr w:type="gramStart"/>
      <w:r w:rsidRPr="003736E0">
        <w:rPr>
          <w:rFonts w:ascii="Arial" w:hAnsi="Arial" w:cs="Arial"/>
          <w:sz w:val="22"/>
          <w:szCs w:val="22"/>
        </w:rPr>
        <w:t>IČO:  01312774</w:t>
      </w:r>
      <w:proofErr w:type="gramEnd"/>
      <w:r w:rsidRPr="003736E0">
        <w:rPr>
          <w:rFonts w:ascii="Arial" w:hAnsi="Arial" w:cs="Arial"/>
          <w:sz w:val="22"/>
          <w:szCs w:val="22"/>
        </w:rPr>
        <w:t xml:space="preserve"> </w:t>
      </w:r>
    </w:p>
    <w:p w14:paraId="32052DA8" w14:textId="77777777" w:rsidR="00EA11AE" w:rsidRPr="00821897" w:rsidRDefault="00EA11AE" w:rsidP="00EA11AE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  <w:r>
        <w:rPr>
          <w:rFonts w:ascii="Arial" w:hAnsi="Arial" w:cs="Arial"/>
          <w:sz w:val="22"/>
          <w:szCs w:val="22"/>
        </w:rPr>
        <w:t>,</w:t>
      </w:r>
    </w:p>
    <w:p w14:paraId="0BB544AD" w14:textId="77777777" w:rsidR="00EA11AE" w:rsidRPr="00821897" w:rsidRDefault="00EA11AE" w:rsidP="00EA11A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21897">
        <w:rPr>
          <w:rFonts w:ascii="Arial" w:hAnsi="Arial" w:cs="Arial"/>
          <w:sz w:val="22"/>
          <w:szCs w:val="22"/>
        </w:rPr>
        <w:t xml:space="preserve"> právně jedná Ing. </w:t>
      </w:r>
      <w:r>
        <w:rPr>
          <w:rFonts w:ascii="Arial" w:hAnsi="Arial" w:cs="Arial"/>
          <w:sz w:val="22"/>
          <w:szCs w:val="22"/>
        </w:rPr>
        <w:t>Pavel Zajíček, ředitel</w:t>
      </w:r>
      <w:r w:rsidRPr="00821897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br/>
      </w:r>
      <w:r w:rsidRPr="00821897">
        <w:rPr>
          <w:rFonts w:ascii="Arial" w:hAnsi="Arial" w:cs="Arial"/>
          <w:sz w:val="22"/>
          <w:szCs w:val="22"/>
        </w:rPr>
        <w:t xml:space="preserve">pro Jihomoravský kraj, </w:t>
      </w:r>
    </w:p>
    <w:p w14:paraId="44184EA1" w14:textId="77777777" w:rsidR="00EA11AE" w:rsidRPr="00821897" w:rsidRDefault="00EA11AE" w:rsidP="00EA11A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adresa: Krajský pozemkový úřad pro Jihomoravský kraj, Hroznová 17, </w:t>
      </w:r>
      <w:r>
        <w:rPr>
          <w:rFonts w:ascii="Arial" w:hAnsi="Arial" w:cs="Arial"/>
          <w:sz w:val="22"/>
          <w:szCs w:val="22"/>
        </w:rPr>
        <w:t xml:space="preserve">603 </w:t>
      </w:r>
      <w:proofErr w:type="gramStart"/>
      <w:r>
        <w:rPr>
          <w:rFonts w:ascii="Arial" w:hAnsi="Arial" w:cs="Arial"/>
          <w:sz w:val="22"/>
          <w:szCs w:val="22"/>
        </w:rPr>
        <w:t xml:space="preserve">00  </w:t>
      </w:r>
      <w:r w:rsidRPr="00821897">
        <w:rPr>
          <w:rFonts w:ascii="Arial" w:hAnsi="Arial" w:cs="Arial"/>
          <w:sz w:val="22"/>
          <w:szCs w:val="22"/>
        </w:rPr>
        <w:t>Brno</w:t>
      </w:r>
      <w:proofErr w:type="gramEnd"/>
      <w:r w:rsidRPr="00821897">
        <w:rPr>
          <w:rFonts w:ascii="Arial" w:hAnsi="Arial" w:cs="Arial"/>
          <w:sz w:val="22"/>
          <w:szCs w:val="22"/>
        </w:rPr>
        <w:t>,</w:t>
      </w:r>
    </w:p>
    <w:p w14:paraId="738D4FA6" w14:textId="77777777" w:rsidR="00EA11AE" w:rsidRPr="00821897" w:rsidRDefault="00EA11AE" w:rsidP="00EA11A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0F35995B" w14:textId="77777777" w:rsidR="00EA11AE" w:rsidRPr="00821897" w:rsidRDefault="00EA11AE" w:rsidP="00EA11A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14:paraId="1648E9E4" w14:textId="77777777" w:rsidR="00EA11AE" w:rsidRPr="00821897" w:rsidRDefault="00EA11AE" w:rsidP="00EA11AE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číslo účtu: </w:t>
      </w:r>
      <w:r w:rsidRPr="00092EDD">
        <w:rPr>
          <w:rFonts w:ascii="Arial" w:hAnsi="Arial" w:cs="Arial"/>
          <w:sz w:val="22"/>
          <w:szCs w:val="22"/>
        </w:rPr>
        <w:t>110015-3723001/0710</w:t>
      </w:r>
    </w:p>
    <w:p w14:paraId="06417B4A" w14:textId="77777777" w:rsidR="00EA11AE" w:rsidRDefault="00EA11AE" w:rsidP="00EA11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5BDF98A" w14:textId="77777777" w:rsidR="00EA11AE" w:rsidRDefault="00EA11AE" w:rsidP="00740FC8">
      <w:pPr>
        <w:jc w:val="both"/>
        <w:rPr>
          <w:rFonts w:ascii="Arial" w:hAnsi="Arial" w:cs="Arial"/>
          <w:sz w:val="22"/>
          <w:szCs w:val="22"/>
        </w:rPr>
      </w:pPr>
    </w:p>
    <w:p w14:paraId="2982B00B" w14:textId="777BDC43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5E552230" w14:textId="521B4AE2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3F83150E" w14:textId="1619B590" w:rsidR="00EA11AE" w:rsidRDefault="00C4345F" w:rsidP="00EA11A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Farma Suchov s.r.o.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Suchov 12, Suchov, 69671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01487001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CZ01487001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A11AE" w:rsidRPr="00D62783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EA11AE">
        <w:rPr>
          <w:rFonts w:ascii="Arial" w:hAnsi="Arial" w:cs="Arial"/>
          <w:iCs/>
          <w:sz w:val="22"/>
          <w:szCs w:val="22"/>
        </w:rPr>
        <w:t xml:space="preserve">Krajským soudem v Brně, oddíl C, vložka </w:t>
      </w:r>
      <w:r>
        <w:rPr>
          <w:rFonts w:ascii="Arial" w:hAnsi="Arial" w:cs="Arial"/>
          <w:iCs/>
          <w:sz w:val="22"/>
          <w:szCs w:val="22"/>
        </w:rPr>
        <w:t>78</w:t>
      </w:r>
      <w:r w:rsidR="004C1CC6">
        <w:rPr>
          <w:rFonts w:ascii="Arial" w:hAnsi="Arial" w:cs="Arial"/>
          <w:iCs/>
          <w:sz w:val="22"/>
          <w:szCs w:val="22"/>
        </w:rPr>
        <w:t>301</w:t>
      </w:r>
    </w:p>
    <w:p w14:paraId="32F17ECB" w14:textId="2787AE9F" w:rsidR="00F13A71" w:rsidRPr="00CB249D" w:rsidRDefault="00EA11AE" w:rsidP="00EA11AE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  <w:u w:val="single"/>
        </w:rPr>
      </w:pPr>
      <w:r w:rsidRPr="00D62783">
        <w:rPr>
          <w:rFonts w:ascii="Arial" w:hAnsi="Arial" w:cs="Arial"/>
          <w:iCs/>
          <w:sz w:val="22"/>
          <w:szCs w:val="22"/>
        </w:rPr>
        <w:t>osoba oprávněná jednat za právnickou osobu</w:t>
      </w:r>
      <w:r>
        <w:rPr>
          <w:rFonts w:ascii="Arial" w:hAnsi="Arial" w:cs="Arial"/>
          <w:iCs/>
          <w:sz w:val="22"/>
          <w:szCs w:val="22"/>
        </w:rPr>
        <w:t xml:space="preserve">: jednatel </w:t>
      </w:r>
      <w:r w:rsidR="004C1CC6">
        <w:rPr>
          <w:rFonts w:ascii="Arial" w:hAnsi="Arial" w:cs="Arial"/>
          <w:iCs/>
          <w:snapToGrid w:val="0"/>
          <w:color w:val="000000"/>
          <w:sz w:val="22"/>
          <w:szCs w:val="22"/>
        </w:rPr>
        <w:t>Taťána Galušková</w:t>
      </w:r>
      <w:r>
        <w:rPr>
          <w:rFonts w:ascii="Arial" w:hAnsi="Arial" w:cs="Arial"/>
          <w:iCs/>
          <w:sz w:val="22"/>
          <w:szCs w:val="22"/>
        </w:rPr>
        <w:br/>
      </w:r>
    </w:p>
    <w:p w14:paraId="4F53D046" w14:textId="77777777" w:rsidR="008226F9" w:rsidRPr="00CB249D" w:rsidRDefault="008226F9">
      <w:pPr>
        <w:jc w:val="both"/>
        <w:rPr>
          <w:rFonts w:ascii="Arial" w:hAnsi="Arial" w:cs="Arial"/>
          <w:sz w:val="22"/>
          <w:szCs w:val="22"/>
        </w:rPr>
      </w:pP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43C27FDD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4C1CC6">
        <w:rPr>
          <w:rFonts w:ascii="Arial" w:hAnsi="Arial" w:cs="Arial"/>
          <w:b/>
          <w:bCs/>
          <w:sz w:val="32"/>
          <w:szCs w:val="32"/>
        </w:rPr>
        <w:t>22</w:t>
      </w:r>
      <w:r>
        <w:rPr>
          <w:rFonts w:ascii="Arial" w:hAnsi="Arial" w:cs="Arial"/>
          <w:b/>
          <w:bCs/>
          <w:sz w:val="32"/>
          <w:szCs w:val="32"/>
        </w:rPr>
        <w:t>N25/24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0260C997" w14:textId="5BDEBFDE" w:rsidR="00706D41" w:rsidRPr="0007620B" w:rsidRDefault="00FB2238" w:rsidP="00DC3D22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37D482D" w14:textId="2AB7F2D3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</w:t>
      </w:r>
      <w:r w:rsidR="007232B9">
        <w:rPr>
          <w:rFonts w:ascii="Arial" w:hAnsi="Arial" w:cs="Arial"/>
          <w:sz w:val="22"/>
          <w:szCs w:val="22"/>
        </w:rPr>
        <w:t>15. 4. 2022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EA11AE">
        <w:rPr>
          <w:rFonts w:ascii="Arial" w:hAnsi="Arial" w:cs="Arial"/>
          <w:sz w:val="22"/>
          <w:szCs w:val="22"/>
        </w:rPr>
        <w:t>31. 1. 2026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E1A1DF" w14:textId="40E629A5" w:rsidR="00706D41" w:rsidRPr="00DC3D22" w:rsidRDefault="00DC662C" w:rsidP="00DC3D22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083000CD" w14:textId="77777777" w:rsidR="00FB2238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3E589052" w14:textId="77777777" w:rsidR="00DC3D22" w:rsidRPr="00CB249D" w:rsidRDefault="00DC3D22" w:rsidP="00FB2238">
      <w:pPr>
        <w:pStyle w:val="adresa"/>
        <w:rPr>
          <w:rFonts w:ascii="Arial" w:hAnsi="Arial" w:cs="Arial"/>
          <w:sz w:val="22"/>
          <w:szCs w:val="22"/>
        </w:rPr>
      </w:pPr>
    </w:p>
    <w:p w14:paraId="13CB6137" w14:textId="5A1467CB" w:rsidR="00FB2238" w:rsidRPr="00DC3D22" w:rsidRDefault="00FB2238" w:rsidP="00DC3D22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366181A3" w14:textId="5FCF3D51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7232B9">
        <w:rPr>
          <w:rFonts w:ascii="Arial" w:hAnsi="Arial" w:cs="Arial"/>
          <w:sz w:val="22"/>
          <w:szCs w:val="22"/>
        </w:rPr>
        <w:t>15. 4. 20</w:t>
      </w:r>
      <w:r w:rsidR="008A3F7C">
        <w:rPr>
          <w:rFonts w:ascii="Arial" w:hAnsi="Arial" w:cs="Arial"/>
          <w:sz w:val="22"/>
          <w:szCs w:val="22"/>
        </w:rPr>
        <w:t>22</w:t>
      </w:r>
      <w:r w:rsidRPr="00C1499B">
        <w:rPr>
          <w:rFonts w:ascii="Arial" w:hAnsi="Arial" w:cs="Arial"/>
          <w:sz w:val="22"/>
          <w:szCs w:val="22"/>
        </w:rPr>
        <w:t xml:space="preserve">do </w:t>
      </w:r>
      <w:r w:rsidR="00EA11AE">
        <w:rPr>
          <w:rFonts w:ascii="Arial" w:hAnsi="Arial" w:cs="Arial"/>
          <w:sz w:val="22"/>
          <w:szCs w:val="22"/>
        </w:rPr>
        <w:t>31. 1. 2026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8A3F7C">
        <w:rPr>
          <w:rFonts w:ascii="Arial" w:hAnsi="Arial" w:cs="Arial"/>
          <w:b/>
          <w:bCs/>
          <w:sz w:val="22"/>
          <w:szCs w:val="22"/>
        </w:rPr>
        <w:t>50 680</w:t>
      </w:r>
      <w:r w:rsidR="00EA11AE" w:rsidRPr="00EA11AE">
        <w:rPr>
          <w:rFonts w:ascii="Arial" w:hAnsi="Arial" w:cs="Arial"/>
          <w:b/>
          <w:bCs/>
          <w:sz w:val="22"/>
          <w:szCs w:val="22"/>
        </w:rPr>
        <w:t>,00</w:t>
      </w:r>
      <w:r w:rsidRPr="00EA11A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7D41EE" w:rsidRPr="007D41EE">
        <w:rPr>
          <w:rFonts w:ascii="Arial" w:hAnsi="Arial" w:cs="Arial"/>
          <w:sz w:val="22"/>
          <w:szCs w:val="22"/>
        </w:rPr>
        <w:t>padesát tisíc šest set osmdesát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1AE4A" w14:textId="643B3F7B" w:rsidR="00BF2EA7" w:rsidRDefault="00BF2EA7" w:rsidP="00EA11AE">
      <w:pPr>
        <w:jc w:val="both"/>
        <w:rPr>
          <w:rFonts w:ascii="Arial" w:hAnsi="Arial" w:cs="Arial"/>
          <w:sz w:val="22"/>
          <w:szCs w:val="22"/>
        </w:rPr>
      </w:pPr>
    </w:p>
    <w:p w14:paraId="220CBD61" w14:textId="6A3E4CA5" w:rsidR="00807C18" w:rsidRPr="00C1499B" w:rsidRDefault="00807C18" w:rsidP="00EA11AE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částka k úhradě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>
        <w:rPr>
          <w:rFonts w:ascii="Arial" w:hAnsi="Arial" w:cs="Arial"/>
          <w:b/>
          <w:bCs/>
          <w:sz w:val="22"/>
          <w:szCs w:val="22"/>
        </w:rPr>
        <w:t>50 680</w:t>
      </w:r>
      <w:r w:rsidRPr="00EA11AE">
        <w:rPr>
          <w:rFonts w:ascii="Arial" w:hAnsi="Arial" w:cs="Arial"/>
          <w:b/>
          <w:bCs/>
          <w:sz w:val="22"/>
          <w:szCs w:val="22"/>
        </w:rPr>
        <w:t>,00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Pr="007D41EE">
        <w:rPr>
          <w:rFonts w:ascii="Arial" w:hAnsi="Arial" w:cs="Arial"/>
          <w:sz w:val="22"/>
          <w:szCs w:val="22"/>
        </w:rPr>
        <w:t>padesát tisíc šest set osmdesát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61E25CF6" w14:textId="28ADC0AE" w:rsidR="00FB2238" w:rsidRPr="00C1499B" w:rsidRDefault="00FB2238" w:rsidP="00DC3D22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7D38F44A" w14:textId="1304D329" w:rsidR="00FB2238" w:rsidRPr="00EA11AE" w:rsidRDefault="00FB2238" w:rsidP="00EA11AE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EA11AE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110015-3723001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 xml:space="preserve">, </w:t>
      </w:r>
      <w:r w:rsidR="00DE3EB1" w:rsidRPr="00EA11AE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EA11AE">
        <w:rPr>
          <w:rFonts w:ascii="Arial" w:hAnsi="Arial" w:cs="Arial"/>
          <w:b/>
          <w:bCs/>
          <w:sz w:val="22"/>
          <w:szCs w:val="22"/>
        </w:rPr>
        <w:t>2</w:t>
      </w:r>
      <w:r w:rsidR="00D7433C">
        <w:rPr>
          <w:rFonts w:ascii="Arial" w:hAnsi="Arial" w:cs="Arial"/>
          <w:b/>
          <w:bCs/>
          <w:sz w:val="22"/>
          <w:szCs w:val="22"/>
        </w:rPr>
        <w:t>22</w:t>
      </w:r>
      <w:r w:rsidRPr="00EA11AE">
        <w:rPr>
          <w:rFonts w:ascii="Arial" w:hAnsi="Arial" w:cs="Arial"/>
          <w:b/>
          <w:bCs/>
          <w:sz w:val="22"/>
          <w:szCs w:val="22"/>
        </w:rPr>
        <w:t>12524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EA11AE">
        <w:rPr>
          <w:rFonts w:ascii="Arial" w:hAnsi="Arial" w:cs="Arial"/>
          <w:sz w:val="22"/>
          <w:szCs w:val="22"/>
        </w:rPr>
        <w:t>.</w:t>
      </w: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38B53059" w14:textId="52863B24" w:rsidR="00142BDB" w:rsidRPr="000E45CC" w:rsidRDefault="00142BDB" w:rsidP="000E45CC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0E45CC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70CE01A3" w14:textId="77777777" w:rsidR="00DC3D22" w:rsidRPr="00C1499B" w:rsidRDefault="00DC3D22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06BF426" w14:textId="00611D4D" w:rsidR="00FB2238" w:rsidRPr="00C1499B" w:rsidRDefault="00FB2238" w:rsidP="00DC3D22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C3D22">
        <w:rPr>
          <w:rFonts w:ascii="Arial" w:hAnsi="Arial" w:cs="Arial"/>
          <w:b/>
          <w:bCs/>
          <w:sz w:val="22"/>
          <w:szCs w:val="22"/>
        </w:rPr>
        <w:t>I</w:t>
      </w:r>
      <w:r w:rsidRPr="00C1499B">
        <w:rPr>
          <w:rFonts w:ascii="Arial" w:hAnsi="Arial" w:cs="Arial"/>
          <w:b/>
          <w:bCs/>
          <w:sz w:val="22"/>
          <w:szCs w:val="22"/>
        </w:rPr>
        <w:t>V</w:t>
      </w:r>
    </w:p>
    <w:p w14:paraId="08822AA1" w14:textId="2D73DFF6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v </w:t>
      </w:r>
      <w:r w:rsidR="00DC3D22">
        <w:rPr>
          <w:rFonts w:ascii="Arial" w:hAnsi="Arial" w:cs="Arial"/>
          <w:sz w:val="22"/>
          <w:szCs w:val="22"/>
        </w:rPr>
        <w:t>2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C3D22">
        <w:rPr>
          <w:rFonts w:ascii="Arial" w:hAnsi="Arial" w:cs="Arial"/>
          <w:sz w:val="22"/>
          <w:szCs w:val="22"/>
        </w:rPr>
        <w:t xml:space="preserve">1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B233647" w14:textId="77777777" w:rsidR="00DC3D22" w:rsidRPr="00C1499B" w:rsidRDefault="00DC3D2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D8A7516" w14:textId="2A8A01DF" w:rsidR="00FB2238" w:rsidRPr="00DC3D22" w:rsidRDefault="00FB2238" w:rsidP="00DC3D22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397138A1" w14:textId="77777777" w:rsidR="009F6C89" w:rsidRPr="00DC3D22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C3D2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DC3D22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DC3D22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C3D22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DC3D2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C3D22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C3D22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DC65291" w14:textId="241A931A" w:rsidR="00FB2238" w:rsidRPr="00DC3D22" w:rsidRDefault="00FB2238" w:rsidP="00DC3D22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498805C0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DC3D22">
        <w:rPr>
          <w:rFonts w:ascii="Arial" w:hAnsi="Arial" w:cs="Arial"/>
          <w:sz w:val="22"/>
          <w:szCs w:val="22"/>
        </w:rPr>
        <w:t xml:space="preserve"> Brně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2D370E">
        <w:rPr>
          <w:rFonts w:ascii="Arial" w:hAnsi="Arial" w:cs="Arial"/>
          <w:sz w:val="22"/>
          <w:szCs w:val="22"/>
        </w:rPr>
        <w:t>14.1.2026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6E12525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DC3D22" w:rsidRDefault="00DC3D22" w:rsidP="00F03BBC">
      <w:pPr>
        <w:jc w:val="both"/>
        <w:rPr>
          <w:rFonts w:ascii="Arial" w:hAnsi="Arial" w:cs="Arial"/>
          <w:sz w:val="22"/>
          <w:szCs w:val="22"/>
        </w:rPr>
        <w:sectPr w:rsidR="00DC3D22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044E7470" w:rsidR="00674D20" w:rsidRDefault="00DC3D22" w:rsidP="00674D2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>Ing. Pavel Zajíček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</w:p>
    <w:p w14:paraId="0CC52AEE" w14:textId="1ECE1E4C" w:rsidR="00DC3D22" w:rsidRDefault="00DC3D22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 w:rsidRPr="006F35DD">
        <w:rPr>
          <w:rFonts w:ascii="Arial" w:hAnsi="Arial" w:cs="Arial"/>
          <w:iCs/>
          <w:sz w:val="22"/>
          <w:szCs w:val="22"/>
        </w:rPr>
        <w:t xml:space="preserve"> </w:t>
      </w:r>
      <w:r w:rsidRPr="003736E0">
        <w:rPr>
          <w:rFonts w:ascii="Arial" w:hAnsi="Arial" w:cs="Arial"/>
          <w:iCs/>
          <w:sz w:val="22"/>
          <w:szCs w:val="22"/>
        </w:rPr>
        <w:t xml:space="preserve">úřad                                                 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72987911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E45CC">
        <w:rPr>
          <w:rFonts w:ascii="Arial" w:hAnsi="Arial" w:cs="Arial"/>
          <w:snapToGrid w:val="0"/>
          <w:color w:val="000000"/>
          <w:sz w:val="22"/>
          <w:szCs w:val="22"/>
        </w:rPr>
        <w:t>Farma Suchov</w:t>
      </w:r>
      <w:r w:rsidR="000B133C">
        <w:rPr>
          <w:rFonts w:ascii="Arial" w:hAnsi="Arial" w:cs="Arial"/>
          <w:snapToGrid w:val="0"/>
          <w:color w:val="000000"/>
          <w:sz w:val="22"/>
          <w:szCs w:val="22"/>
        </w:rPr>
        <w:t xml:space="preserve"> s.r.o.</w:t>
      </w:r>
      <w:r>
        <w:rPr>
          <w:rFonts w:ascii="Arial" w:hAnsi="Arial" w:cs="Arial"/>
          <w:sz w:val="22"/>
          <w:szCs w:val="22"/>
        </w:rPr>
        <w:br/>
      </w:r>
      <w:r w:rsidR="000B133C">
        <w:rPr>
          <w:rFonts w:ascii="Arial" w:hAnsi="Arial" w:cs="Arial"/>
          <w:iCs/>
          <w:snapToGrid w:val="0"/>
          <w:color w:val="000000"/>
          <w:sz w:val="22"/>
          <w:szCs w:val="22"/>
        </w:rPr>
        <w:t>Taťána Galušková</w:t>
      </w:r>
      <w:r w:rsidR="00DC3D22">
        <w:rPr>
          <w:rFonts w:ascii="Arial" w:hAnsi="Arial" w:cs="Arial"/>
          <w:iCs/>
          <w:snapToGrid w:val="0"/>
          <w:color w:val="000000"/>
          <w:sz w:val="22"/>
          <w:szCs w:val="22"/>
        </w:rPr>
        <w:t>, jednatel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JUDr. Jarmila Křížová</w:t>
      </w:r>
      <w:r w:rsidRPr="00E24F49">
        <w:rPr>
          <w:rFonts w:ascii="Arial" w:hAnsi="Arial" w:cs="Arial"/>
          <w:sz w:val="22"/>
        </w:rPr>
        <w:t xml:space="preserve"> </w:t>
      </w:r>
    </w:p>
    <w:p w14:paraId="4292FA31" w14:textId="77777777" w:rsidR="00DC3D22" w:rsidRDefault="00DC3D22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0B6E7719" w14:textId="605BF355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DC3D2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C3D2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DC3D22">
        <w:rPr>
          <w:rFonts w:ascii="Arial" w:hAnsi="Arial" w:cs="Arial"/>
          <w:sz w:val="22"/>
          <w:szCs w:val="22"/>
        </w:rPr>
        <w:t>, ve znění pozdějších předpisů</w:t>
      </w:r>
      <w:r w:rsidRPr="00DC3D22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DC3D2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C3D22">
        <w:rPr>
          <w:rFonts w:ascii="Arial" w:hAnsi="Arial" w:cs="Arial"/>
          <w:sz w:val="22"/>
          <w:szCs w:val="22"/>
        </w:rPr>
        <w:t>Datum registrace ………………………….</w:t>
      </w:r>
    </w:p>
    <w:p w14:paraId="197D7B51" w14:textId="77777777" w:rsidR="00DC3D22" w:rsidRPr="00DC3D22" w:rsidRDefault="00DC3D22" w:rsidP="00FB2238">
      <w:pPr>
        <w:jc w:val="both"/>
        <w:rPr>
          <w:rFonts w:ascii="Arial" w:hAnsi="Arial" w:cs="Arial"/>
          <w:sz w:val="22"/>
          <w:szCs w:val="22"/>
        </w:rPr>
      </w:pPr>
    </w:p>
    <w:p w14:paraId="7494F1E4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C3D22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DC3D22">
        <w:rPr>
          <w:rFonts w:ascii="Arial" w:hAnsi="Arial" w:cs="Arial"/>
          <w:sz w:val="22"/>
          <w:szCs w:val="22"/>
        </w:rPr>
        <w:t>…….</w:t>
      </w:r>
      <w:proofErr w:type="gramEnd"/>
      <w:r w:rsidRPr="00DC3D22">
        <w:rPr>
          <w:rFonts w:ascii="Arial" w:hAnsi="Arial" w:cs="Arial"/>
          <w:sz w:val="22"/>
          <w:szCs w:val="22"/>
        </w:rPr>
        <w:t>.</w:t>
      </w:r>
    </w:p>
    <w:p w14:paraId="11A9656F" w14:textId="77777777" w:rsidR="00DC3D22" w:rsidRPr="00DC3D22" w:rsidRDefault="00DC3D22" w:rsidP="00FB2238">
      <w:pPr>
        <w:jc w:val="both"/>
        <w:rPr>
          <w:rFonts w:ascii="Arial" w:hAnsi="Arial" w:cs="Arial"/>
          <w:sz w:val="22"/>
          <w:szCs w:val="22"/>
        </w:rPr>
      </w:pPr>
    </w:p>
    <w:p w14:paraId="11109EEF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C3D2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A7B1BB2" w14:textId="77777777" w:rsidR="00DC3D22" w:rsidRPr="00DC3D22" w:rsidRDefault="00DC3D22" w:rsidP="00FB2238">
      <w:pPr>
        <w:jc w:val="both"/>
        <w:rPr>
          <w:rFonts w:ascii="Arial" w:hAnsi="Arial" w:cs="Arial"/>
          <w:sz w:val="22"/>
          <w:szCs w:val="22"/>
        </w:rPr>
      </w:pPr>
    </w:p>
    <w:p w14:paraId="45ADE7E7" w14:textId="7FE23CC6" w:rsidR="00FB2238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DC3D2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1246C3F" w14:textId="77777777" w:rsidR="00DC3D22" w:rsidRPr="00DC3D22" w:rsidRDefault="00DC3D22" w:rsidP="00FB2238">
      <w:pPr>
        <w:jc w:val="both"/>
        <w:rPr>
          <w:rFonts w:ascii="Arial" w:hAnsi="Arial" w:cs="Arial"/>
          <w:i/>
          <w:sz w:val="22"/>
          <w:szCs w:val="22"/>
        </w:rPr>
      </w:pPr>
    </w:p>
    <w:p w14:paraId="3BA661C9" w14:textId="77777777" w:rsidR="00FB2238" w:rsidRPr="00DC3D2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DC3D2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0A906413" w:rsidR="00FB2238" w:rsidRPr="00DC3D2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C3D22">
        <w:rPr>
          <w:rFonts w:ascii="Arial" w:hAnsi="Arial" w:cs="Arial"/>
          <w:sz w:val="22"/>
          <w:szCs w:val="22"/>
        </w:rPr>
        <w:t xml:space="preserve">V </w:t>
      </w:r>
      <w:r w:rsidR="00DC3D22">
        <w:rPr>
          <w:rFonts w:ascii="Arial" w:hAnsi="Arial" w:cs="Arial"/>
          <w:sz w:val="22"/>
          <w:szCs w:val="22"/>
        </w:rPr>
        <w:t>Brně</w:t>
      </w:r>
      <w:r w:rsidRPr="00DC3D2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C3D22">
        <w:rPr>
          <w:rFonts w:ascii="Arial" w:hAnsi="Arial" w:cs="Arial"/>
          <w:sz w:val="22"/>
          <w:szCs w:val="22"/>
        </w:rPr>
        <w:t>…….</w:t>
      </w:r>
      <w:proofErr w:type="gramEnd"/>
      <w:r w:rsidRPr="00DC3D22">
        <w:rPr>
          <w:rFonts w:ascii="Arial" w:hAnsi="Arial" w:cs="Arial"/>
          <w:sz w:val="22"/>
          <w:szCs w:val="22"/>
        </w:rPr>
        <w:t>.</w:t>
      </w:r>
      <w:r w:rsidRPr="00DC3D22">
        <w:rPr>
          <w:rFonts w:ascii="Arial" w:hAnsi="Arial" w:cs="Arial"/>
          <w:sz w:val="22"/>
          <w:szCs w:val="22"/>
        </w:rPr>
        <w:tab/>
      </w:r>
      <w:r w:rsidRPr="00DC3D22">
        <w:rPr>
          <w:rFonts w:ascii="Arial" w:hAnsi="Arial" w:cs="Arial"/>
          <w:sz w:val="22"/>
          <w:szCs w:val="22"/>
        </w:rPr>
        <w:tab/>
      </w:r>
      <w:r w:rsidRPr="00DC3D22">
        <w:rPr>
          <w:rFonts w:ascii="Arial" w:hAnsi="Arial" w:cs="Arial"/>
          <w:sz w:val="22"/>
          <w:szCs w:val="22"/>
        </w:rPr>
        <w:tab/>
      </w:r>
      <w:r w:rsidR="007C3D3A" w:rsidRPr="00DC3D22">
        <w:rPr>
          <w:rFonts w:ascii="Arial" w:hAnsi="Arial" w:cs="Arial"/>
          <w:sz w:val="22"/>
          <w:szCs w:val="22"/>
        </w:rPr>
        <w:tab/>
      </w:r>
      <w:r w:rsidR="00DC3D22">
        <w:rPr>
          <w:rFonts w:ascii="Arial" w:hAnsi="Arial" w:cs="Arial"/>
          <w:sz w:val="22"/>
          <w:szCs w:val="22"/>
        </w:rPr>
        <w:tab/>
      </w:r>
      <w:r w:rsidRPr="00DC3D22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1F61EB66" w:rsidR="00FB2238" w:rsidRPr="0017782B" w:rsidRDefault="00DC3D22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B2238" w:rsidRPr="00DC3D2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9F92" w14:textId="77777777" w:rsidR="009F0BC9" w:rsidRDefault="009F0BC9">
      <w:r>
        <w:separator/>
      </w:r>
    </w:p>
  </w:endnote>
  <w:endnote w:type="continuationSeparator" w:id="0">
    <w:p w14:paraId="7C0C148C" w14:textId="77777777" w:rsidR="009F0BC9" w:rsidRDefault="009F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06A8" w14:textId="77777777" w:rsidR="009F0BC9" w:rsidRDefault="009F0BC9">
      <w:r>
        <w:separator/>
      </w:r>
    </w:p>
  </w:footnote>
  <w:footnote w:type="continuationSeparator" w:id="0">
    <w:p w14:paraId="398CB2CA" w14:textId="77777777" w:rsidR="009F0BC9" w:rsidRDefault="009F0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8315201">
    <w:abstractNumId w:val="33"/>
  </w:num>
  <w:num w:numId="2" w16cid:durableId="62219158">
    <w:abstractNumId w:val="1"/>
  </w:num>
  <w:num w:numId="3" w16cid:durableId="645429615">
    <w:abstractNumId w:val="23"/>
  </w:num>
  <w:num w:numId="4" w16cid:durableId="1500538786">
    <w:abstractNumId w:val="29"/>
  </w:num>
  <w:num w:numId="5" w16cid:durableId="16688228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33558">
    <w:abstractNumId w:val="13"/>
  </w:num>
  <w:num w:numId="7" w16cid:durableId="1727200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7405890">
    <w:abstractNumId w:val="20"/>
  </w:num>
  <w:num w:numId="9" w16cid:durableId="2355860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86992">
    <w:abstractNumId w:val="11"/>
  </w:num>
  <w:num w:numId="11" w16cid:durableId="5202462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7880881">
    <w:abstractNumId w:val="10"/>
  </w:num>
  <w:num w:numId="13" w16cid:durableId="121315653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271888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0963171">
    <w:abstractNumId w:val="8"/>
  </w:num>
  <w:num w:numId="16" w16cid:durableId="120973099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29227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426063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99531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5842590">
    <w:abstractNumId w:val="14"/>
  </w:num>
  <w:num w:numId="21" w16cid:durableId="763767944">
    <w:abstractNumId w:val="3"/>
  </w:num>
  <w:num w:numId="22" w16cid:durableId="1028915433">
    <w:abstractNumId w:val="7"/>
  </w:num>
  <w:num w:numId="23" w16cid:durableId="1527644794">
    <w:abstractNumId w:val="12"/>
  </w:num>
  <w:num w:numId="24" w16cid:durableId="199324903">
    <w:abstractNumId w:val="19"/>
  </w:num>
  <w:num w:numId="25" w16cid:durableId="2107194476">
    <w:abstractNumId w:val="5"/>
  </w:num>
  <w:num w:numId="26" w16cid:durableId="2131245861">
    <w:abstractNumId w:val="6"/>
  </w:num>
  <w:num w:numId="27" w16cid:durableId="1934123070">
    <w:abstractNumId w:val="22"/>
  </w:num>
  <w:num w:numId="28" w16cid:durableId="966929099">
    <w:abstractNumId w:val="27"/>
  </w:num>
  <w:num w:numId="29" w16cid:durableId="327246610">
    <w:abstractNumId w:val="2"/>
  </w:num>
  <w:num w:numId="30" w16cid:durableId="908419347">
    <w:abstractNumId w:val="26"/>
  </w:num>
  <w:num w:numId="31" w16cid:durableId="389422368">
    <w:abstractNumId w:val="0"/>
  </w:num>
  <w:num w:numId="32" w16cid:durableId="889800609">
    <w:abstractNumId w:val="34"/>
  </w:num>
  <w:num w:numId="33" w16cid:durableId="1997880579">
    <w:abstractNumId w:val="4"/>
  </w:num>
  <w:num w:numId="34" w16cid:durableId="1597903323">
    <w:abstractNumId w:val="32"/>
  </w:num>
  <w:num w:numId="35" w16cid:durableId="796728773">
    <w:abstractNumId w:val="9"/>
  </w:num>
  <w:num w:numId="36" w16cid:durableId="1829207315">
    <w:abstractNumId w:val="28"/>
  </w:num>
  <w:num w:numId="37" w16cid:durableId="767510143">
    <w:abstractNumId w:val="35"/>
  </w:num>
  <w:num w:numId="38" w16cid:durableId="208802717">
    <w:abstractNumId w:val="21"/>
  </w:num>
  <w:num w:numId="39" w16cid:durableId="576594091">
    <w:abstractNumId w:val="18"/>
  </w:num>
  <w:num w:numId="40" w16cid:durableId="1324090266">
    <w:abstractNumId w:val="24"/>
  </w:num>
  <w:num w:numId="41" w16cid:durableId="2084643094">
    <w:abstractNumId w:val="15"/>
  </w:num>
  <w:num w:numId="42" w16cid:durableId="1387219453">
    <w:abstractNumId w:val="30"/>
  </w:num>
  <w:num w:numId="43" w16cid:durableId="6731080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1712489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126207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133C"/>
    <w:rsid w:val="000B410E"/>
    <w:rsid w:val="000B49AB"/>
    <w:rsid w:val="000C216B"/>
    <w:rsid w:val="000D55DD"/>
    <w:rsid w:val="000D64FC"/>
    <w:rsid w:val="000D6B37"/>
    <w:rsid w:val="000E1D5A"/>
    <w:rsid w:val="000E45CC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C3E14"/>
    <w:rsid w:val="002D370E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0940"/>
    <w:rsid w:val="003A15C8"/>
    <w:rsid w:val="003A2E91"/>
    <w:rsid w:val="003A4730"/>
    <w:rsid w:val="003A55A7"/>
    <w:rsid w:val="003D1994"/>
    <w:rsid w:val="003D1AE7"/>
    <w:rsid w:val="00401ABE"/>
    <w:rsid w:val="00404F80"/>
    <w:rsid w:val="00405426"/>
    <w:rsid w:val="00407640"/>
    <w:rsid w:val="00425C6D"/>
    <w:rsid w:val="00446602"/>
    <w:rsid w:val="00446CA5"/>
    <w:rsid w:val="00454639"/>
    <w:rsid w:val="00461679"/>
    <w:rsid w:val="004628C9"/>
    <w:rsid w:val="0046465B"/>
    <w:rsid w:val="00465CB0"/>
    <w:rsid w:val="0047709E"/>
    <w:rsid w:val="00494FDF"/>
    <w:rsid w:val="004A272A"/>
    <w:rsid w:val="004C1CC6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07AB"/>
    <w:rsid w:val="00546809"/>
    <w:rsid w:val="00557026"/>
    <w:rsid w:val="00566F2F"/>
    <w:rsid w:val="00581E0F"/>
    <w:rsid w:val="0059162C"/>
    <w:rsid w:val="005922E2"/>
    <w:rsid w:val="00594A98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32B9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D41EE"/>
    <w:rsid w:val="007E4811"/>
    <w:rsid w:val="007E6D01"/>
    <w:rsid w:val="007F2373"/>
    <w:rsid w:val="0080642A"/>
    <w:rsid w:val="00807C18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A3F7C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0BC9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4345F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7433C"/>
    <w:rsid w:val="00D810A4"/>
    <w:rsid w:val="00D85A9B"/>
    <w:rsid w:val="00DA1647"/>
    <w:rsid w:val="00DA633C"/>
    <w:rsid w:val="00DB32EA"/>
    <w:rsid w:val="00DB796B"/>
    <w:rsid w:val="00DB7F77"/>
    <w:rsid w:val="00DC212C"/>
    <w:rsid w:val="00DC3D22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A11AE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069D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7C18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Křížová Jarmila JUDr.</cp:lastModifiedBy>
  <cp:revision>3</cp:revision>
  <cp:lastPrinted>2025-11-13T11:58:00Z</cp:lastPrinted>
  <dcterms:created xsi:type="dcterms:W3CDTF">2026-01-14T13:37:00Z</dcterms:created>
  <dcterms:modified xsi:type="dcterms:W3CDTF">2026-01-14T13:37:00Z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