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1376/2025</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br/>
      </w:r>
      <w:r>
        <w:rPr>
          <w:color w:val="000000"/>
          <w:spacing w:val="0"/>
          <w:w w:val="100"/>
          <w:position w:val="0"/>
          <w:shd w:val="clear" w:color="auto" w:fill="auto"/>
          <w:lang w:val="cs-CZ" w:eastAsia="cs-CZ" w:bidi="cs-CZ"/>
        </w:rPr>
        <w:t>„Kamenice v Kytlicích u č.p. 59“</w:t>
      </w:r>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tbl>
      <w:tblPr>
        <w:tblOverlap w:val="never"/>
        <w:jc w:val="center"/>
        <w:tblLayout w:type="fixed"/>
      </w:tblPr>
      <w:tblGrid>
        <w:gridCol w:w="3557"/>
        <w:gridCol w:w="5266"/>
      </w:tblGrid>
      <w:tr>
        <w:trPr>
          <w:trHeight w:val="51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Smluvní strany</w:t>
            </w:r>
          </w:p>
        </w:tc>
      </w:tr>
      <w:tr>
        <w:trPr>
          <w:trHeight w:val="1651"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 statutární orgán: zastoupen ve věcech smluvních: zástupce ve věcech technických technický dozor investora:</w:t>
            </w:r>
          </w:p>
        </w:tc>
        <w:tc>
          <w:tcPr>
            <w:tcBorders/>
            <w:shd w:val="clear" w:color="auto" w:fill="FFFFFF"/>
            <w:vAlign w:val="top"/>
          </w:tcPr>
          <w:p>
            <w:pPr>
              <w:pStyle w:val="Style13"/>
              <w:keepNext w:val="0"/>
              <w:keepLines w:val="0"/>
              <w:widowControl w:val="0"/>
              <w:shd w:val="clear" w:color="auto" w:fill="auto"/>
              <w:bidi w:val="0"/>
              <w:spacing w:before="260" w:after="0" w:line="240" w:lineRule="auto"/>
              <w:ind w:left="0" w:right="0" w:firstLine="720"/>
              <w:jc w:val="left"/>
            </w:pPr>
            <w:r>
              <w:rPr>
                <w:color w:val="000000"/>
                <w:spacing w:val="0"/>
                <w:w w:val="100"/>
                <w:position w:val="0"/>
                <w:shd w:val="clear" w:color="auto" w:fill="auto"/>
                <w:lang w:val="cs-CZ" w:eastAsia="cs-CZ" w:bidi="cs-CZ"/>
              </w:rPr>
              <w:t>Bezručova 4219, 430 03 Chomutov</w:t>
            </w:r>
          </w:p>
        </w:tc>
      </w:tr>
      <w:tr>
        <w:trPr>
          <w:trHeight w:val="97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CZ70889988</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widowControl w:val="0"/>
        <w:spacing w:after="1179" w:line="1" w:lineRule="exact"/>
      </w:pP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R PROSPECT s.r.o.</w:t>
      </w:r>
    </w:p>
    <w:p>
      <w:pPr>
        <w:pStyle w:val="Style2"/>
        <w:keepNext w:val="0"/>
        <w:keepLines w:val="0"/>
        <w:widowControl w:val="0"/>
        <w:shd w:val="clear" w:color="auto" w:fill="auto"/>
        <w:tabs>
          <w:tab w:pos="4192" w:val="left"/>
        </w:tabs>
        <w:bidi w:val="0"/>
        <w:spacing w:before="0" w:after="0" w:line="240" w:lineRule="auto"/>
        <w:ind w:left="0" w:right="0" w:firstLine="0"/>
        <w:jc w:val="both"/>
      </w:pPr>
      <w:r>
        <w:rPr>
          <w:color w:val="000000"/>
          <w:spacing w:val="0"/>
          <w:w w:val="100"/>
          <w:position w:val="0"/>
          <w:shd w:val="clear" w:color="auto" w:fill="auto"/>
          <w:lang w:val="cs-CZ" w:eastAsia="cs-CZ" w:bidi="cs-CZ"/>
        </w:rPr>
        <w:t>se sídlem:</w:t>
        <w:tab/>
        <w:t>U Kola 2093, Česká Lípa, PSČ 470 01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zastoupena: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odborně způsobilá osoba:</w:t>
      </w:r>
    </w:p>
    <w:p>
      <w:pPr>
        <w:pStyle w:val="Style2"/>
        <w:keepNext w:val="0"/>
        <w:keepLines w:val="0"/>
        <w:widowControl w:val="0"/>
        <w:shd w:val="clear" w:color="auto" w:fill="auto"/>
        <w:tabs>
          <w:tab w:pos="4192"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62243624</w:t>
      </w:r>
    </w:p>
    <w:p>
      <w:pPr>
        <w:pStyle w:val="Style2"/>
        <w:keepNext w:val="0"/>
        <w:keepLines w:val="0"/>
        <w:widowControl w:val="0"/>
        <w:shd w:val="clear" w:color="auto" w:fill="auto"/>
        <w:tabs>
          <w:tab w:pos="4192"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CZ62243624</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není plátce DPH 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zapsána v obchodním rejstříku u Krajského soudu v Ústí nad Labem v oddílu C, vložce č.8235 držitel živnostenského oprávnění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2"/>
        <w:keepNext w:val="0"/>
        <w:keepLines w:val="0"/>
        <w:widowControl w:val="0"/>
        <w:shd w:val="clear" w:color="auto" w:fill="auto"/>
        <w:bidi w:val="0"/>
        <w:spacing w:before="0" w:after="22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„Kamenice v Kytlicích u č.p. 59“</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2"/>
        <w:keepNext w:val="0"/>
        <w:keepLines w:val="0"/>
        <w:widowControl w:val="0"/>
        <w:numPr>
          <w:ilvl w:val="0"/>
          <w:numId w:val="1"/>
        </w:numPr>
        <w:shd w:val="clear" w:color="auto" w:fill="auto"/>
        <w:tabs>
          <w:tab w:pos="702" w:val="left"/>
        </w:tabs>
        <w:bidi w:val="0"/>
        <w:spacing w:before="0" w:line="240" w:lineRule="auto"/>
        <w:ind w:left="720" w:right="0" w:hanging="720"/>
        <w:jc w:val="left"/>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„Kamenice v Kytlicích u č.p. 59“</w:t>
      </w:r>
      <w:r>
        <w:rPr>
          <w:color w:val="000000"/>
          <w:spacing w:val="0"/>
          <w:w w:val="100"/>
          <w:position w:val="0"/>
          <w:shd w:val="clear" w:color="auto" w:fill="auto"/>
          <w:lang w:val="cs-CZ" w:eastAsia="cs-CZ" w:bidi="cs-CZ"/>
        </w:rPr>
        <w:t xml:space="preserve"> v souladu s platnou právní úpravou.</w:t>
      </w:r>
    </w:p>
    <w:p>
      <w:pPr>
        <w:pStyle w:val="Style2"/>
        <w:keepNext w:val="0"/>
        <w:keepLines w:val="0"/>
        <w:widowControl w:val="0"/>
        <w:numPr>
          <w:ilvl w:val="0"/>
          <w:numId w:val="1"/>
        </w:numPr>
        <w:shd w:val="clear" w:color="auto" w:fill="auto"/>
        <w:tabs>
          <w:tab w:pos="702" w:val="left"/>
        </w:tabs>
        <w:bidi w:val="0"/>
        <w:spacing w:before="0" w:after="44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2"/>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2" w:name="bookmark2"/>
      <w:bookmarkEnd w:id="2"/>
      <w:r>
        <w:rPr>
          <w:color w:val="000000"/>
          <w:spacing w:val="0"/>
          <w:w w:val="100"/>
          <w:position w:val="0"/>
          <w:shd w:val="clear" w:color="auto" w:fill="auto"/>
          <w:lang w:val="cs-CZ" w:eastAsia="cs-CZ" w:bidi="cs-CZ"/>
        </w:rPr>
        <w:t>Koordinátor je povinen:</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2"/>
        <w:keepNext w:val="0"/>
        <w:keepLines w:val="0"/>
        <w:widowControl w:val="0"/>
        <w:numPr>
          <w:ilvl w:val="2"/>
          <w:numId w:val="1"/>
        </w:numPr>
        <w:shd w:val="clear" w:color="auto" w:fill="auto"/>
        <w:tabs>
          <w:tab w:pos="747"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2"/>
        <w:keepNext w:val="0"/>
        <w:keepLines w:val="0"/>
        <w:widowControl w:val="0"/>
        <w:numPr>
          <w:ilvl w:val="2"/>
          <w:numId w:val="1"/>
        </w:numPr>
        <w:shd w:val="clear" w:color="auto" w:fill="auto"/>
        <w:tabs>
          <w:tab w:pos="872"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2"/>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13" w:name="bookmark13"/>
      <w:bookmarkEnd w:id="13"/>
      <w:r>
        <w:rPr>
          <w:color w:val="000000"/>
          <w:spacing w:val="0"/>
          <w:w w:val="100"/>
          <w:position w:val="0"/>
          <w:shd w:val="clear" w:color="auto" w:fill="auto"/>
          <w:lang w:val="cs-CZ" w:eastAsia="cs-CZ" w:bidi="cs-CZ"/>
        </w:rPr>
        <w:t>Zpracování plánu BOZP:</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4" w:name="bookmark14"/>
      <w:bookmarkEnd w:id="14"/>
      <w:r>
        <w:rPr>
          <w:color w:val="000000"/>
          <w:spacing w:val="0"/>
          <w:w w:val="100"/>
          <w:position w:val="0"/>
          <w:shd w:val="clear" w:color="auto" w:fill="auto"/>
          <w:lang w:val="cs-CZ" w:eastAsia="cs-CZ" w:bidi="cs-CZ"/>
        </w:rPr>
        <w:t>Plán BOZP bude předán koordinátorem v počtu 3 x paré tištěné + 1 x na elektronickém nosiči dat (_word).</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 xml:space="preserve">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w:t>
      </w:r>
      <w:r>
        <w:rPr>
          <w:color w:val="000000"/>
          <w:spacing w:val="0"/>
          <w:w w:val="100"/>
          <w:position w:val="0"/>
          <w:shd w:val="clear" w:color="auto" w:fill="auto"/>
          <w:lang w:val="cs-CZ" w:eastAsia="cs-CZ" w:bidi="cs-CZ"/>
        </w:rPr>
        <w:t>podmínek výkonu práce, na které je třeba vzít zřetel s ohledem na charakter stavby a její realizaci. V průběhu stavby zajistit jeho potřebnou aktualizaci.</w:t>
      </w:r>
    </w:p>
    <w:p>
      <w:pPr>
        <w:pStyle w:val="Style2"/>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4</w:t>
      </w:r>
      <w:bookmarkEnd w:id="16"/>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2"/>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2"/>
        <w:keepNext w:val="0"/>
        <w:keepLines w:val="0"/>
        <w:widowControl w:val="0"/>
        <w:numPr>
          <w:ilvl w:val="1"/>
          <w:numId w:val="3"/>
        </w:numPr>
        <w:shd w:val="clear" w:color="auto" w:fill="auto"/>
        <w:tabs>
          <w:tab w:pos="704"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Předat koordinátorovi rizika plynoucí z prostředí místa budoucího pracoviště.</w:t>
      </w:r>
    </w:p>
    <w:p>
      <w:pPr>
        <w:pStyle w:val="Style2"/>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2"/>
        <w:keepNext w:val="0"/>
        <w:keepLines w:val="0"/>
        <w:widowControl w:val="0"/>
        <w:shd w:val="clear" w:color="auto" w:fill="auto"/>
        <w:bidi w:val="0"/>
        <w:spacing w:before="0" w:after="0" w:line="240" w:lineRule="auto"/>
        <w:ind w:left="0" w:right="0" w:firstLine="0"/>
        <w:jc w:val="center"/>
      </w:pPr>
      <w:bookmarkStart w:id="21" w:name="bookmark21"/>
      <w:r>
        <w:rPr>
          <w:b/>
          <w:bCs/>
          <w:color w:val="000000"/>
          <w:spacing w:val="0"/>
          <w:w w:val="100"/>
          <w:position w:val="0"/>
          <w:shd w:val="clear" w:color="auto" w:fill="auto"/>
          <w:lang w:val="cs-CZ" w:eastAsia="cs-CZ" w:bidi="cs-CZ"/>
        </w:rPr>
        <w:t>5</w:t>
      </w:r>
      <w:bookmarkEnd w:id="21"/>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2"/>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2"/>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4" w:name="bookmark24"/>
      <w:bookmarkEnd w:id="24"/>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2"/>
        <w:keepNext w:val="0"/>
        <w:keepLines w:val="0"/>
        <w:widowControl w:val="0"/>
        <w:numPr>
          <w:ilvl w:val="0"/>
          <w:numId w:val="5"/>
        </w:numPr>
        <w:shd w:val="clear" w:color="auto" w:fill="auto"/>
        <w:tabs>
          <w:tab w:pos="704"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Cena za vypracování plánu BOZP ve fázi realizace se sjednává ve výši 2400,- Kč. Cena za výkon činnosti koordinátora ve fázi realizace stavby včetně případné aktualizace plánu BOZP se sjednává ve výši 2050,-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2"/>
        <w:keepNext w:val="0"/>
        <w:keepLines w:val="0"/>
        <w:widowControl w:val="0"/>
        <w:shd w:val="clear" w:color="auto" w:fill="auto"/>
        <w:bidi w:val="0"/>
        <w:spacing w:before="0" w:line="240" w:lineRule="auto"/>
        <w:ind w:left="0" w:right="0" w:firstLine="720"/>
        <w:jc w:val="both"/>
      </w:pPr>
      <w:bookmarkStart w:id="26" w:name="bookmark26"/>
      <w:r>
        <w:rPr>
          <w:color w:val="000000"/>
          <w:spacing w:val="0"/>
          <w:w w:val="100"/>
          <w:position w:val="0"/>
          <w:shd w:val="clear" w:color="auto" w:fill="auto"/>
          <w:lang w:val="cs-CZ" w:eastAsia="cs-CZ" w:bidi="cs-CZ"/>
        </w:rPr>
        <w:t>M</w:t>
      </w:r>
      <w:bookmarkEnd w:id="26"/>
      <w:r>
        <w:rPr>
          <w:color w:val="000000"/>
          <w:spacing w:val="0"/>
          <w:w w:val="100"/>
          <w:position w:val="0"/>
          <w:shd w:val="clear" w:color="auto" w:fill="auto"/>
          <w:lang w:val="cs-CZ" w:eastAsia="cs-CZ" w:bidi="cs-CZ"/>
        </w:rPr>
        <w:t>aximální cena činí: 63 900,- Kč.</w:t>
      </w:r>
    </w:p>
    <w:p>
      <w:pPr>
        <w:pStyle w:val="Style2"/>
        <w:keepNext w:val="0"/>
        <w:keepLines w:val="0"/>
        <w:widowControl w:val="0"/>
        <w:numPr>
          <w:ilvl w:val="0"/>
          <w:numId w:val="5"/>
        </w:numPr>
        <w:shd w:val="clear" w:color="auto" w:fill="auto"/>
        <w:tabs>
          <w:tab w:pos="704" w:val="left"/>
        </w:tabs>
        <w:bidi w:val="0"/>
        <w:spacing w:before="0" w:line="240" w:lineRule="auto"/>
        <w:ind w:left="720" w:right="0" w:hanging="720"/>
        <w:jc w:val="left"/>
      </w:pPr>
      <w:bookmarkStart w:id="27" w:name="bookmark27"/>
      <w:bookmarkEnd w:id="27"/>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7"/>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odsouhlaseného zástupcem objednatele – technickým dozorem investora. Cena za zpracování plánu BOZP bude fakturována na základě předávacího protokolu potvrzeného zástupcem objednatele. Předávací protokoly musí být přiloženy k vystavené faktuře.</w:t>
      </w:r>
    </w:p>
    <w:p>
      <w:pPr>
        <w:pStyle w:val="Style2"/>
        <w:keepNext w:val="0"/>
        <w:keepLines w:val="0"/>
        <w:widowControl w:val="0"/>
        <w:numPr>
          <w:ilvl w:val="0"/>
          <w:numId w:val="7"/>
        </w:numPr>
        <w:shd w:val="clear" w:color="auto" w:fill="auto"/>
        <w:tabs>
          <w:tab w:pos="701"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2"/>
        <w:keepNext w:val="0"/>
        <w:keepLines w:val="0"/>
        <w:widowControl w:val="0"/>
        <w:numPr>
          <w:ilvl w:val="0"/>
          <w:numId w:val="7"/>
        </w:numPr>
        <w:shd w:val="clear" w:color="auto" w:fill="auto"/>
        <w:tabs>
          <w:tab w:pos="701" w:val="left"/>
        </w:tabs>
        <w:bidi w:val="0"/>
        <w:spacing w:before="0" w:line="240" w:lineRule="auto"/>
        <w:ind w:left="0" w:right="0" w:firstLine="0"/>
        <w:jc w:val="left"/>
      </w:pPr>
      <w:bookmarkStart w:id="30" w:name="bookmark30"/>
      <w:bookmarkEnd w:id="30"/>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2"/>
        <w:keepNext w:val="0"/>
        <w:keepLines w:val="0"/>
        <w:widowControl w:val="0"/>
        <w:numPr>
          <w:ilvl w:val="0"/>
          <w:numId w:val="7"/>
        </w:numPr>
        <w:shd w:val="clear" w:color="auto" w:fill="auto"/>
        <w:tabs>
          <w:tab w:pos="701" w:val="left"/>
        </w:tabs>
        <w:bidi w:val="0"/>
        <w:spacing w:before="0" w:line="240" w:lineRule="auto"/>
        <w:ind w:left="0" w:right="0" w:firstLine="0"/>
        <w:jc w:val="left"/>
      </w:pPr>
      <w:bookmarkStart w:id="31" w:name="bookmark31"/>
      <w:bookmarkEnd w:id="31"/>
      <w:r>
        <w:rPr>
          <w:color w:val="000000"/>
          <w:spacing w:val="0"/>
          <w:w w:val="100"/>
          <w:position w:val="0"/>
          <w:shd w:val="clear" w:color="auto" w:fill="auto"/>
          <w:lang w:val="cs-CZ" w:eastAsia="cs-CZ" w:bidi="cs-CZ"/>
        </w:rPr>
        <w:t>Faktura musí obsahovat všechny náležitosti dle platných zákonných předpisů.</w:t>
      </w:r>
    </w:p>
    <w:p>
      <w:pPr>
        <w:pStyle w:val="Style2"/>
        <w:keepNext w:val="0"/>
        <w:keepLines w:val="0"/>
        <w:widowControl w:val="0"/>
        <w:numPr>
          <w:ilvl w:val="0"/>
          <w:numId w:val="7"/>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2"/>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8</w:t>
      </w:r>
      <w:bookmarkEnd w:id="33"/>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2"/>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9</w:t>
      </w:r>
      <w:bookmarkEnd w:id="36"/>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39" w:name="bookmark39"/>
      <w:bookmarkEnd w:id="39"/>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1" w:name="bookmark41"/>
      <w:bookmarkEnd w:id="4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2"/>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val="0"/>
        <w:keepLines w:val="0"/>
        <w:widowControl w:val="0"/>
        <w:numPr>
          <w:ilvl w:val="0"/>
          <w:numId w:val="9"/>
        </w:numPr>
        <w:shd w:val="clear" w:color="auto" w:fill="auto"/>
        <w:bidi w:val="0"/>
        <w:spacing w:before="0" w:after="60" w:line="240" w:lineRule="auto"/>
        <w:ind w:left="0" w:right="0" w:firstLine="0"/>
        <w:jc w:val="center"/>
      </w:pPr>
      <w:bookmarkStart w:id="43" w:name="bookmark43"/>
      <w:bookmarkEnd w:id="43"/>
      <w:r>
        <w:rPr>
          <w:b/>
          <w:bCs/>
          <w:color w:val="000000"/>
          <w:spacing w:val="0"/>
          <w:w w:val="100"/>
          <w:position w:val="0"/>
          <w:shd w:val="clear" w:color="auto" w:fill="auto"/>
          <w:lang w:val="cs-CZ" w:eastAsia="cs-CZ" w:bidi="cs-CZ"/>
        </w:rPr>
        <w:br/>
        <w:t>Ukončení smlouvy</w:t>
      </w:r>
    </w:p>
    <w:p>
      <w:pPr>
        <w:pStyle w:val="Style2"/>
        <w:keepNext w:val="0"/>
        <w:keepLines w:val="0"/>
        <w:widowControl w:val="0"/>
        <w:numPr>
          <w:ilvl w:val="1"/>
          <w:numId w:val="9"/>
        </w:numPr>
        <w:shd w:val="clear" w:color="auto" w:fill="auto"/>
        <w:tabs>
          <w:tab w:pos="701" w:val="left"/>
        </w:tabs>
        <w:bidi w:val="0"/>
        <w:spacing w:before="0" w:line="240" w:lineRule="auto"/>
        <w:ind w:left="0" w:right="0" w:firstLine="0"/>
        <w:jc w:val="left"/>
      </w:pPr>
      <w:bookmarkStart w:id="44" w:name="bookmark44"/>
      <w:bookmarkEnd w:id="44"/>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1"/>
          <w:numId w:val="9"/>
        </w:numPr>
        <w:shd w:val="clear" w:color="auto" w:fill="auto"/>
        <w:tabs>
          <w:tab w:pos="702" w:val="left"/>
        </w:tabs>
        <w:bidi w:val="0"/>
        <w:spacing w:before="0" w:line="240" w:lineRule="auto"/>
        <w:ind w:left="720" w:right="0" w:hanging="720"/>
        <w:jc w:val="both"/>
      </w:pPr>
      <w:bookmarkStart w:id="45" w:name="bookmark45"/>
      <w:bookmarkEnd w:id="45"/>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2"/>
        <w:keepNext w:val="0"/>
        <w:keepLines w:val="0"/>
        <w:widowControl w:val="0"/>
        <w:numPr>
          <w:ilvl w:val="1"/>
          <w:numId w:val="9"/>
        </w:numPr>
        <w:shd w:val="clear" w:color="auto" w:fill="auto"/>
        <w:tabs>
          <w:tab w:pos="702" w:val="left"/>
        </w:tabs>
        <w:bidi w:val="0"/>
        <w:spacing w:before="0" w:after="440" w:line="240" w:lineRule="auto"/>
        <w:ind w:left="720" w:right="0" w:hanging="720"/>
        <w:jc w:val="both"/>
      </w:pPr>
      <w:bookmarkStart w:id="46" w:name="bookmark46"/>
      <w:bookmarkEnd w:id="46"/>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w:t>
      </w:r>
    </w:p>
    <w:p>
      <w:pPr>
        <w:pStyle w:val="Style19"/>
        <w:keepNext/>
        <w:keepLines/>
        <w:widowControl w:val="0"/>
        <w:shd w:val="clear" w:color="auto" w:fill="auto"/>
        <w:bidi w:val="0"/>
        <w:spacing w:before="0" w:line="240" w:lineRule="auto"/>
        <w:ind w:left="0" w:right="0" w:firstLine="0"/>
        <w:jc w:val="center"/>
      </w:pPr>
      <w:bookmarkStart w:id="47" w:name="bookmark47"/>
      <w:bookmarkStart w:id="48" w:name="bookmark48"/>
      <w:bookmarkStart w:id="49" w:name="bookmark49"/>
      <w:r>
        <w:rPr>
          <w:color w:val="000000"/>
          <w:spacing w:val="0"/>
          <w:w w:val="100"/>
          <w:position w:val="0"/>
          <w:shd w:val="clear" w:color="auto" w:fill="auto"/>
          <w:lang w:val="cs-CZ" w:eastAsia="cs-CZ" w:bidi="cs-CZ"/>
        </w:rPr>
        <w:t>Compliance doložka</w:t>
      </w:r>
      <w:bookmarkEnd w:id="47"/>
      <w:bookmarkEnd w:id="48"/>
      <w:bookmarkEnd w:id="49"/>
    </w:p>
    <w:p>
      <w:pPr>
        <w:pStyle w:val="Style2"/>
        <w:keepNext w:val="0"/>
        <w:keepLines w:val="0"/>
        <w:widowControl w:val="0"/>
        <w:numPr>
          <w:ilvl w:val="0"/>
          <w:numId w:val="11"/>
        </w:numPr>
        <w:shd w:val="clear" w:color="auto" w:fill="auto"/>
        <w:tabs>
          <w:tab w:pos="702" w:val="left"/>
        </w:tabs>
        <w:bidi w:val="0"/>
        <w:spacing w:before="0" w:line="240" w:lineRule="auto"/>
        <w:ind w:left="720" w:right="0" w:hanging="720"/>
        <w:jc w:val="both"/>
      </w:pPr>
      <w:bookmarkStart w:id="50" w:name="bookmark50"/>
      <w:bookmarkEnd w:id="5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1"/>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1"/>
        </w:numPr>
        <w:shd w:val="clear" w:color="auto" w:fill="auto"/>
        <w:tabs>
          <w:tab w:pos="702"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Koordinátor prohlašuje, že se seznámil se zásadami, hodnotami a cíli Compliance</w:t>
      </w:r>
    </w:p>
    <w:p>
      <w:pPr>
        <w:pStyle w:val="Style2"/>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2"/>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1"/>
        </w:numPr>
        <w:shd w:val="clear" w:color="auto" w:fill="auto"/>
        <w:tabs>
          <w:tab w:pos="702" w:val="left"/>
        </w:tabs>
        <w:bidi w:val="0"/>
        <w:spacing w:before="0" w:after="24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3"/>
        </w:numPr>
        <w:shd w:val="clear" w:color="auto" w:fill="auto"/>
        <w:tabs>
          <w:tab w:pos="702" w:val="left"/>
        </w:tabs>
        <w:bidi w:val="0"/>
        <w:spacing w:before="0" w:line="240" w:lineRule="auto"/>
        <w:ind w:left="0" w:right="0" w:firstLine="0"/>
        <w:jc w:val="both"/>
      </w:pPr>
      <w:bookmarkStart w:id="54" w:name="bookmark54"/>
      <w:bookmarkEnd w:id="54"/>
      <w:r>
        <w:rPr>
          <w:color w:val="000000"/>
          <w:spacing w:val="0"/>
          <w:w w:val="100"/>
          <w:position w:val="0"/>
          <w:shd w:val="clear" w:color="auto" w:fill="auto"/>
          <w:lang w:val="cs-CZ" w:eastAsia="cs-CZ" w:bidi="cs-CZ"/>
        </w:rPr>
        <w:t>Ve věcech touto smlouvou neupravených se smluvní vztah řídí občanským zákoníkem.</w:t>
      </w:r>
    </w:p>
    <w:p>
      <w:pPr>
        <w:pStyle w:val="Style2"/>
        <w:keepNext w:val="0"/>
        <w:keepLines w:val="0"/>
        <w:widowControl w:val="0"/>
        <w:numPr>
          <w:ilvl w:val="0"/>
          <w:numId w:val="13"/>
        </w:numPr>
        <w:shd w:val="clear" w:color="auto" w:fill="auto"/>
        <w:tabs>
          <w:tab w:pos="702" w:val="left"/>
        </w:tabs>
        <w:bidi w:val="0"/>
        <w:spacing w:before="0" w:line="240" w:lineRule="auto"/>
        <w:ind w:left="720" w:right="0" w:hanging="720"/>
        <w:jc w:val="both"/>
      </w:pPr>
      <w:bookmarkStart w:id="55" w:name="bookmark55"/>
      <w:bookmarkEnd w:id="55"/>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2"/>
        <w:keepNext w:val="0"/>
        <w:keepLines w:val="0"/>
        <w:widowControl w:val="0"/>
        <w:numPr>
          <w:ilvl w:val="0"/>
          <w:numId w:val="13"/>
        </w:numPr>
        <w:shd w:val="clear" w:color="auto" w:fill="auto"/>
        <w:tabs>
          <w:tab w:pos="702" w:val="left"/>
        </w:tabs>
        <w:bidi w:val="0"/>
        <w:spacing w:before="0" w:line="240" w:lineRule="auto"/>
        <w:ind w:left="720" w:right="0" w:hanging="720"/>
        <w:jc w:val="both"/>
      </w:pPr>
      <w:bookmarkStart w:id="56" w:name="bookmark56"/>
      <w:bookmarkEnd w:id="56"/>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2"/>
        <w:keepNext w:val="0"/>
        <w:keepLines w:val="0"/>
        <w:widowControl w:val="0"/>
        <w:numPr>
          <w:ilvl w:val="0"/>
          <w:numId w:val="13"/>
        </w:numPr>
        <w:shd w:val="clear" w:color="auto" w:fill="auto"/>
        <w:tabs>
          <w:tab w:pos="702" w:val="left"/>
        </w:tabs>
        <w:bidi w:val="0"/>
        <w:spacing w:before="0" w:line="240" w:lineRule="auto"/>
        <w:ind w:left="720" w:right="0" w:hanging="720"/>
        <w:jc w:val="both"/>
      </w:pPr>
      <w:bookmarkStart w:id="57" w:name="bookmark57"/>
      <w:bookmarkEnd w:id="5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13"/>
        </w:numPr>
        <w:shd w:val="clear" w:color="auto" w:fill="auto"/>
        <w:tabs>
          <w:tab w:pos="704" w:val="left"/>
        </w:tabs>
        <w:bidi w:val="0"/>
        <w:spacing w:before="0" w:line="240" w:lineRule="auto"/>
        <w:ind w:left="720" w:right="0" w:hanging="720"/>
        <w:jc w:val="both"/>
      </w:pPr>
      <w:bookmarkStart w:id="58" w:name="bookmark58"/>
      <w:bookmarkEnd w:id="58"/>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2"/>
        <w:keepNext w:val="0"/>
        <w:keepLines w:val="0"/>
        <w:widowControl w:val="0"/>
        <w:numPr>
          <w:ilvl w:val="0"/>
          <w:numId w:val="13"/>
        </w:numPr>
        <w:shd w:val="clear" w:color="auto" w:fill="auto"/>
        <w:tabs>
          <w:tab w:pos="704" w:val="left"/>
        </w:tabs>
        <w:bidi w:val="0"/>
        <w:spacing w:before="0" w:line="240" w:lineRule="auto"/>
        <w:ind w:left="720" w:right="0" w:hanging="720"/>
        <w:jc w:val="both"/>
      </w:pPr>
      <w:bookmarkStart w:id="59" w:name="bookmark59"/>
      <w:bookmarkEnd w:id="5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3"/>
        </w:numPr>
        <w:shd w:val="clear" w:color="auto" w:fill="auto"/>
        <w:tabs>
          <w:tab w:pos="704" w:val="left"/>
        </w:tabs>
        <w:bidi w:val="0"/>
        <w:spacing w:before="0" w:line="240" w:lineRule="auto"/>
        <w:ind w:left="0" w:right="0" w:firstLine="0"/>
        <w:jc w:val="left"/>
      </w:pPr>
      <w:bookmarkStart w:id="60" w:name="bookmark60"/>
      <w:bookmarkEnd w:id="6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3"/>
        </w:numPr>
        <w:shd w:val="clear" w:color="auto" w:fill="auto"/>
        <w:tabs>
          <w:tab w:pos="704" w:val="left"/>
        </w:tabs>
        <w:bidi w:val="0"/>
        <w:spacing w:before="0" w:line="240" w:lineRule="auto"/>
        <w:ind w:left="720" w:right="0" w:hanging="720"/>
        <w:jc w:val="both"/>
      </w:pPr>
      <w:bookmarkStart w:id="61" w:name="bookmark61"/>
      <w:bookmarkEnd w:id="61"/>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2"/>
        <w:keepNext w:val="0"/>
        <w:keepLines w:val="0"/>
        <w:widowControl w:val="0"/>
        <w:numPr>
          <w:ilvl w:val="0"/>
          <w:numId w:val="13"/>
        </w:numPr>
        <w:shd w:val="clear" w:color="auto" w:fill="auto"/>
        <w:tabs>
          <w:tab w:pos="704" w:val="left"/>
        </w:tabs>
        <w:bidi w:val="0"/>
        <w:spacing w:before="0" w:line="240" w:lineRule="auto"/>
        <w:ind w:left="720" w:right="0" w:hanging="720"/>
        <w:jc w:val="both"/>
      </w:pPr>
      <w:bookmarkStart w:id="62" w:name="bookmark62"/>
      <w:bookmarkEnd w:id="62"/>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3"/>
        </w:numPr>
        <w:shd w:val="clear" w:color="auto" w:fill="auto"/>
        <w:tabs>
          <w:tab w:pos="756" w:val="left"/>
        </w:tabs>
        <w:bidi w:val="0"/>
        <w:spacing w:before="0" w:after="440" w:line="240" w:lineRule="auto"/>
        <w:ind w:left="720" w:right="0" w:hanging="720"/>
        <w:jc w:val="both"/>
      </w:pPr>
      <w:bookmarkStart w:id="63" w:name="bookmark63"/>
      <w:bookmarkEnd w:id="63"/>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240" w:lineRule="auto"/>
        <w:ind w:left="3300" w:right="0" w:firstLine="0"/>
        <w:jc w:val="left"/>
        <w:sectPr>
          <w:headerReference w:type="default" r:id="rId5"/>
          <w:footerReference w:type="default" r:id="rId6"/>
          <w:footnotePr>
            <w:pos w:val="pageBottom"/>
            <w:numFmt w:val="decimal"/>
            <w:numRestart w:val="continuous"/>
          </w:footnotePr>
          <w:pgSz w:w="11909" w:h="16838"/>
          <w:pgMar w:top="1353" w:left="1392" w:right="1104" w:bottom="1415"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887095</wp:posOffset>
                </wp:positionH>
                <wp:positionV relativeFrom="paragraph">
                  <wp:posOffset>12700</wp:posOffset>
                </wp:positionV>
                <wp:extent cx="948055" cy="389890"/>
                <wp:wrapSquare wrapText="bothSides"/>
                <wp:docPr id="5" name="Shape 5"/>
                <a:graphic xmlns:a="http://schemas.openxmlformats.org/drawingml/2006/main">
                  <a:graphicData uri="http://schemas.microsoft.com/office/word/2010/wordprocessingShape">
                    <wps:wsp>
                      <wps:cNvSpPr txBox="1"/>
                      <wps:spPr>
                        <a:xfrm>
                          <a:ext cx="94805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wps:txbx>
                      <wps:bodyPr lIns="0" tIns="0" rIns="0" bIns="0">
                        <a:noAutoFit/>
                      </wps:bodyPr>
                    </wps:wsp>
                  </a:graphicData>
                </a:graphic>
              </wp:anchor>
            </w:drawing>
          </mc:Choice>
          <mc:Fallback>
            <w:pict>
              <v:shape id="_x0000_s1031" type="#_x0000_t202" style="position:absolute;margin-left:69.850000000000009pt;margin-top:1.pt;width:74.650000000000006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v:textbox>
                <w10:wrap type="square" anchorx="page"/>
              </v:shape>
            </w:pict>
          </mc:Fallback>
        </mc:AlternateContent>
      </w:r>
      <w:r>
        <w:rPr>
          <w:color w:val="000000"/>
          <w:spacing w:val="0"/>
          <w:w w:val="100"/>
          <w:position w:val="0"/>
          <w:shd w:val="clear" w:color="auto" w:fill="auto"/>
          <w:lang w:val="cs-CZ" w:eastAsia="cs-CZ" w:bidi="cs-CZ"/>
        </w:rPr>
        <w:t>V Chomutově za koordinátora</w:t>
      </w:r>
    </w:p>
    <w:p>
      <w:pPr>
        <w:widowControl w:val="0"/>
        <w:spacing w:line="240" w:lineRule="exact"/>
        <w:rPr>
          <w:sz w:val="19"/>
          <w:szCs w:val="19"/>
        </w:rPr>
      </w:pPr>
    </w:p>
    <w:p>
      <w:pPr>
        <w:widowControl w:val="0"/>
        <w:spacing w:before="110" w:after="1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jednatelka</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2143" w:bottom="1363" w:header="0" w:footer="3" w:gutter="0"/>
          <w:cols w:num="2" w:space="1536"/>
          <w:noEndnote/>
          <w:rtlGutter w:val="0"/>
          <w:docGrid w:linePitch="360"/>
        </w:sectPr>
      </w:pPr>
      <w:r>
        <w:rPr>
          <w:color w:val="000000"/>
          <w:spacing w:val="0"/>
          <w:w w:val="100"/>
          <w:position w:val="0"/>
          <w:shd w:val="clear" w:color="auto" w:fill="auto"/>
          <w:lang w:val="cs-CZ" w:eastAsia="cs-CZ" w:bidi="cs-CZ"/>
        </w:rPr>
        <w:t>R PROSPECT s.r.o.</w:t>
      </w:r>
    </w:p>
    <w:sectPr>
      <w:footnotePr>
        <w:pos w:val="pageBottom"/>
        <w:numFmt w:val="decimal"/>
        <w:numRestart w:val="continuous"/>
      </w:footnotePr>
      <w:type w:val="continuous"/>
      <w:pgSz w:w="11909" w:h="16838"/>
      <w:pgMar w:top="1363" w:left="1394" w:right="2143" w:bottom="1363" w:header="0" w:footer="3" w:gutter="0"/>
      <w:cols w:num="2" w:space="153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6685915</wp:posOffset>
              </wp:positionH>
              <wp:positionV relativeFrom="page">
                <wp:posOffset>9966960</wp:posOffset>
              </wp:positionV>
              <wp:extent cx="158750" cy="158750"/>
              <wp:wrapNone/>
              <wp:docPr id="3" name="Shape 3"/>
              <a:graphic xmlns:a="http://schemas.openxmlformats.org/drawingml/2006/main">
                <a:graphicData uri="http://schemas.microsoft.com/office/word/2010/wordprocessingShape">
                  <wps:wsp>
                    <wps:cNvSpPr txBox="1"/>
                    <wps:spPr>
                      <a:xfrm>
                        <a:ext cx="158750" cy="1587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45000000000005pt;margin-top:784.80000000000007pt;width:12.5pt;height:12.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6115685</wp:posOffset>
              </wp:positionH>
              <wp:positionV relativeFrom="page">
                <wp:posOffset>438785</wp:posOffset>
              </wp:positionV>
              <wp:extent cx="728345" cy="140335"/>
              <wp:wrapNone/>
              <wp:docPr id="1" name="Shape 1"/>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302 743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55000000000001pt;margin-top:34.550000000000004pt;width:57.35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302 743</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8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