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 O DÍLO č.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/25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FLOOR SERVIS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Jiráskova 854</w:t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ab/>
        <w:tab/>
        <w:tab/>
        <w:t xml:space="preserve">666 01  Tišnov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Davidem Nixem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25594281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CZ25594821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zhotovitel zavazuje provádět demontáž a likvidaci původních podlahových povrchů, vyrovnání povrchů nivelační stěrkou, dodávku a montáž nových podlahových povrchů a příslušenství, včetně dopravy a závěrečného úklidu (dále jen “dílo”)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Specifikace díla vychází z cenové nabídky prodávajícího č. NA25396 ze dne 31. 12. 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dodávky zboží je rovněž dodání veškerého příslušenství, doprava včetně manipulace a montáže, jakož i veškeré další činnosti, které jsou potřebné k realizaci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dílo převzít a zaplatit za něj sjednanou kupní cenu způsobem a v termínu stanoveném touto smlouvou.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max:</w:t>
        <w:br w:type="textWrapping"/>
        <w:t xml:space="preserve">98.579,20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20.701,63 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 včetně DPH 119.280,83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Kupní cena dle bodu 2 tohoto článku je stanovena jako konečná a zahrnuje kompletní dodávku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včetně souvisejících služeb tak, jak je vymezena touto smlouvou.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C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se zavazuje splnit dodávku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dodat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28. 2.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 místa plnění.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Dodávka se považuje podle této smlouvy za splněnou, pokud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bylo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řádně předáno kupujícímu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datum dodání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3D">
      <w:pPr>
        <w:widowControl w:val="1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áruka se nevztahuje na opotřebení věci způsobené jejím obvyklým užíváním a na vady způsobené zaviněným jednáním kupujícího a nebo způsobené vyšší mocí.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se, že případné spory vzniklé z této smlouvy budou účastníci řešit především vzájemnou dohodou. Pro řízení o případných sporných nárocích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příslušnost soudů. Rozhodným právem je právo České republiky.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3600" w:firstLine="72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Nedílnou součástí této smlouvy jsou přílohy: příloha č.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Cenová nabídka č. NA25396 ze dne 31. 12.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31. 12. 2025</w:t>
      </w:r>
    </w:p>
    <w:p w:rsidR="00000000" w:rsidDel="00000000" w:rsidP="00000000" w:rsidRDefault="00000000" w:rsidRPr="00000000" w14:paraId="0000006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6F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ředitelka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jednatel společnosti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</w:t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1tEFc+qYJPQEW/9IleBHX7bxqQ==">CgMxLjAyCGguZ2pkZ3hzOAByITFFNm9Pd2dQanVVOXdTNS15NTJwOGJBaHBHWmJ1bTZoLQ==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