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4B7EE" w14:textId="77777777" w:rsidR="00711891" w:rsidRDefault="00711891">
      <w:pPr>
        <w:widowControl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9811999" w14:textId="77777777" w:rsidR="00711891" w:rsidRDefault="00711891">
      <w:pPr>
        <w:widowControl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8BFF140" w14:textId="77777777" w:rsidR="00711891" w:rsidRDefault="00C46080">
      <w:pPr>
        <w:widowControl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SMLOUVA O SPOLEČNÉM ZADÁVÁNÍ</w:t>
      </w:r>
    </w:p>
    <w:p w14:paraId="26970908" w14:textId="77777777" w:rsidR="00711891" w:rsidRDefault="00C46080">
      <w:pPr>
        <w:widowControl w:val="0"/>
        <w:spacing w:before="120" w:after="120"/>
        <w:jc w:val="center"/>
        <w:rPr>
          <w:rFonts w:ascii="Times New Roman" w:eastAsia="Times New Roman" w:hAnsi="Times New Roman" w:cs="Times New Roman"/>
        </w:rPr>
      </w:pPr>
      <w:bookmarkStart w:id="0" w:name="_heading=h.s9r02j4xieat" w:colFirst="0" w:colLast="0"/>
      <w:bookmarkEnd w:id="0"/>
      <w:r>
        <w:rPr>
          <w:rFonts w:ascii="Times New Roman" w:eastAsia="Times New Roman" w:hAnsi="Times New Roman" w:cs="Times New Roman"/>
        </w:rPr>
        <w:t>dle ustanovení § 1746 odst. 2 zákona č. 89/2012 Sb., občanský zákoník, ve znění pozdějších předpisů (dále jen „</w:t>
      </w:r>
      <w:r>
        <w:rPr>
          <w:rFonts w:ascii="Times New Roman" w:eastAsia="Times New Roman" w:hAnsi="Times New Roman" w:cs="Times New Roman"/>
          <w:b/>
          <w:bCs/>
        </w:rPr>
        <w:t>Občanský zákoník</w:t>
      </w:r>
      <w:r>
        <w:rPr>
          <w:rFonts w:ascii="Times New Roman" w:eastAsia="Times New Roman" w:hAnsi="Times New Roman" w:cs="Times New Roman"/>
        </w:rPr>
        <w:t>“) a ve smyslu ustanovení § 7 zákona č. 134/2016 Sb., o zadávání veřejných zakázek, ve znění pozdějších předpisů (dále jen „</w:t>
      </w:r>
      <w:r>
        <w:rPr>
          <w:rFonts w:ascii="Times New Roman" w:eastAsia="Times New Roman" w:hAnsi="Times New Roman" w:cs="Times New Roman"/>
          <w:b/>
          <w:bCs/>
        </w:rPr>
        <w:t>Smlouva</w:t>
      </w:r>
      <w:r>
        <w:rPr>
          <w:rFonts w:ascii="Times New Roman" w:eastAsia="Times New Roman" w:hAnsi="Times New Roman" w:cs="Times New Roman"/>
        </w:rPr>
        <w:t>“)</w:t>
      </w:r>
    </w:p>
    <w:p w14:paraId="0B423726" w14:textId="77777777" w:rsidR="00711891" w:rsidRDefault="00711891">
      <w:pPr>
        <w:widowControl w:val="0"/>
        <w:spacing w:before="120" w:after="120" w:line="240" w:lineRule="auto"/>
        <w:jc w:val="center"/>
        <w:rPr>
          <w:rFonts w:ascii="Times New Roman" w:eastAsia="Times New Roman" w:hAnsi="Times New Roman" w:cs="Times New Roman"/>
        </w:rPr>
      </w:pPr>
    </w:p>
    <w:p w14:paraId="064A6BF9" w14:textId="77777777" w:rsidR="00711891" w:rsidRDefault="00C46080">
      <w:pPr>
        <w:pStyle w:val="Nadpis1"/>
      </w:pPr>
      <w:r>
        <w:t>Smluvní strany</w:t>
      </w:r>
    </w:p>
    <w:p w14:paraId="701CE7A7" w14:textId="77777777" w:rsidR="00711891" w:rsidRDefault="00C4608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Nadační fond Vltavské filharmonie</w:t>
      </w:r>
    </w:p>
    <w:tbl>
      <w:tblPr>
        <w:tblStyle w:val="a"/>
        <w:tblW w:w="8387" w:type="dxa"/>
        <w:tblInd w:w="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74"/>
        <w:gridCol w:w="5713"/>
      </w:tblGrid>
      <w:tr w:rsidR="00711891" w14:paraId="26CFFEEA" w14:textId="77777777">
        <w:tc>
          <w:tcPr>
            <w:tcW w:w="2674" w:type="dxa"/>
          </w:tcPr>
          <w:p w14:paraId="1FEFD45A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 sídlem:</w:t>
            </w:r>
          </w:p>
        </w:tc>
        <w:tc>
          <w:tcPr>
            <w:tcW w:w="5713" w:type="dxa"/>
          </w:tcPr>
          <w:p w14:paraId="4EB23CB6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Mariánské náměstí 2/2, Staré Město, 110 00 Praha 1</w:t>
            </w:r>
          </w:p>
        </w:tc>
      </w:tr>
      <w:tr w:rsidR="00711891" w14:paraId="41EE82AF" w14:textId="77777777">
        <w:tc>
          <w:tcPr>
            <w:tcW w:w="2674" w:type="dxa"/>
          </w:tcPr>
          <w:p w14:paraId="147326F6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IČO:</w:t>
            </w:r>
          </w:p>
        </w:tc>
        <w:tc>
          <w:tcPr>
            <w:tcW w:w="5713" w:type="dxa"/>
          </w:tcPr>
          <w:p w14:paraId="20AA5794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23220121</w:t>
            </w:r>
          </w:p>
        </w:tc>
      </w:tr>
      <w:tr w:rsidR="00711891" w14:paraId="5BA30A53" w14:textId="77777777">
        <w:tc>
          <w:tcPr>
            <w:tcW w:w="2674" w:type="dxa"/>
          </w:tcPr>
          <w:p w14:paraId="76185D12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zastoupená: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5713" w:type="dxa"/>
          </w:tcPr>
          <w:p w14:paraId="1FB77227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 Dvořák, výkonný ředitel</w:t>
            </w:r>
          </w:p>
        </w:tc>
      </w:tr>
      <w:tr w:rsidR="00711891" w14:paraId="318A67CA" w14:textId="77777777">
        <w:tc>
          <w:tcPr>
            <w:tcW w:w="2674" w:type="dxa"/>
          </w:tcPr>
          <w:p w14:paraId="18CFE8EC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bankovní spojení:</w:t>
            </w:r>
          </w:p>
        </w:tc>
        <w:tc>
          <w:tcPr>
            <w:tcW w:w="5713" w:type="dxa"/>
          </w:tcPr>
          <w:p w14:paraId="7B27663F" w14:textId="051C8388" w:rsidR="00711891" w:rsidRPr="00A92837" w:rsidRDefault="00A92837">
            <w:pPr>
              <w:widowControl w:val="0"/>
              <w:spacing w:before="120" w:after="120"/>
              <w:rPr>
                <w:b/>
                <w:bCs/>
                <w:sz w:val="22"/>
                <w:szCs w:val="22"/>
                <w:highlight w:val="white"/>
              </w:rPr>
            </w:pPr>
            <w:r w:rsidRPr="00A92837">
              <w:rPr>
                <w:b/>
                <w:bCs/>
                <w:sz w:val="22"/>
                <w:szCs w:val="22"/>
                <w:highlight w:val="white"/>
              </w:rPr>
              <w:t>ANONYMIZOVÁNO</w:t>
            </w:r>
          </w:p>
        </w:tc>
      </w:tr>
      <w:tr w:rsidR="00711891" w14:paraId="536B3FFD" w14:textId="77777777">
        <w:tc>
          <w:tcPr>
            <w:tcW w:w="2674" w:type="dxa"/>
          </w:tcPr>
          <w:p w14:paraId="25BC6F40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číslo účtu:</w:t>
            </w:r>
          </w:p>
        </w:tc>
        <w:tc>
          <w:tcPr>
            <w:tcW w:w="5713" w:type="dxa"/>
          </w:tcPr>
          <w:p w14:paraId="4904ACF0" w14:textId="6F419FEA" w:rsidR="00711891" w:rsidRPr="00A92837" w:rsidRDefault="00A92837">
            <w:pPr>
              <w:widowControl w:val="0"/>
              <w:spacing w:before="120" w:after="120"/>
              <w:rPr>
                <w:b/>
                <w:bCs/>
                <w:sz w:val="22"/>
                <w:szCs w:val="22"/>
              </w:rPr>
            </w:pPr>
            <w:r w:rsidRPr="00A92837">
              <w:rPr>
                <w:b/>
                <w:bCs/>
                <w:sz w:val="22"/>
                <w:szCs w:val="22"/>
                <w:highlight w:val="white"/>
              </w:rPr>
              <w:t>ANONYMIZOVÁNO</w:t>
            </w:r>
          </w:p>
        </w:tc>
      </w:tr>
      <w:tr w:rsidR="00711891" w14:paraId="5E59B174" w14:textId="77777777">
        <w:tc>
          <w:tcPr>
            <w:tcW w:w="2674" w:type="dxa"/>
          </w:tcPr>
          <w:p w14:paraId="5482ADB7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(dále jen „</w:t>
            </w:r>
            <w:r>
              <w:rPr>
                <w:b/>
                <w:bCs/>
                <w:color w:val="000000"/>
                <w:sz w:val="22"/>
                <w:szCs w:val="22"/>
              </w:rPr>
              <w:t>NFVF</w:t>
            </w:r>
            <w:r>
              <w:rPr>
                <w:color w:val="000000"/>
                <w:sz w:val="22"/>
                <w:szCs w:val="22"/>
              </w:rPr>
              <w:t>“)</w:t>
            </w:r>
          </w:p>
        </w:tc>
        <w:tc>
          <w:tcPr>
            <w:tcW w:w="5713" w:type="dxa"/>
          </w:tcPr>
          <w:p w14:paraId="344F3965" w14:textId="77777777" w:rsidR="00711891" w:rsidRDefault="007118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1891" w14:paraId="5083EEC4" w14:textId="77777777">
        <w:tc>
          <w:tcPr>
            <w:tcW w:w="8387" w:type="dxa"/>
            <w:gridSpan w:val="2"/>
          </w:tcPr>
          <w:p w14:paraId="31F9A035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</w:t>
            </w:r>
          </w:p>
        </w:tc>
      </w:tr>
    </w:tbl>
    <w:p w14:paraId="706BA30D" w14:textId="77777777" w:rsidR="00711891" w:rsidRDefault="00C4608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Pražská developerská společnost, příspěvková organizace</w:t>
      </w:r>
    </w:p>
    <w:tbl>
      <w:tblPr>
        <w:tblStyle w:val="a0"/>
        <w:tblW w:w="8397" w:type="dxa"/>
        <w:tblInd w:w="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75"/>
        <w:gridCol w:w="5722"/>
      </w:tblGrid>
      <w:tr w:rsidR="00711891" w14:paraId="636CDE30" w14:textId="77777777">
        <w:tc>
          <w:tcPr>
            <w:tcW w:w="2675" w:type="dxa"/>
          </w:tcPr>
          <w:p w14:paraId="6C5B1F5C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 sídlem:</w:t>
            </w:r>
          </w:p>
        </w:tc>
        <w:tc>
          <w:tcPr>
            <w:tcW w:w="5722" w:type="dxa"/>
          </w:tcPr>
          <w:p w14:paraId="7ECEED27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 Radnice 10/2, 110 00 Praha 1</w:t>
            </w:r>
          </w:p>
        </w:tc>
      </w:tr>
      <w:tr w:rsidR="00711891" w14:paraId="6B236070" w14:textId="77777777">
        <w:tc>
          <w:tcPr>
            <w:tcW w:w="2675" w:type="dxa"/>
          </w:tcPr>
          <w:p w14:paraId="6294BC5D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IČO:</w:t>
            </w:r>
          </w:p>
        </w:tc>
        <w:tc>
          <w:tcPr>
            <w:tcW w:w="5722" w:type="dxa"/>
          </w:tcPr>
          <w:p w14:paraId="7F0B2F52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09211322</w:t>
            </w:r>
          </w:p>
        </w:tc>
      </w:tr>
      <w:tr w:rsidR="00711891" w14:paraId="21DE2FA7" w14:textId="77777777">
        <w:tc>
          <w:tcPr>
            <w:tcW w:w="2675" w:type="dxa"/>
          </w:tcPr>
          <w:p w14:paraId="47378812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zastoupená:</w:t>
            </w:r>
          </w:p>
        </w:tc>
        <w:tc>
          <w:tcPr>
            <w:tcW w:w="5722" w:type="dxa"/>
          </w:tcPr>
          <w:p w14:paraId="386BFD38" w14:textId="77777777" w:rsidR="00711891" w:rsidRDefault="00C46080">
            <w:pPr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Petrem Urbánkem, ředitelem</w:t>
            </w:r>
          </w:p>
        </w:tc>
      </w:tr>
      <w:tr w:rsidR="00711891" w14:paraId="028D1E6F" w14:textId="77777777">
        <w:tc>
          <w:tcPr>
            <w:tcW w:w="2675" w:type="dxa"/>
          </w:tcPr>
          <w:p w14:paraId="63D6D921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bankovní spojení:</w:t>
            </w:r>
          </w:p>
        </w:tc>
        <w:tc>
          <w:tcPr>
            <w:tcW w:w="5722" w:type="dxa"/>
          </w:tcPr>
          <w:p w14:paraId="4454C16C" w14:textId="07DE49FB" w:rsidR="00711891" w:rsidRDefault="00A92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 w:rsidRPr="00A92837">
              <w:rPr>
                <w:b/>
                <w:bCs/>
                <w:sz w:val="22"/>
                <w:szCs w:val="22"/>
                <w:highlight w:val="white"/>
              </w:rPr>
              <w:t>ANONYMIZOVÁNO</w:t>
            </w:r>
          </w:p>
        </w:tc>
      </w:tr>
      <w:tr w:rsidR="00711891" w14:paraId="1DEEF44B" w14:textId="77777777">
        <w:tc>
          <w:tcPr>
            <w:tcW w:w="2675" w:type="dxa"/>
          </w:tcPr>
          <w:p w14:paraId="7AD545C3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číslo účtu:</w:t>
            </w:r>
          </w:p>
        </w:tc>
        <w:tc>
          <w:tcPr>
            <w:tcW w:w="5722" w:type="dxa"/>
          </w:tcPr>
          <w:p w14:paraId="62E247F2" w14:textId="353DC01E" w:rsidR="00711891" w:rsidRDefault="00A92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 w:rsidRPr="00A92837">
              <w:rPr>
                <w:b/>
                <w:bCs/>
                <w:sz w:val="22"/>
                <w:szCs w:val="22"/>
                <w:highlight w:val="white"/>
              </w:rPr>
              <w:t>ANONYMIZOVÁNO</w:t>
            </w:r>
          </w:p>
        </w:tc>
      </w:tr>
      <w:tr w:rsidR="00711891" w14:paraId="70A9CEAB" w14:textId="77777777">
        <w:tc>
          <w:tcPr>
            <w:tcW w:w="2675" w:type="dxa"/>
          </w:tcPr>
          <w:p w14:paraId="731EB1DE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75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(dále jen „</w:t>
            </w:r>
            <w:r>
              <w:rPr>
                <w:b/>
                <w:bCs/>
                <w:color w:val="000000"/>
                <w:sz w:val="22"/>
                <w:szCs w:val="22"/>
              </w:rPr>
              <w:t>PDS</w:t>
            </w:r>
            <w:r>
              <w:rPr>
                <w:color w:val="000000"/>
                <w:sz w:val="22"/>
                <w:szCs w:val="22"/>
              </w:rPr>
              <w:t>“)</w:t>
            </w:r>
          </w:p>
        </w:tc>
        <w:tc>
          <w:tcPr>
            <w:tcW w:w="5722" w:type="dxa"/>
          </w:tcPr>
          <w:p w14:paraId="7B9A7C91" w14:textId="77777777" w:rsidR="00711891" w:rsidRDefault="007118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711891" w14:paraId="699AC4D7" w14:textId="77777777">
        <w:tc>
          <w:tcPr>
            <w:tcW w:w="8397" w:type="dxa"/>
            <w:gridSpan w:val="2"/>
          </w:tcPr>
          <w:p w14:paraId="3D6A6A09" w14:textId="77777777" w:rsidR="00711891" w:rsidRDefault="00C460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(NFVF a PDS společně dále také jako „</w:t>
            </w:r>
            <w:r>
              <w:rPr>
                <w:b/>
                <w:bCs/>
                <w:color w:val="000000"/>
                <w:sz w:val="22"/>
                <w:szCs w:val="22"/>
              </w:rPr>
              <w:t>Strany</w:t>
            </w:r>
            <w:r>
              <w:rPr>
                <w:color w:val="000000"/>
                <w:sz w:val="22"/>
                <w:szCs w:val="22"/>
              </w:rPr>
              <w:t>“, a každý z nich samostatně dále také jako „</w:t>
            </w:r>
            <w:r>
              <w:rPr>
                <w:b/>
                <w:bCs/>
                <w:color w:val="000000"/>
                <w:sz w:val="22"/>
                <w:szCs w:val="22"/>
              </w:rPr>
              <w:t>Strana</w:t>
            </w:r>
            <w:r>
              <w:rPr>
                <w:color w:val="000000"/>
                <w:sz w:val="22"/>
                <w:szCs w:val="22"/>
              </w:rPr>
              <w:t>“)</w:t>
            </w:r>
          </w:p>
          <w:p w14:paraId="3672B51C" w14:textId="77777777" w:rsidR="00711891" w:rsidRDefault="007118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717E6BDB" w14:textId="77777777" w:rsidR="00711891" w:rsidRDefault="00C46080">
      <w:pPr>
        <w:pStyle w:val="Nadpis1"/>
      </w:pPr>
      <w:r>
        <w:t>PREAMBULE</w:t>
      </w:r>
    </w:p>
    <w:p w14:paraId="19FCA526" w14:textId="77777777" w:rsidR="00711891" w:rsidRDefault="00C46080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Vzhledem k tomu, že </w:t>
      </w:r>
    </w:p>
    <w:p w14:paraId="0C586E90" w14:textId="77777777" w:rsidR="00711891" w:rsidRDefault="00C4608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NFVF je zadavatelem ve smyslu § 4 odst. 1 písm. e) zákona č. 134/2016 Sb., o zadávání veřejných zakázek, ve znění pozdějších předpisů (dále jen „</w:t>
      </w:r>
      <w:r>
        <w:rPr>
          <w:rFonts w:ascii="Times New Roman" w:eastAsia="Times New Roman" w:hAnsi="Times New Roman" w:cs="Times New Roman"/>
          <w:b/>
          <w:bCs/>
          <w:color w:val="000000"/>
        </w:rPr>
        <w:t>ZZVZ</w:t>
      </w:r>
      <w:r>
        <w:rPr>
          <w:rFonts w:ascii="Times New Roman" w:eastAsia="Times New Roman" w:hAnsi="Times New Roman" w:cs="Times New Roman"/>
          <w:color w:val="000000"/>
        </w:rPr>
        <w:t>“);</w:t>
      </w:r>
    </w:p>
    <w:p w14:paraId="37962FED" w14:textId="77777777" w:rsidR="00711891" w:rsidRDefault="00C4608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PDS je zadavatelem ve smyslu § 4 odst. 1 písm. d) ZZVZ;</w:t>
      </w:r>
    </w:p>
    <w:p w14:paraId="17B977FC" w14:textId="77777777" w:rsidR="00711891" w:rsidRDefault="00C4608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NFVF byl založen usnesením Rady hl. m. Prahy č. 505 ze dne 17. 3. 2025 a usnesením zastupitelstva č. 22/6 ze dne 27. 3 2025, a to s ohledem na potřebu vytvořit nástroj pro zapojení </w:t>
      </w:r>
      <w:r>
        <w:rPr>
          <w:rFonts w:ascii="Times New Roman" w:eastAsia="Times New Roman" w:hAnsi="Times New Roman" w:cs="Times New Roman"/>
          <w:color w:val="000000"/>
        </w:rPr>
        <w:lastRenderedPageBreak/>
        <w:t>veřejnosti do projektu Vltavské filharmonie (dále jen „</w:t>
      </w:r>
      <w:r>
        <w:rPr>
          <w:rFonts w:ascii="Times New Roman" w:eastAsia="Times New Roman" w:hAnsi="Times New Roman" w:cs="Times New Roman"/>
          <w:b/>
          <w:bCs/>
          <w:color w:val="000000"/>
        </w:rPr>
        <w:t>Projekt</w:t>
      </w:r>
      <w:r>
        <w:rPr>
          <w:rFonts w:ascii="Times New Roman" w:eastAsia="Times New Roman" w:hAnsi="Times New Roman" w:cs="Times New Roman"/>
          <w:color w:val="000000"/>
        </w:rPr>
        <w:t xml:space="preserve">“). Dle čl. 4 zakládací listiny NFVF je účelem NFVF podpora výstavby budovy Vltavské filharmonie a následná podpora jejího provozu a údržby, </w:t>
      </w:r>
      <w:r>
        <w:rPr>
          <w:rFonts w:ascii="Times New Roman" w:eastAsia="Times New Roman" w:hAnsi="Times New Roman" w:cs="Times New Roman"/>
          <w:i/>
          <w:iCs/>
          <w:color w:val="000000"/>
        </w:rPr>
        <w:t>včetně podpory činnosti jiných osob přispívající k naplnění vize Vltavské filharmonie jako soudobého kulturního a společenského centra</w:t>
      </w:r>
      <w:r>
        <w:rPr>
          <w:rFonts w:ascii="Times New Roman" w:eastAsia="Times New Roman" w:hAnsi="Times New Roman" w:cs="Times New Roman"/>
          <w:color w:val="000000"/>
        </w:rPr>
        <w:t>. Dle usnesení Rady hl. m. Prahy č. 505 ze dne 17. 3. 2025 projekt Vltavské filharmonie přinese mnoho pozitivních synergických efektů na ekonomiku hl. m. Prahy, metropolitního</w:t>
      </w:r>
      <w:r>
        <w:rPr>
          <w:rFonts w:ascii="Times New Roman" w:eastAsia="Times New Roman" w:hAnsi="Times New Roman" w:cs="Times New Roman"/>
          <w:color w:val="000000"/>
        </w:rPr>
        <w:t xml:space="preserve"> regionu i celé České republiky včetně dalších přínosů kulturních a společenských přínosů neekonomické povahy.</w:t>
      </w:r>
    </w:p>
    <w:p w14:paraId="413CACB4" w14:textId="77777777" w:rsidR="00711891" w:rsidRDefault="00C4608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PDS je na základě usnesení Rady hl m. Prahy č. 755 ze dne 11. 4. 2022 a usnesení Zastupitelstva hlavního města Prahy č. 37/31 ze dne 26. 5. 2022 pověřen koordinací aktuální fáze Projektu, a to včetně přípravy provozu. Zajištěním veškerých těchto činností tak v souladu s tímto usnesením byla pověřena PDS s cílem zajistit maximální akceschopnost a flexibilitu, s profesionálním přesahem a vnímáním souvislostí pro navazující území, která je nezbytná pro přípravu takto komplexního a významného Projektu.</w:t>
      </w:r>
    </w:p>
    <w:p w14:paraId="4FBA4B08" w14:textId="77777777" w:rsidR="00711891" w:rsidRDefault="00C4608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si Strany uvědomují potřebu zajištění kvalitních, jednotných a efektivních služeb v oblasti marketingových, public relations, public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affairs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 souvisejících komunikačních aktivit (dále jen „</w:t>
      </w:r>
      <w:r>
        <w:rPr>
          <w:rFonts w:ascii="Times New Roman" w:eastAsia="Times New Roman" w:hAnsi="Times New Roman" w:cs="Times New Roman"/>
          <w:b/>
          <w:bCs/>
          <w:color w:val="000000"/>
        </w:rPr>
        <w:t>Služby</w:t>
      </w:r>
      <w:r>
        <w:rPr>
          <w:rFonts w:ascii="Times New Roman" w:eastAsia="Times New Roman" w:hAnsi="Times New Roman" w:cs="Times New Roman"/>
          <w:color w:val="000000"/>
        </w:rPr>
        <w:t>“). Strany se shodují, že koordinovaný postup při zadání veřejných zakázek na zajištění Služeb povede k hospodárnějšímu, účelnějšímu a transparentnějšímu využití veřejných prostředků.</w:t>
      </w:r>
    </w:p>
    <w:p w14:paraId="38DD6359" w14:textId="77777777" w:rsidR="00711891" w:rsidRDefault="00C4608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</w:pPr>
      <w:bookmarkStart w:id="1" w:name="_heading=h.vrg53lpb9yw2" w:colFirst="0" w:colLast="0"/>
      <w:bookmarkEnd w:id="1"/>
      <w:r>
        <w:rPr>
          <w:rFonts w:ascii="Times New Roman" w:eastAsia="Times New Roman" w:hAnsi="Times New Roman" w:cs="Times New Roman"/>
          <w:color w:val="000000"/>
        </w:rPr>
        <w:t xml:space="preserve">NFVF a PDS tak mají zájem spolupracovat v oblasti externí komunikace Projektu, nastavení společných standardů, sladění komunikačních záměrů a společně chtějí zadávat veřejné zakázky k zajištění Služeb k Projektu, a to prostřednictvím marketingových, public relations a případně public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affairs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aktivit a nástrojů ve vztahu k Projektu.</w:t>
      </w:r>
    </w:p>
    <w:p w14:paraId="20392753" w14:textId="77777777" w:rsidR="00711891" w:rsidRDefault="0071189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</w:p>
    <w:p w14:paraId="4BA65466" w14:textId="77777777" w:rsidR="00711891" w:rsidRDefault="00C46080">
      <w:pPr>
        <w:widowControl w:val="0"/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uzavírají tímto Strany ve smyslu § 7 ZZVZ za účelem společného zadání veřejných zakázek níže uvedeného dne, měsíce a roku tuto Smlouvu.</w:t>
      </w:r>
    </w:p>
    <w:p w14:paraId="47009E34" w14:textId="77777777" w:rsidR="00711891" w:rsidRDefault="00C46080">
      <w:pPr>
        <w:pStyle w:val="Nadpis1"/>
      </w:pPr>
      <w:r>
        <w:t>I.</w:t>
      </w:r>
      <w:r>
        <w:br/>
      </w:r>
      <w:r>
        <w:t>Účel a předmět Smlouvy</w:t>
      </w:r>
    </w:p>
    <w:p w14:paraId="7DC1FFDD" w14:textId="77777777" w:rsidR="00711891" w:rsidRDefault="00C46080">
      <w:pPr>
        <w:widowControl w:val="0"/>
        <w:numPr>
          <w:ilvl w:val="1"/>
          <w:numId w:val="9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Účelem této Smlouvy je zejména sjednotit postup Stran při zadání veřejných zakázek, jejichž předmětem bude zajištění poskytování Služeb pro Strany této Smlouvy (dále jen „</w:t>
      </w:r>
      <w:r>
        <w:rPr>
          <w:rFonts w:ascii="Times New Roman" w:eastAsia="Times New Roman" w:hAnsi="Times New Roman" w:cs="Times New Roman"/>
          <w:b/>
          <w:bCs/>
        </w:rPr>
        <w:t>Veřejné zakázky</w:t>
      </w:r>
      <w:r>
        <w:rPr>
          <w:rFonts w:ascii="Times New Roman" w:eastAsia="Times New Roman" w:hAnsi="Times New Roman" w:cs="Times New Roman"/>
        </w:rPr>
        <w:t>“), posílit vzájemnou spolupráci ve fázi přípravy, zadání, hodnocení nabídek a kontroly plnění a dále zajistit efektivní řízení komunikačních aktivit Stran při zachování samostatného rozhodování o uzavření smlouvy na konkrétní plnění s vybranými dodavateli. Konkrétní specifikace Služeb je uvedena v příloze č. 1 této Smlouvy.</w:t>
      </w:r>
    </w:p>
    <w:p w14:paraId="1681AC5C" w14:textId="77777777" w:rsidR="00711891" w:rsidRDefault="00C46080">
      <w:pPr>
        <w:widowControl w:val="0"/>
        <w:numPr>
          <w:ilvl w:val="1"/>
          <w:numId w:val="9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Předmětem této Smlouvy je úprava práv a povinností Stran při společném zadání Veřejných zakázek na zajištění Služeb nezbytných k naplnění účelu spolupráce dle této Smlouvy.</w:t>
      </w:r>
    </w:p>
    <w:p w14:paraId="07BE0EA1" w14:textId="77777777" w:rsidR="00711891" w:rsidRDefault="00C46080">
      <w:pPr>
        <w:widowControl w:val="0"/>
        <w:numPr>
          <w:ilvl w:val="1"/>
          <w:numId w:val="9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Smluvní strany se zavazují, že veškeré úkony související s přípravou a realizací zadávacích/výběrových řízení provedou společně v souladu s touto Smlouvou a ZZVZ. </w:t>
      </w:r>
    </w:p>
    <w:p w14:paraId="2143FBB9" w14:textId="77777777" w:rsidR="00711891" w:rsidRDefault="00C46080">
      <w:pPr>
        <w:widowControl w:val="0"/>
        <w:numPr>
          <w:ilvl w:val="1"/>
          <w:numId w:val="9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Předmětem této Smlouvy je taktéž určení způsobu, jakým budou Strany při společném zadávání Veřejných zakázek jednat vůči třetím osobám navenek.</w:t>
      </w:r>
    </w:p>
    <w:p w14:paraId="481CBBC0" w14:textId="77777777" w:rsidR="00711891" w:rsidRDefault="00C46080">
      <w:pPr>
        <w:pStyle w:val="Nadpis1"/>
      </w:pPr>
      <w:r>
        <w:t>II.</w:t>
      </w:r>
      <w:r>
        <w:br/>
        <w:t>Specifikace předmětu Smlouvy</w:t>
      </w:r>
    </w:p>
    <w:p w14:paraId="115BA2E6" w14:textId="77777777" w:rsidR="00711891" w:rsidRDefault="00C46080">
      <w:pPr>
        <w:widowControl w:val="0"/>
        <w:numPr>
          <w:ilvl w:val="1"/>
          <w:numId w:val="7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Smluvní strany se dohodly, že zadávací/výběrové řízení na zajištění Služeb bude realizováno jako společné zadávání dle § 7 odst. 1 ZZVZ, kdy se na všech úkonech v zadávacím/výběrovém řízení budou podílet obě Strany, nebude-li v konkrétním případě mezi Stranami dohodnuto jinak.</w:t>
      </w:r>
    </w:p>
    <w:p w14:paraId="0385057C" w14:textId="77777777" w:rsidR="00711891" w:rsidRDefault="00C46080">
      <w:pPr>
        <w:widowControl w:val="0"/>
        <w:numPr>
          <w:ilvl w:val="1"/>
          <w:numId w:val="7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se dohodly, že v souvislosti se zajištěním Služeb k Projektu obstarají prostřednictvím Veřejných zakázek v souladu se ZZVZ plnění specifikované v příloze č. 1 této Smlouvy.</w:t>
      </w:r>
    </w:p>
    <w:p w14:paraId="213014CE" w14:textId="77777777" w:rsidR="00711891" w:rsidRDefault="00C46080">
      <w:pPr>
        <w:widowControl w:val="0"/>
        <w:numPr>
          <w:ilvl w:val="1"/>
          <w:numId w:val="7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Vzhledem k tomu, že komunikační agendy Stran se zcela přirozeně protínají a obě Strany by se na nich měly dohodnout a měly by se pravidelně informovat a koordinovat, dohodly Strany na přehledném rozdělení komunikačních úkolů tak, aby docházelo k naplňování účelu a předmětu této Smlouvy co nejefektivněji, tj. určení, kdo je v dané oblasti hlavní a kdo podpůrným </w:t>
      </w:r>
      <w:r>
        <w:rPr>
          <w:rFonts w:ascii="Times New Roman" w:eastAsia="Times New Roman" w:hAnsi="Times New Roman" w:cs="Times New Roman"/>
        </w:rPr>
        <w:lastRenderedPageBreak/>
        <w:t>subjektem. Konkrétní definice rolí tvoří přílohu č. 2 této Smlouvy.</w:t>
      </w:r>
    </w:p>
    <w:p w14:paraId="4C9AE380" w14:textId="77777777" w:rsidR="00711891" w:rsidRDefault="00C46080">
      <w:pPr>
        <w:pStyle w:val="Nadpis1"/>
      </w:pPr>
      <w:r>
        <w:t>III.</w:t>
      </w:r>
      <w:r>
        <w:br/>
        <w:t>Dohoda o postupu Stran při zadávání Veřejných zakázek</w:t>
      </w:r>
    </w:p>
    <w:p w14:paraId="6D1675F8" w14:textId="77777777" w:rsidR="00711891" w:rsidRDefault="00C46080">
      <w:pPr>
        <w:widowControl w:val="0"/>
        <w:numPr>
          <w:ilvl w:val="1"/>
          <w:numId w:val="1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se dohodly na následujícím postupu při zadávání Veřejných zakázek:</w:t>
      </w:r>
    </w:p>
    <w:p w14:paraId="11B8AE72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Veřejné zakázky budou zadávány primárně prostřednictvím rámcové dohody s jedním nebo více účastníky, popřípadě v jiném zadávacím řízení nebo výběrovém řízení mimo režim ZZVZ (dále společně jen „</w:t>
      </w:r>
      <w:r>
        <w:rPr>
          <w:rFonts w:ascii="Times New Roman" w:eastAsia="Times New Roman" w:hAnsi="Times New Roman" w:cs="Times New Roman"/>
          <w:b/>
          <w:bCs/>
        </w:rPr>
        <w:t>Řízení</w:t>
      </w:r>
      <w:r>
        <w:rPr>
          <w:rFonts w:ascii="Times New Roman" w:eastAsia="Times New Roman" w:hAnsi="Times New Roman" w:cs="Times New Roman"/>
        </w:rPr>
        <w:t>“).</w:t>
      </w:r>
    </w:p>
    <w:p w14:paraId="75090EEC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Předpokládaná hodnota Veřejné zakázky bude stanovena před zahájením Řízení v souladu se ZZVZ a bude potvrzena kontaktními osobami Stran.</w:t>
      </w:r>
    </w:p>
    <w:p w14:paraId="778E66D2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se zavazují spolupracovat při přípravě zadávací dokumentace k Veřejným zakázkám. Obsah zadávacích podmínek, včetně technických specifikací, kritérií hodnocení, kvalifikačních požadavků a smluvních podmínek, bude schválen oběma Stranami.</w:t>
      </w:r>
    </w:p>
    <w:p w14:paraId="2D0B867E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si při zadávání Veřejných zakázek poskytnou veškerou součinnost nezbytnou pro stanovení předmětu plnění, rozpočtu a časového harmonogramu,  vymezení technických podmínek a podmínek kvalifikace, dále při vypořádání žádostí o vysvětlení zadávací dokumentace (ve lhůtě 2 pracovních dnů od doručení žádosti o součinnost) anebo případných námitek proti zadávacím podmínkám (ve lhůtě 5 pracovních dnů od doručení žádosti o součinnost) anebo ve správním řízení před Úřadem pro ochranu hospodářské soutěže (ve lhů</w:t>
      </w:r>
      <w:r>
        <w:rPr>
          <w:rFonts w:ascii="Times New Roman" w:eastAsia="Times New Roman" w:hAnsi="Times New Roman" w:cs="Times New Roman"/>
        </w:rPr>
        <w:t xml:space="preserve">tě 3 pracovních dnů od doručení žádosti o součinnost). </w:t>
      </w:r>
    </w:p>
    <w:p w14:paraId="2E336186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 uveřejnění Veřejných zakázek bude použit profil zadavatele PDS a registrace PDS ve Věstníku veřejných zakázek (popřípadě jeho smluvního zástupce), nebude-li mezi Stranami dohodnuto jinak.</w:t>
      </w:r>
    </w:p>
    <w:p w14:paraId="04310BAE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Strany se dohodly, že společně jmenují hodnoticí komisi, která bude hodnotit přijaté žádosti o účast či nabídky v souladu se zadávací dokumentací na danou Veřejnou zakázku. Nestanoví-li ZZVZ jinak, bude mít komise 5 členů a 5 náhradníků, přičemž každá smluvní strana nominuje dva členy a dva náhradníky s tím, že pátého člena a náhradníka vyberou společně z řad nezávislých odborníků. </w:t>
      </w:r>
    </w:p>
    <w:p w14:paraId="6899B5F3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PDS je v rámci společného zadávání oprávněn za Strany činit úkony navenek vůči třetím stranám a Strany vůči třetím osobám v plném rozsahu zastupovat, nebude-li mezi Stranami dohodnuto jinak. Pro vyloučení pochybností se uvádí, že PDS je oprávněna udělit substituční plnou moc v plném rozsahu přípustném dle ZZVZ dalšímu subjektu. O všech podstatných úkonech vůči třetím stranám je PDS povinna NFVF předem informovat.</w:t>
      </w:r>
    </w:p>
    <w:p w14:paraId="6BE61DC4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PDS (popřípadě jí zmocněná osoba) zajistí veškeré přípravné kroky a činnosti organizačního a administrativního charakteru ve vztahu k zahájení Řízení, jeho průběhu a ukončení, tj. zejména zajistí uveřejnění zadávacích podmínek, vyplnění a rozeslání či uveřejnění veškerých potřebných formulářů, výzev a oznámení v průběhu Řízení, zajištění otevírání obálek/nabídek, zpracování podkladů pro činnost hodnotící komise, zajištění uzavření smlouvy s vybraným dodavatelem. Nebude-li v konkrétním případě dohodnuto jina</w:t>
      </w:r>
      <w:r>
        <w:rPr>
          <w:rFonts w:ascii="Times New Roman" w:eastAsia="Times New Roman" w:hAnsi="Times New Roman" w:cs="Times New Roman"/>
        </w:rPr>
        <w:t>k, bude vždy uzavřena trojstranná smlouva (tj. Strany a vybraný dodavatel). K případnému výběru dodavatele, vyloučení účastníka Řízení, zrušení Řízení, nebo rozhodnutí o námitkách je potřeba souhlasu obou Stran.</w:t>
      </w:r>
    </w:p>
    <w:p w14:paraId="7610D705" w14:textId="77777777" w:rsidR="00711891" w:rsidRDefault="00C46080">
      <w:pPr>
        <w:widowControl w:val="0"/>
        <w:numPr>
          <w:ilvl w:val="0"/>
          <w:numId w:val="10"/>
        </w:numPr>
        <w:spacing w:before="120" w:after="120" w:line="240" w:lineRule="auto"/>
        <w:ind w:left="1134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výslovně sjednávají, že do smluv s vybraným dodavatelem budou uvádět možnost případného postoupení smlouvy na subjekt (na straně objednatele) určený Stranami, popř. konkrétní Stranou.</w:t>
      </w:r>
    </w:p>
    <w:p w14:paraId="7F15CD87" w14:textId="77777777" w:rsidR="00711891" w:rsidRDefault="00C46080">
      <w:pPr>
        <w:pStyle w:val="Nadpis1"/>
      </w:pPr>
      <w:r>
        <w:t>IV.</w:t>
      </w:r>
      <w:r>
        <w:br/>
        <w:t>Finanční zajištění společného zadání Veřejných zakázek</w:t>
      </w:r>
    </w:p>
    <w:p w14:paraId="027AB7D9" w14:textId="77777777" w:rsidR="00711891" w:rsidRDefault="00C460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color w:val="000000"/>
        </w:rPr>
        <w:t>Strany se dohodly, že každá ze Stran ponese samostatně své vlastní náklady spojené se společným zadáváním Veřejných zakázek, není-li v této Smlouvě stanoveno jinak, popř. mezi stranami dohodnuto jinak.</w:t>
      </w:r>
    </w:p>
    <w:p w14:paraId="38EBA06D" w14:textId="77777777" w:rsidR="00711891" w:rsidRDefault="00C4608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  <w:color w:val="000000"/>
        </w:rPr>
        <w:lastRenderedPageBreak/>
        <w:t>Náklady na realizaci předmětu Veřejných zakázek uhradí ta ze Stran, která dané plnění požadovala. U zadávání společných Služeb budou náklady děleny v poměru 50:50, nebude-li mezi Stranami dohodnuto jinak.</w:t>
      </w:r>
    </w:p>
    <w:p w14:paraId="42764FF7" w14:textId="77777777" w:rsidR="00711891" w:rsidRDefault="00C46080">
      <w:pPr>
        <w:pStyle w:val="Nadpis1"/>
      </w:pPr>
      <w:r>
        <w:t>V.</w:t>
      </w:r>
      <w:r>
        <w:br/>
        <w:t>Způsob komunikace, místo jednání</w:t>
      </w:r>
    </w:p>
    <w:p w14:paraId="4FE68375" w14:textId="77777777" w:rsidR="00711891" w:rsidRDefault="00C46080">
      <w:pPr>
        <w:widowControl w:val="0"/>
        <w:numPr>
          <w:ilvl w:val="1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Při komunikaci mezi Stranami se upřednostňuje elektronická forma komunikace, tj. ve formě e-mailu.</w:t>
      </w:r>
    </w:p>
    <w:p w14:paraId="594DF957" w14:textId="5FA5DFA3" w:rsidR="00711891" w:rsidRDefault="00C46080">
      <w:pPr>
        <w:widowControl w:val="0"/>
        <w:numPr>
          <w:ilvl w:val="1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straně PDS jsou kontaktními osobami: </w:t>
      </w:r>
      <w:r w:rsidR="00A92837" w:rsidRPr="00A92837">
        <w:rPr>
          <w:b/>
          <w:bCs/>
          <w:highlight w:val="white"/>
        </w:rPr>
        <w:t>ANONYMIZOVÁNO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v případě nepřítomnosti: </w:t>
      </w:r>
      <w:r w:rsidR="00A92837" w:rsidRPr="00A92837">
        <w:rPr>
          <w:b/>
          <w:bCs/>
          <w:highlight w:val="white"/>
        </w:rPr>
        <w:t>ANONYMIZOVÁNO</w:t>
      </w:r>
      <w:r>
        <w:rPr>
          <w:rFonts w:ascii="Times New Roman" w:eastAsia="Times New Roman" w:hAnsi="Times New Roman" w:cs="Times New Roman"/>
        </w:rPr>
        <w:t>.</w:t>
      </w:r>
    </w:p>
    <w:p w14:paraId="1F6376A5" w14:textId="0A13BFFB" w:rsidR="00711891" w:rsidRDefault="00C46080">
      <w:pPr>
        <w:widowControl w:val="0"/>
        <w:numPr>
          <w:ilvl w:val="1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 straně NFVF jsou kontaktními osobami: </w:t>
      </w:r>
      <w:r w:rsidR="00A92837" w:rsidRPr="00A92837">
        <w:rPr>
          <w:b/>
          <w:bCs/>
          <w:highlight w:val="white"/>
        </w:rPr>
        <w:t>ANONYMIZOVÁNO</w:t>
      </w:r>
      <w:r>
        <w:rPr>
          <w:rFonts w:ascii="Times New Roman" w:eastAsia="Times New Roman" w:hAnsi="Times New Roman" w:cs="Times New Roman"/>
        </w:rPr>
        <w:t xml:space="preserve">, v případě nepřítomnosti: </w:t>
      </w:r>
      <w:r w:rsidR="00A92837" w:rsidRPr="00A92837">
        <w:rPr>
          <w:b/>
          <w:bCs/>
          <w:highlight w:val="white"/>
        </w:rPr>
        <w:t>ANONYMIZOVÁNO</w:t>
      </w:r>
      <w:r>
        <w:rPr>
          <w:rFonts w:ascii="Times New Roman" w:eastAsia="Times New Roman" w:hAnsi="Times New Roman" w:cs="Times New Roman"/>
        </w:rPr>
        <w:t>.</w:t>
      </w:r>
    </w:p>
    <w:p w14:paraId="45CB4AF8" w14:textId="77777777" w:rsidR="00711891" w:rsidRDefault="00C46080">
      <w:pPr>
        <w:widowControl w:val="0"/>
        <w:numPr>
          <w:ilvl w:val="1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 případě zasílání jakýchkoli oznámení či jiných jednání předvídaných touto Smlouvou nebo spojených s touto Smlouvou budou tato oznámení zasílána mezi Stranami předně elektronickou formou, a to na kontaktní emaily uvedené v tomto článku smlouvy, nebude-li dohodnuto mezi Stranami jinak.</w:t>
      </w:r>
    </w:p>
    <w:p w14:paraId="2307DA52" w14:textId="77777777" w:rsidR="00711891" w:rsidRDefault="00C46080">
      <w:pPr>
        <w:widowControl w:val="0"/>
        <w:numPr>
          <w:ilvl w:val="1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 případě potřeby osobního jednání mezi Stranami bude jednáno v sídle PDS, pokud nebude mezi Stranami dohodnuto něco jiného. </w:t>
      </w:r>
    </w:p>
    <w:p w14:paraId="7F4F478A" w14:textId="77777777" w:rsidR="00711891" w:rsidRDefault="00C46080">
      <w:pPr>
        <w:widowControl w:val="0"/>
        <w:numPr>
          <w:ilvl w:val="1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Zástupci Stran dle tohoto čl. V. jsou oprávněni činit za Strany veškerá rozhodnutí a vést veškerou komunikaci ohledně naplnění účelu této Smlouvy a ohledně přípravy, vedení a ukončení Řízení (tím není dotčeno interní schválení jak na straně PDS, tak na straně NFVF).</w:t>
      </w:r>
    </w:p>
    <w:p w14:paraId="1F786B7A" w14:textId="77777777" w:rsidR="00711891" w:rsidRDefault="00C46080">
      <w:pPr>
        <w:pStyle w:val="Nadpis1"/>
      </w:pPr>
      <w:r>
        <w:t>VI.</w:t>
      </w:r>
      <w:r>
        <w:br/>
        <w:t>Trvání Smlouvy</w:t>
      </w:r>
    </w:p>
    <w:p w14:paraId="69BFE1FD" w14:textId="77777777" w:rsidR="00711891" w:rsidRDefault="00C46080">
      <w:pPr>
        <w:widowControl w:val="0"/>
        <w:numPr>
          <w:ilvl w:val="1"/>
          <w:numId w:val="3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Smlouva se uzavírá na dobu neurčitou.</w:t>
      </w:r>
    </w:p>
    <w:p w14:paraId="014D895F" w14:textId="77777777" w:rsidR="00711891" w:rsidRDefault="00C46080">
      <w:pPr>
        <w:widowControl w:val="0"/>
        <w:numPr>
          <w:ilvl w:val="1"/>
          <w:numId w:val="3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Před uplynutím doby dle článku VI. odst. 1 této Smlouvy může být Smlouva ukončena vzájemnou dohodou Stran, a to v jakékoliv její fázi.</w:t>
      </w:r>
    </w:p>
    <w:p w14:paraId="169BA88D" w14:textId="77777777" w:rsidR="00711891" w:rsidRDefault="00C46080">
      <w:pPr>
        <w:widowControl w:val="0"/>
        <w:numPr>
          <w:ilvl w:val="1"/>
          <w:numId w:val="3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Každá ze Stran může před uplynutím doby dle článku VI. odstavce 1 této Smlouvy od této Smlouvy odstoupit v případě, že druhá Strana poruší svoji povinnost z této Smlouvy a uvedené porušení nenapraví ani v dodatečné lhůtě 20 dnů po obdržení výzvy druhé Strany k plnění této povinnosti. Účinky odstoupení nastávají jeho doručením druhé Straně.</w:t>
      </w:r>
    </w:p>
    <w:p w14:paraId="6C9DF50D" w14:textId="77777777" w:rsidR="00711891" w:rsidRDefault="00C46080">
      <w:pPr>
        <w:widowControl w:val="0"/>
        <w:numPr>
          <w:ilvl w:val="1"/>
          <w:numId w:val="3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Každá ze Stran může před uplynutím doby dle článku VI. odstavce 1 této Smlouvy tuto Smlouvu kdykoliv vypovědět, a to i bez udání důvodu, přičemž výpovědní doba v trvání tří (3) měsíců počíná běžet prvním dnem kalendářního měsíce následujícího po měsíci, v němž byla druhé Straně doručena písemná výpověď.</w:t>
      </w:r>
      <w:r>
        <w:t xml:space="preserve"> </w:t>
      </w:r>
    </w:p>
    <w:p w14:paraId="02CED22D" w14:textId="5381E18E" w:rsidR="00711891" w:rsidRDefault="00C46080">
      <w:pPr>
        <w:widowControl w:val="0"/>
        <w:numPr>
          <w:ilvl w:val="1"/>
          <w:numId w:val="3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 případě, že dojde k předčasnému ukončení Smlouvy z důvodu dle článku VI. odst. 2, 3 nebo 4 této Smlouvy dojde v průběhu realizace společného zadávání Veřejné zakázky, jsou Strany povinny přistoupit ke zrušení zadávacího říz</w:t>
      </w:r>
      <w:r>
        <w:rPr>
          <w:rFonts w:ascii="Times New Roman" w:eastAsia="Times New Roman" w:hAnsi="Times New Roman" w:cs="Times New Roman"/>
        </w:rPr>
        <w:t>ení postupem dle ZZVZ.</w:t>
      </w:r>
    </w:p>
    <w:p w14:paraId="5361A724" w14:textId="77777777" w:rsidR="00711891" w:rsidRDefault="00C46080">
      <w:pPr>
        <w:widowControl w:val="0"/>
        <w:numPr>
          <w:ilvl w:val="1"/>
          <w:numId w:val="3"/>
        </w:numPr>
        <w:spacing w:before="120" w:after="120" w:line="240" w:lineRule="auto"/>
        <w:ind w:left="567" w:hanging="567"/>
        <w:jc w:val="both"/>
      </w:pPr>
      <w:r>
        <w:rPr>
          <w:rFonts w:ascii="Times New Roman" w:eastAsia="Times New Roman" w:hAnsi="Times New Roman" w:cs="Times New Roman"/>
        </w:rPr>
        <w:t>V případě, že dojde k předčasnému ukončení Smlouvy z důvodu dle článku VI. odst. 3  nebo 4 této Smlouvy, je dále Strana, z důvodu jejíhož porušení Smlouvy nebo její výpovědi je Smlouva předčasně ukončena, povinna nahradit v přiměřené lhůtě stanovené v písemné výzvě druhou Stranou této druhé Straně veškeré náklady, které tato druhá Strana uhradila v souvislosti se společným zadáváním Veřejných zakázek.</w:t>
      </w:r>
    </w:p>
    <w:p w14:paraId="64560305" w14:textId="77777777" w:rsidR="00711891" w:rsidRDefault="00C46080">
      <w:pPr>
        <w:pStyle w:val="Nadpis1"/>
      </w:pPr>
      <w:r>
        <w:t>VII.</w:t>
      </w:r>
      <w:r>
        <w:br/>
        <w:t>Společná a závěrečná ustanovení</w:t>
      </w:r>
    </w:p>
    <w:p w14:paraId="52BEB9B9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 dodržení ZZVZ odpovídají při společném zadávání Strany společně s výjimkou úkonů, které provádí Strana pouze svým jménem a na svůj účet.</w:t>
      </w:r>
    </w:p>
    <w:p w14:paraId="79E7BF0D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Strany sjednávají, že před společným zadáním Veřejných zakázek mohou Strany provést průzkum trhu či předběžnou tržní konzultaci za účasti zástupců obou Stran, nebude-li mezi Stranami </w:t>
      </w:r>
      <w:r>
        <w:rPr>
          <w:rFonts w:ascii="Times New Roman" w:eastAsia="Times New Roman" w:hAnsi="Times New Roman" w:cs="Times New Roman"/>
        </w:rPr>
        <w:lastRenderedPageBreak/>
        <w:t>v konkrétním případě dohodnuto jinak.</w:t>
      </w:r>
    </w:p>
    <w:p w14:paraId="4A99558D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prohlašují, že práva a povinností vyplývající z této Smlouvy se uplatní též na změnu smluv na realizaci společně zadaných Veřejných zakázek, v této souvislosti se přiměřeně použije zejména čl. III odst. 1 Smlouvy.</w:t>
      </w:r>
    </w:p>
    <w:p w14:paraId="7773D790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Změny a doplňky této Smlouvy mohou být provedeny pouze formou písemných, vzestupně číslovaných dodatků k této Smlouvě, které potvrdí zástupci obou Stran.</w:t>
      </w:r>
    </w:p>
    <w:p w14:paraId="3221AB3F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tímto prohlašují, že ve smyslu § 1764 a násl. Občanského zákoníku na sebe berou nebezpečí změny okolností a žádná ze Stran tedy není oprávněná domáhat se po druhé Straně a/nebo soudně obnovení jednání o této Smlouvě z důvodu podstatné změny okolností zakládající hrubý nepoměr v právech a povinnostech Stran.</w:t>
      </w:r>
    </w:p>
    <w:p w14:paraId="50B35425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Bude-li jakékoliv ustanovení této Smlouvy shledáno k tomu příslušným orgánem neplatným, neúčinným nebo nevymahatelným, bude takové ustanovení považováno za vypuštěné ze Smlouvy a ostatní ustanovení této Smlouvy budou nadále trvat, pokud z povahy takového ustanovení nebo z jeho obsahu anebo z okolností, za nichž bylo uzavřeno, nevyplývá, že je nelze oddělit od ostatního obsahu této Smlouvy. Strany v takovém případě uzavřou takové dodatky k této Smlouvě, které umožní dosažení výsledku stejného, a pokud to nen</w:t>
      </w:r>
      <w:r>
        <w:rPr>
          <w:rFonts w:ascii="Times New Roman" w:eastAsia="Times New Roman" w:hAnsi="Times New Roman" w:cs="Times New Roman"/>
        </w:rPr>
        <w:t>í možné, pak co nejbližšího tomu, jakého mělo být dosaženo neplatným, neúčinným nebo nevymahatelným ustanovením.</w:t>
      </w:r>
    </w:p>
    <w:p w14:paraId="0AAFFB7E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souhlasí se zveřejněním Smlouvy v registru smluv v souladu se zákonem č. 340/2015 Sb., o zvláštních podmínkách účinnosti některých smluv, uveřejňování těchto smluv a o registru smluv ve znění pozdějších předpisů (zákon o registru smluv).</w:t>
      </w:r>
    </w:p>
    <w:p w14:paraId="1C4FC168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Tato Smlouva je platná dnem jejího podpisu oprávněnými zástupci obou Stran. Tato Smlouva je účinná dnem jejího zveřejnění v registru smluv v souladu se zákonem o registru smluv. Uveřejnění Smlouvy v registru smluv zajistí PDS. </w:t>
      </w:r>
    </w:p>
    <w:p w14:paraId="3ABB61D6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 případě, že Smlouva nebude podepisována prostřednictvím elektronických podpisů oprávněných zástupců Stran, bude tato Smlouva vyhotovena ve dvou (2) vyhotoveních v českém jazyce, přičemž každá ze Stran obdrží jedno (1) vyhotovení Smlouvy, každé s platností originálu. </w:t>
      </w:r>
    </w:p>
    <w:p w14:paraId="41A52B47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Strany prohlašují, že si Smlouvu před jejím podpisem přečetly, jejímu obsahu porozuměly a s ním souhlasí a na důkaz svojí svobodné, pravé a vážné vůle připojují své podpisy.</w:t>
      </w:r>
    </w:p>
    <w:p w14:paraId="787A2924" w14:textId="77777777" w:rsidR="00711891" w:rsidRDefault="00C46080">
      <w:pPr>
        <w:widowControl w:val="0"/>
        <w:numPr>
          <w:ilvl w:val="1"/>
          <w:numId w:val="4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Následující přílohy Smlouvy tvoří její nedílnou součást: </w:t>
      </w:r>
    </w:p>
    <w:p w14:paraId="01894EEE" w14:textId="77777777" w:rsidR="00711891" w:rsidRDefault="00C46080">
      <w:pPr>
        <w:widowControl w:val="0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Příloha č. 1: Specifikace služeb</w:t>
      </w:r>
    </w:p>
    <w:p w14:paraId="0BA5B5E3" w14:textId="77777777" w:rsidR="00711891" w:rsidRDefault="00C46080">
      <w:pPr>
        <w:widowControl w:val="0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Příloha č. 2: Rozdělení komunikačních agend</w:t>
      </w:r>
    </w:p>
    <w:p w14:paraId="6F3F8C7F" w14:textId="77777777" w:rsidR="00711891" w:rsidRDefault="00711891">
      <w:pPr>
        <w:widowControl w:val="0"/>
        <w:spacing w:before="120" w:after="120" w:line="240" w:lineRule="auto"/>
        <w:ind w:left="567"/>
        <w:jc w:val="both"/>
        <w:rPr>
          <w:rFonts w:ascii="Times New Roman" w:eastAsia="Times New Roman" w:hAnsi="Times New Roman" w:cs="Times New Roman"/>
        </w:rPr>
      </w:pPr>
    </w:p>
    <w:tbl>
      <w:tblPr>
        <w:tblStyle w:val="a1"/>
        <w:tblW w:w="927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22"/>
        <w:gridCol w:w="4655"/>
      </w:tblGrid>
      <w:tr w:rsidR="00711891" w14:paraId="6C6A88BE" w14:textId="77777777">
        <w:trPr>
          <w:trHeight w:val="854"/>
        </w:trPr>
        <w:tc>
          <w:tcPr>
            <w:tcW w:w="4622" w:type="dxa"/>
          </w:tcPr>
          <w:p w14:paraId="73FDD0F8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NFVF</w:t>
            </w:r>
          </w:p>
          <w:p w14:paraId="6B46A0D1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Místo: v Praze</w:t>
            </w:r>
          </w:p>
          <w:p w14:paraId="0F947355" w14:textId="3A56184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Datum: </w:t>
            </w:r>
            <w:r w:rsidR="00A92837">
              <w:rPr>
                <w:rFonts w:ascii="Times New Roman" w:eastAsia="Times New Roman" w:hAnsi="Times New Roman" w:cs="Times New Roman"/>
              </w:rPr>
              <w:t>6.1.2026</w:t>
            </w:r>
          </w:p>
        </w:tc>
        <w:tc>
          <w:tcPr>
            <w:tcW w:w="4655" w:type="dxa"/>
          </w:tcPr>
          <w:p w14:paraId="4D192BAA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za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PDS</w:t>
            </w:r>
          </w:p>
          <w:p w14:paraId="59AD03E7" w14:textId="77777777" w:rsidR="00711891" w:rsidRDefault="00C46080">
            <w:pPr>
              <w:spacing w:before="120" w:after="120" w:line="240" w:lineRule="auto"/>
              <w:ind w:left="3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Místo: v Praze </w:t>
            </w:r>
          </w:p>
          <w:p w14:paraId="5D7BAB61" w14:textId="56051C6E" w:rsidR="00711891" w:rsidRDefault="00C46080">
            <w:pPr>
              <w:spacing w:before="120" w:after="120" w:line="240" w:lineRule="auto"/>
              <w:ind w:left="3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Datum: </w:t>
            </w:r>
            <w:r w:rsidR="00A92837">
              <w:rPr>
                <w:rFonts w:ascii="Times New Roman" w:eastAsia="Times New Roman" w:hAnsi="Times New Roman" w:cs="Times New Roman"/>
              </w:rPr>
              <w:t>6.1.2026</w:t>
            </w:r>
          </w:p>
        </w:tc>
      </w:tr>
      <w:tr w:rsidR="00711891" w14:paraId="29F0D000" w14:textId="77777777">
        <w:trPr>
          <w:trHeight w:val="1207"/>
        </w:trPr>
        <w:tc>
          <w:tcPr>
            <w:tcW w:w="4622" w:type="dxa"/>
          </w:tcPr>
          <w:p w14:paraId="4E0CDF6D" w14:textId="77777777" w:rsidR="00711891" w:rsidRDefault="00711891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E442EB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  <w:p w14:paraId="75E827E8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Petr Dvořák, výkonný ředitel</w:t>
            </w:r>
          </w:p>
        </w:tc>
        <w:tc>
          <w:tcPr>
            <w:tcW w:w="4655" w:type="dxa"/>
          </w:tcPr>
          <w:p w14:paraId="664FD6C1" w14:textId="77777777" w:rsidR="00711891" w:rsidRDefault="00711891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EEA479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  <w:p w14:paraId="21288130" w14:textId="77777777" w:rsidR="00711891" w:rsidRDefault="00C4608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Petr Urbánek, ředitel</w:t>
            </w:r>
          </w:p>
        </w:tc>
      </w:tr>
    </w:tbl>
    <w:p w14:paraId="1668675F" w14:textId="77777777" w:rsidR="00711891" w:rsidRDefault="0071189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sectPr w:rsidR="007118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1417" w:bottom="1276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0B30A" w14:textId="77777777" w:rsidR="00C46080" w:rsidRDefault="00C46080">
      <w:pPr>
        <w:spacing w:after="0" w:line="240" w:lineRule="auto"/>
      </w:pPr>
      <w:r>
        <w:separator/>
      </w:r>
    </w:p>
  </w:endnote>
  <w:endnote w:type="continuationSeparator" w:id="0">
    <w:p w14:paraId="566BD48D" w14:textId="77777777" w:rsidR="00C46080" w:rsidRDefault="00C46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119AB3F-4B12-42CC-BE75-1120A6B7782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039F279-CB8A-4249-92F4-4B027C7A8709}"/>
    <w:embedBold r:id="rId3" w:fontKey="{8AC8CB31-BBD9-4867-B70B-52C32009EE7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3064DCB1-9CFB-455A-927B-5D1F97CFED59}"/>
    <w:embedBold r:id="rId5" w:fontKey="{C1655811-77FA-4DD3-9F6D-FD67C61AC3D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default"/>
    <w:embedRegular r:id="rId6" w:fontKey="{3391147E-2ACE-4F95-B552-822814045E69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7" w:fontKey="{F9363C18-B47F-4728-87EE-1EA943336F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204FE" w14:textId="77777777" w:rsidR="00711891" w:rsidRDefault="00C460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AB0EB2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6666ED3" w14:textId="77777777" w:rsidR="00711891" w:rsidRDefault="007118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58B9" w14:textId="77777777" w:rsidR="00711891" w:rsidRDefault="00C460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B0EB2">
      <w:rPr>
        <w:noProof/>
        <w:color w:val="000000"/>
      </w:rPr>
      <w:t>1</w:t>
    </w:r>
    <w:r>
      <w:rPr>
        <w:color w:val="000000"/>
      </w:rPr>
      <w:fldChar w:fldCharType="end"/>
    </w:r>
  </w:p>
  <w:p w14:paraId="413AB156" w14:textId="77777777" w:rsidR="00711891" w:rsidRDefault="007118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BB4A" w14:textId="77777777" w:rsidR="00C46080" w:rsidRDefault="00C46080">
      <w:pPr>
        <w:spacing w:after="0" w:line="240" w:lineRule="auto"/>
      </w:pPr>
      <w:r>
        <w:separator/>
      </w:r>
    </w:p>
  </w:footnote>
  <w:footnote w:type="continuationSeparator" w:id="0">
    <w:p w14:paraId="61CC751F" w14:textId="77777777" w:rsidR="00C46080" w:rsidRDefault="00C46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602D" w14:textId="77777777" w:rsidR="00711891" w:rsidRDefault="007118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D801" w14:textId="77777777" w:rsidR="00711891" w:rsidRDefault="00C4608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</w:t>
    </w:r>
  </w:p>
  <w:p w14:paraId="19A16B2B" w14:textId="77777777" w:rsidR="00711891" w:rsidRDefault="007118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788"/>
    <w:multiLevelType w:val="multilevel"/>
    <w:tmpl w:val="B6F21AB2"/>
    <w:lvl w:ilvl="0">
      <w:start w:val="1"/>
      <w:numFmt w:val="lowerLetter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00678"/>
    <w:multiLevelType w:val="multilevel"/>
    <w:tmpl w:val="AE7C7F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bullet"/>
      <w:lvlText w:val="●"/>
      <w:lvlJc w:val="left"/>
      <w:pPr>
        <w:ind w:left="108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1080" w:hanging="720"/>
      </w:pPr>
    </w:lvl>
    <w:lvl w:ilvl="4">
      <w:start w:val="1"/>
      <w:numFmt w:val="decimal"/>
      <w:lvlText w:val="%1.%2.●.%4.%5."/>
      <w:lvlJc w:val="left"/>
      <w:pPr>
        <w:ind w:left="1440" w:hanging="1080"/>
      </w:pPr>
    </w:lvl>
    <w:lvl w:ilvl="5">
      <w:start w:val="1"/>
      <w:numFmt w:val="decimal"/>
      <w:lvlText w:val="%1.%2.●.%4.%5.%6."/>
      <w:lvlJc w:val="left"/>
      <w:pPr>
        <w:ind w:left="1440" w:hanging="1080"/>
      </w:pPr>
    </w:lvl>
    <w:lvl w:ilvl="6">
      <w:start w:val="1"/>
      <w:numFmt w:val="decimal"/>
      <w:lvlText w:val="%1.%2.●.%4.%5.%6.%7."/>
      <w:lvlJc w:val="left"/>
      <w:pPr>
        <w:ind w:left="1800" w:hanging="1440"/>
      </w:pPr>
    </w:lvl>
    <w:lvl w:ilvl="7">
      <w:start w:val="1"/>
      <w:numFmt w:val="decimal"/>
      <w:lvlText w:val="%1.%2.●.%4.%5.%6.%7.%8."/>
      <w:lvlJc w:val="left"/>
      <w:pPr>
        <w:ind w:left="1800" w:hanging="1440"/>
      </w:pPr>
    </w:lvl>
    <w:lvl w:ilvl="8">
      <w:start w:val="1"/>
      <w:numFmt w:val="decimal"/>
      <w:lvlText w:val="%1.%2.●.%4.%5.%6.%7.%8.%9."/>
      <w:lvlJc w:val="left"/>
      <w:pPr>
        <w:ind w:left="2160" w:hanging="1800"/>
      </w:pPr>
    </w:lvl>
  </w:abstractNum>
  <w:abstractNum w:abstractNumId="2" w15:restartNumberingAfterBreak="0">
    <w:nsid w:val="20504640"/>
    <w:multiLevelType w:val="multilevel"/>
    <w:tmpl w:val="7842E6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Clanek11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decimal"/>
      <w:pStyle w:val="Claneka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DB6403B"/>
    <w:multiLevelType w:val="multilevel"/>
    <w:tmpl w:val="D052869E"/>
    <w:lvl w:ilvl="0">
      <w:start w:val="1"/>
      <w:numFmt w:val="decimal"/>
      <w:pStyle w:val="Nadpis1-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ext1-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1-2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B91386E"/>
    <w:multiLevelType w:val="multilevel"/>
    <w:tmpl w:val="03A63A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55FB4B41"/>
    <w:multiLevelType w:val="multilevel"/>
    <w:tmpl w:val="8196D2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573D34"/>
    <w:multiLevelType w:val="multilevel"/>
    <w:tmpl w:val="5588BA82"/>
    <w:lvl w:ilvl="0">
      <w:start w:val="1"/>
      <w:numFmt w:val="decimal"/>
      <w:lvlText w:val="(%1)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433D1"/>
    <w:multiLevelType w:val="multilevel"/>
    <w:tmpl w:val="17B4A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bullet"/>
      <w:lvlText w:val="●"/>
      <w:lvlJc w:val="left"/>
      <w:pPr>
        <w:ind w:left="108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1080" w:hanging="720"/>
      </w:pPr>
    </w:lvl>
    <w:lvl w:ilvl="4">
      <w:start w:val="1"/>
      <w:numFmt w:val="decimal"/>
      <w:lvlText w:val="%1.%2.●.%4.%5."/>
      <w:lvlJc w:val="left"/>
      <w:pPr>
        <w:ind w:left="1440" w:hanging="1080"/>
      </w:pPr>
    </w:lvl>
    <w:lvl w:ilvl="5">
      <w:start w:val="1"/>
      <w:numFmt w:val="decimal"/>
      <w:lvlText w:val="%1.%2.●.%4.%5.%6."/>
      <w:lvlJc w:val="left"/>
      <w:pPr>
        <w:ind w:left="1440" w:hanging="1080"/>
      </w:pPr>
    </w:lvl>
    <w:lvl w:ilvl="6">
      <w:start w:val="1"/>
      <w:numFmt w:val="decimal"/>
      <w:lvlText w:val="%1.%2.●.%4.%5.%6.%7."/>
      <w:lvlJc w:val="left"/>
      <w:pPr>
        <w:ind w:left="1800" w:hanging="1440"/>
      </w:pPr>
    </w:lvl>
    <w:lvl w:ilvl="7">
      <w:start w:val="1"/>
      <w:numFmt w:val="decimal"/>
      <w:lvlText w:val="%1.%2.●.%4.%5.%6.%7.%8."/>
      <w:lvlJc w:val="left"/>
      <w:pPr>
        <w:ind w:left="1800" w:hanging="1440"/>
      </w:pPr>
    </w:lvl>
    <w:lvl w:ilvl="8">
      <w:start w:val="1"/>
      <w:numFmt w:val="decimal"/>
      <w:lvlText w:val="%1.%2.●.%4.%5.%6.%7.%8.%9."/>
      <w:lvlJc w:val="left"/>
      <w:pPr>
        <w:ind w:left="2160" w:hanging="1800"/>
      </w:pPr>
    </w:lvl>
  </w:abstractNum>
  <w:abstractNum w:abstractNumId="8" w15:restartNumberingAfterBreak="0">
    <w:nsid w:val="76DA4800"/>
    <w:multiLevelType w:val="multilevel"/>
    <w:tmpl w:val="FA182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7CC32588"/>
    <w:multiLevelType w:val="multilevel"/>
    <w:tmpl w:val="34367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0" w15:restartNumberingAfterBreak="0">
    <w:nsid w:val="7F2D47A4"/>
    <w:multiLevelType w:val="multilevel"/>
    <w:tmpl w:val="3DB6009A"/>
    <w:lvl w:ilvl="0">
      <w:start w:val="1"/>
      <w:numFmt w:val="decimal"/>
      <w:lvlText w:val="(%1)"/>
      <w:lvlJc w:val="left"/>
      <w:pPr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988244">
    <w:abstractNumId w:val="2"/>
  </w:num>
  <w:num w:numId="2" w16cid:durableId="451440459">
    <w:abstractNumId w:val="8"/>
  </w:num>
  <w:num w:numId="3" w16cid:durableId="889222246">
    <w:abstractNumId w:val="9"/>
  </w:num>
  <w:num w:numId="4" w16cid:durableId="501238067">
    <w:abstractNumId w:val="5"/>
  </w:num>
  <w:num w:numId="5" w16cid:durableId="706640632">
    <w:abstractNumId w:val="6"/>
  </w:num>
  <w:num w:numId="6" w16cid:durableId="2007593461">
    <w:abstractNumId w:val="4"/>
  </w:num>
  <w:num w:numId="7" w16cid:durableId="818153702">
    <w:abstractNumId w:val="1"/>
  </w:num>
  <w:num w:numId="8" w16cid:durableId="1569219223">
    <w:abstractNumId w:val="10"/>
  </w:num>
  <w:num w:numId="9" w16cid:durableId="1868981097">
    <w:abstractNumId w:val="7"/>
  </w:num>
  <w:num w:numId="10" w16cid:durableId="1298872595">
    <w:abstractNumId w:val="0"/>
  </w:num>
  <w:num w:numId="11" w16cid:durableId="2050910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891"/>
    <w:rsid w:val="006F7D95"/>
    <w:rsid w:val="00711891"/>
    <w:rsid w:val="00A92837"/>
    <w:rsid w:val="00AB0EB2"/>
    <w:rsid w:val="00C4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F8D0D"/>
  <w15:docId w15:val="{FD19DDC9-43D1-4E57-B569-69B38CB8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before="24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dpis1Char">
    <w:name w:val="Nadpis 1 Char"/>
    <w:aliases w:val="_Nadpis 1 Char,Hoofdstukkop Char,Section Heading Char,H1 Char,h1 Char,Základní kapitola Char,Článek Char,ASAPHeading 1 Char,Kapitola Char,section Char,1 Char,Nadpis 1T Char,V_Head1 Char,Záhlaví 1 Char,Char Char Char,RI Char,Clau Char"/>
    <w:basedOn w:val="Standardnpsmoodstavce"/>
    <w:rsid w:val="00721D8D"/>
    <w:rPr>
      <w:rFonts w:ascii="Times New Roman" w:eastAsia="Times New Roman" w:hAnsi="Times New Roman" w:cs="Arial"/>
      <w:b/>
      <w:bCs/>
      <w:kern w:val="32"/>
      <w:szCs w:val="32"/>
    </w:rPr>
  </w:style>
  <w:style w:type="paragraph" w:customStyle="1" w:styleId="Clanek11">
    <w:name w:val="Clanek 1.1"/>
    <w:link w:val="Clanek11Char"/>
    <w:qFormat/>
    <w:rsid w:val="00B46F26"/>
    <w:pPr>
      <w:widowControl w:val="0"/>
      <w:numPr>
        <w:ilvl w:val="1"/>
        <w:numId w:val="1"/>
      </w:numPr>
      <w:tabs>
        <w:tab w:val="num" w:pos="360"/>
      </w:tabs>
      <w:spacing w:before="120" w:after="120" w:line="240" w:lineRule="auto"/>
      <w:ind w:left="0" w:firstLine="0"/>
      <w:jc w:val="both"/>
    </w:pPr>
    <w:rPr>
      <w:rFonts w:ascii="Times New Roman" w:eastAsia="Times New Roman" w:hAnsi="Times New Roman" w:cs="Arial"/>
      <w:iCs/>
      <w:szCs w:val="28"/>
    </w:rPr>
  </w:style>
  <w:style w:type="paragraph" w:customStyle="1" w:styleId="Claneka">
    <w:name w:val="Clanek (a)"/>
    <w:qFormat/>
    <w:rsid w:val="00B46F26"/>
    <w:pPr>
      <w:keepLines/>
      <w:widowControl w:val="0"/>
      <w:numPr>
        <w:ilvl w:val="2"/>
        <w:numId w:val="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customStyle="1" w:styleId="Text11">
    <w:name w:val="Text 1.1"/>
    <w:link w:val="Text11Char"/>
    <w:qFormat/>
    <w:rsid w:val="00B46F26"/>
    <w:pPr>
      <w:keepNext/>
      <w:spacing w:before="120" w:after="120" w:line="240" w:lineRule="auto"/>
      <w:ind w:left="561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Smluvstranya">
    <w:name w:val="Smluv.strany_&quot;a&quot;"/>
    <w:basedOn w:val="Text11"/>
    <w:semiHidden/>
    <w:rsid w:val="00B46F26"/>
    <w:pPr>
      <w:spacing w:before="360" w:after="360"/>
      <w:ind w:left="567"/>
      <w:jc w:val="left"/>
    </w:pPr>
  </w:style>
  <w:style w:type="paragraph" w:styleId="Odstavecseseznamem">
    <w:name w:val="List Paragraph"/>
    <w:aliases w:val="Odrážky,Heading Bullet,Odstavec,Bullet Number,lp1,lp11,List Paragraph11,Bullet 1,Use Case List Paragraph,List Paragraph1,Odstavec se seznamem a odrážkou,1 úroveň Odstavec se seznamem,Základní styl odstavce,A-Odrážky1,Odstavec_muj"/>
    <w:link w:val="OdstavecseseznamemChar"/>
    <w:uiPriority w:val="1"/>
    <w:qFormat/>
    <w:rsid w:val="00B46F26"/>
    <w:pPr>
      <w:spacing w:before="120" w:after="12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</w:rPr>
  </w:style>
  <w:style w:type="table" w:styleId="Mkatabulky">
    <w:name w:val="Table Grid"/>
    <w:basedOn w:val="Normlntabulka"/>
    <w:rsid w:val="00B46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11Char">
    <w:name w:val="Text 1.1 Char"/>
    <w:link w:val="Text11"/>
    <w:rsid w:val="00B46F26"/>
    <w:rPr>
      <w:rFonts w:ascii="Times New Roman" w:eastAsia="Times New Roman" w:hAnsi="Times New Roman" w:cs="Times New Roman"/>
      <w:szCs w:val="20"/>
    </w:rPr>
  </w:style>
  <w:style w:type="character" w:customStyle="1" w:styleId="Nadpis2Char">
    <w:name w:val="Nadpis 2 Char"/>
    <w:basedOn w:val="Standardnpsmoodstavce"/>
    <w:uiPriority w:val="9"/>
    <w:semiHidden/>
    <w:rsid w:val="00B46F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321958"/>
    <w:rPr>
      <w:sz w:val="16"/>
      <w:szCs w:val="16"/>
    </w:rPr>
  </w:style>
  <w:style w:type="paragraph" w:styleId="Textkomente">
    <w:name w:val="annotation text"/>
    <w:link w:val="TextkomenteChar"/>
    <w:uiPriority w:val="99"/>
    <w:unhideWhenUsed/>
    <w:rsid w:val="0032195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195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19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1958"/>
    <w:rPr>
      <w:b/>
      <w:bCs/>
      <w:sz w:val="20"/>
      <w:szCs w:val="20"/>
    </w:rPr>
  </w:style>
  <w:style w:type="paragraph" w:styleId="Textbubliny">
    <w:name w:val="Balloon Text"/>
    <w:link w:val="TextbublinyChar"/>
    <w:uiPriority w:val="99"/>
    <w:semiHidden/>
    <w:unhideWhenUsed/>
    <w:rsid w:val="00321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1958"/>
    <w:rPr>
      <w:rFonts w:ascii="Tahoma" w:hAnsi="Tahoma" w:cs="Tahoma"/>
      <w:sz w:val="16"/>
      <w:szCs w:val="16"/>
    </w:rPr>
  </w:style>
  <w:style w:type="character" w:styleId="Hypertextovodkaz">
    <w:name w:val="Hyperlink"/>
    <w:rsid w:val="00321958"/>
    <w:rPr>
      <w:color w:val="0000FF"/>
      <w:u w:val="single"/>
    </w:rPr>
  </w:style>
  <w:style w:type="paragraph" w:styleId="Zhlav">
    <w:name w:val="header"/>
    <w:link w:val="ZhlavChar"/>
    <w:uiPriority w:val="99"/>
    <w:unhideWhenUsed/>
    <w:rsid w:val="00321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1958"/>
  </w:style>
  <w:style w:type="paragraph" w:styleId="Zpat">
    <w:name w:val="footer"/>
    <w:link w:val="ZpatChar"/>
    <w:uiPriority w:val="99"/>
    <w:unhideWhenUsed/>
    <w:rsid w:val="00321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1958"/>
  </w:style>
  <w:style w:type="paragraph" w:styleId="Revize">
    <w:name w:val="Revision"/>
    <w:hidden/>
    <w:uiPriority w:val="99"/>
    <w:semiHidden/>
    <w:rsid w:val="0075779D"/>
    <w:pPr>
      <w:spacing w:after="0" w:line="240" w:lineRule="auto"/>
    </w:pPr>
  </w:style>
  <w:style w:type="paragraph" w:customStyle="1" w:styleId="Texta">
    <w:name w:val="Text (a)"/>
    <w:link w:val="TextaChar"/>
    <w:qFormat/>
    <w:rsid w:val="00712FB4"/>
    <w:pPr>
      <w:keepNext/>
      <w:spacing w:before="120" w:after="120" w:line="240" w:lineRule="auto"/>
      <w:ind w:left="992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xtaChar">
    <w:name w:val="Text (a) Char"/>
    <w:basedOn w:val="Standardnpsmoodstavce"/>
    <w:link w:val="Texta"/>
    <w:rsid w:val="00712FB4"/>
    <w:rPr>
      <w:rFonts w:ascii="Times New Roman" w:eastAsia="Times New Roman" w:hAnsi="Times New Roman" w:cs="Times New Roman"/>
      <w:szCs w:val="20"/>
    </w:rPr>
  </w:style>
  <w:style w:type="paragraph" w:customStyle="1" w:styleId="Claneki">
    <w:name w:val="Clanek (i)"/>
    <w:qFormat/>
    <w:rsid w:val="00431BFF"/>
    <w:pPr>
      <w:keepNext/>
      <w:tabs>
        <w:tab w:val="num" w:pos="1418"/>
      </w:tabs>
      <w:spacing w:before="120" w:after="120" w:line="240" w:lineRule="auto"/>
      <w:ind w:left="1418" w:hanging="426"/>
      <w:jc w:val="both"/>
    </w:pPr>
    <w:rPr>
      <w:rFonts w:ascii="Times New Roman" w:eastAsia="Times New Roman" w:hAnsi="Times New Roman" w:cs="Times New Roman"/>
      <w:color w:val="000000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DC5F01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Odrážky Char,Heading Bullet Char,Odstavec Char,Bullet Number Char,lp1 Char,lp11 Char,List Paragraph11 Char,Bullet 1 Char,Use Case List Paragraph Char,List Paragraph1 Char,Odstavec se seznamem a odrážkou Char,A-Odrážky1 Char"/>
    <w:link w:val="Odstavecseseznamem"/>
    <w:uiPriority w:val="34"/>
    <w:qFormat/>
    <w:locked/>
    <w:rsid w:val="00284578"/>
    <w:rPr>
      <w:rFonts w:ascii="Times New Roman" w:eastAsia="Times New Roman" w:hAnsi="Times New Roman" w:cs="Times New Roman"/>
      <w:szCs w:val="24"/>
    </w:rPr>
  </w:style>
  <w:style w:type="character" w:customStyle="1" w:styleId="Clanek11Char">
    <w:name w:val="Clanek 1.1 Char"/>
    <w:basedOn w:val="Nadpis2Char"/>
    <w:link w:val="Clanek11"/>
    <w:qFormat/>
    <w:rsid w:val="00F873D0"/>
    <w:rPr>
      <w:rFonts w:ascii="Times New Roman" w:eastAsia="Times New Roman" w:hAnsi="Times New Roman" w:cs="Arial"/>
      <w:b w:val="0"/>
      <w:bCs/>
      <w:iCs/>
      <w:color w:val="4F81BD" w:themeColor="accent1"/>
      <w:sz w:val="26"/>
      <w:szCs w:val="28"/>
    </w:rPr>
  </w:style>
  <w:style w:type="paragraph" w:customStyle="1" w:styleId="Text1-2">
    <w:name w:val="_Text_1-2"/>
    <w:basedOn w:val="Text1-1"/>
    <w:qFormat/>
    <w:rsid w:val="00E507F5"/>
    <w:pPr>
      <w:numPr>
        <w:ilvl w:val="2"/>
      </w:numPr>
      <w:tabs>
        <w:tab w:val="num" w:pos="360"/>
      </w:tabs>
      <w:ind w:hanging="180"/>
    </w:pPr>
  </w:style>
  <w:style w:type="paragraph" w:customStyle="1" w:styleId="Text1-1">
    <w:name w:val="_Text_1-1"/>
    <w:link w:val="Text1-1Char"/>
    <w:rsid w:val="00E507F5"/>
    <w:pPr>
      <w:numPr>
        <w:ilvl w:val="1"/>
        <w:numId w:val="11"/>
      </w:numPr>
      <w:spacing w:after="120" w:line="264" w:lineRule="auto"/>
      <w:jc w:val="both"/>
    </w:pPr>
    <w:rPr>
      <w:rFonts w:eastAsia="MS Mincho"/>
      <w:sz w:val="18"/>
      <w:szCs w:val="18"/>
    </w:rPr>
  </w:style>
  <w:style w:type="paragraph" w:customStyle="1" w:styleId="Nadpis1-1">
    <w:name w:val="_Nadpis_1-1"/>
    <w:basedOn w:val="Odstavecseseznamem"/>
    <w:next w:val="Text1-1"/>
    <w:qFormat/>
    <w:rsid w:val="00E507F5"/>
    <w:pPr>
      <w:keepNext/>
      <w:numPr>
        <w:numId w:val="11"/>
      </w:numPr>
      <w:spacing w:before="240" w:line="264" w:lineRule="auto"/>
      <w:jc w:val="left"/>
      <w:outlineLvl w:val="0"/>
    </w:pPr>
    <w:rPr>
      <w:rFonts w:asciiTheme="majorHAnsi" w:eastAsia="MS Mincho" w:hAnsiTheme="majorHAnsi" w:cstheme="minorBidi"/>
      <w:b/>
      <w:caps/>
      <w:szCs w:val="18"/>
    </w:rPr>
  </w:style>
  <w:style w:type="character" w:customStyle="1" w:styleId="Text1-1Char">
    <w:name w:val="_Text_1-1 Char"/>
    <w:basedOn w:val="Standardnpsmoodstavce"/>
    <w:link w:val="Text1-1"/>
    <w:rsid w:val="00E507F5"/>
    <w:rPr>
      <w:rFonts w:eastAsia="MS Mincho"/>
      <w:sz w:val="18"/>
      <w:szCs w:val="1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xZ4JFcBw6u3Bvl+2V5b7AeTmMQ==">CgMxLjAyDmguczlyMDJqNHhpZWF0Mg5oLnZyZzUzbHBiOXl3MjgAciExdFBLR3RTYmptSFdaTWIxWGV1SlRSUFVhdC1lWl9YLUQ=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2077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HHP</dc:creator>
  <cp:lastModifiedBy>Martina Treščáková</cp:lastModifiedBy>
  <cp:revision>3</cp:revision>
  <dcterms:created xsi:type="dcterms:W3CDTF">2026-01-12T10:00:00Z</dcterms:created>
  <dcterms:modified xsi:type="dcterms:W3CDTF">2026-01-12T10:13:00Z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2025-10-30T17:27:04Z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ff32667e-23ba-4ad5-b957-ced558379a92</vt:lpwstr>
  </property>
  <property fmtid="{D5CDD505-2E9C-101B-9397-08002B2CF9AE}" pid="8" name="MSIP_Label_f15a8442-68f3-4087-8f05-d564bed44e92_ContentBits">
    <vt:lpwstr>0</vt:lpwstr>
  </property>
  <property fmtid="{D5CDD505-2E9C-101B-9397-08002B2CF9AE}" pid="9" name="MSIP_Label_f15a8442-68f3-4087-8f05-d564bed44e92_Tag">
    <vt:lpwstr>10, 3, 0, 1</vt:lpwstr>
  </property>
</Properties>
</file>