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EE3F" w14:textId="77777777" w:rsidR="003F7146" w:rsidRDefault="00F46B2C">
      <w:pPr>
        <w:pStyle w:val="Heading110"/>
        <w:framePr w:wrap="none" w:vAnchor="page" w:hAnchor="page" w:x="1283" w:y="1813"/>
        <w:shd w:val="clear" w:color="auto" w:fill="auto"/>
        <w:spacing w:after="0"/>
        <w:ind w:left="740"/>
      </w:pPr>
      <w:bookmarkStart w:id="0" w:name="bookmark0"/>
      <w:r>
        <w:t>DODATEK Č. 1 KE KUPNÍ SMLOUVĚ Č. 2023/086 ZE DNE 31.10.2023</w:t>
      </w:r>
      <w:bookmarkEnd w:id="0"/>
    </w:p>
    <w:p w14:paraId="6A8AEE40" w14:textId="17A28506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spacing w:before="0"/>
        <w:ind w:right="20" w:firstLine="0"/>
      </w:pPr>
      <w:r>
        <w:t>uzavřený ve smyslu § 2079 a násl. zákona č. 80/2012 Sb., občanský zákoník (dále jen „občanský</w:t>
      </w:r>
      <w:r>
        <w:br/>
        <w:t>zákoník") mezi níže uvedenými smluvními stranami (dále jen „dodatek“), kterými jsou:</w:t>
      </w:r>
    </w:p>
    <w:p w14:paraId="6A8AEE41" w14:textId="1C959D12" w:rsidR="003F7146" w:rsidRDefault="00F46B2C">
      <w:pPr>
        <w:pStyle w:val="Heading210"/>
        <w:framePr w:w="9432" w:h="7227" w:hRule="exact" w:wrap="none" w:vAnchor="page" w:hAnchor="page" w:x="1283" w:y="2410"/>
        <w:shd w:val="clear" w:color="auto" w:fill="auto"/>
        <w:spacing w:before="0"/>
      </w:pPr>
      <w:bookmarkStart w:id="1" w:name="bookmark1"/>
      <w:r>
        <w:t xml:space="preserve">Hudební divadlo v Karlíně </w:t>
      </w:r>
      <w:r>
        <w:rPr>
          <w:rStyle w:val="Heading21NotBold"/>
        </w:rPr>
        <w:t xml:space="preserve">(též jen </w:t>
      </w:r>
      <w:r w:rsidRPr="00F46B2C">
        <w:rPr>
          <w:b w:val="0"/>
        </w:rPr>
        <w:t>„</w:t>
      </w:r>
      <w:r>
        <w:t>HDK</w:t>
      </w:r>
      <w:r w:rsidRPr="00F46B2C">
        <w:rPr>
          <w:b w:val="0"/>
        </w:rPr>
        <w:t>”)</w:t>
      </w:r>
      <w:bookmarkEnd w:id="1"/>
    </w:p>
    <w:p w14:paraId="6A8AEE42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tabs>
          <w:tab w:val="left" w:pos="1408"/>
        </w:tabs>
        <w:spacing w:before="0" w:after="0"/>
        <w:ind w:right="3920" w:firstLine="0"/>
        <w:jc w:val="left"/>
      </w:pPr>
      <w:r>
        <w:t>příspěvková organizace zřízená hlavním městem Prahou se sídlem:</w:t>
      </w:r>
      <w:r>
        <w:tab/>
        <w:t>Křižíkova 10, 186 00 Praha 8 - Karlín</w:t>
      </w:r>
    </w:p>
    <w:p w14:paraId="6A8AEE43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tabs>
          <w:tab w:val="left" w:pos="1408"/>
        </w:tabs>
        <w:spacing w:before="0" w:after="0"/>
        <w:ind w:firstLine="0"/>
        <w:jc w:val="both"/>
      </w:pPr>
      <w:r>
        <w:t>zastoupené:</w:t>
      </w:r>
      <w:r>
        <w:tab/>
        <w:t xml:space="preserve">Bc. Egonem </w:t>
      </w:r>
      <w:proofErr w:type="gramStart"/>
      <w:r>
        <w:t>Kulhánkem - ředitelem</w:t>
      </w:r>
      <w:proofErr w:type="gramEnd"/>
      <w:r>
        <w:t xml:space="preserve"> HDK</w:t>
      </w:r>
    </w:p>
    <w:p w14:paraId="6A8AEE44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tabs>
          <w:tab w:val="left" w:pos="1408"/>
        </w:tabs>
        <w:spacing w:before="0" w:after="0"/>
        <w:ind w:firstLine="0"/>
        <w:jc w:val="both"/>
      </w:pPr>
      <w:r>
        <w:t>IČ:</w:t>
      </w:r>
      <w:r>
        <w:tab/>
        <w:t>00064335</w:t>
      </w:r>
    </w:p>
    <w:p w14:paraId="6A8AEE45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tabs>
          <w:tab w:val="left" w:pos="1408"/>
        </w:tabs>
        <w:spacing w:before="0" w:after="0"/>
        <w:ind w:firstLine="0"/>
        <w:jc w:val="both"/>
      </w:pPr>
      <w:r>
        <w:t>DIČ:</w:t>
      </w:r>
      <w:r>
        <w:tab/>
        <w:t>CZ0006433</w:t>
      </w:r>
    </w:p>
    <w:p w14:paraId="6A8AEE46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spacing w:before="0" w:after="0"/>
        <w:ind w:firstLine="0"/>
        <w:jc w:val="both"/>
      </w:pPr>
      <w:r>
        <w:t>Osoba oprávněná jednat v záležitostech tohoto dodatku:</w:t>
      </w:r>
    </w:p>
    <w:p w14:paraId="5859AAF4" w14:textId="77777777" w:rsidR="009A6465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spacing w:before="0" w:after="286"/>
        <w:ind w:right="2700" w:firstLine="0"/>
        <w:jc w:val="left"/>
      </w:pPr>
      <w:r>
        <w:t xml:space="preserve">Martin </w:t>
      </w:r>
      <w:proofErr w:type="gramStart"/>
      <w:r>
        <w:t>Poupě - technický</w:t>
      </w:r>
      <w:proofErr w:type="gramEnd"/>
      <w:r>
        <w:t xml:space="preserve"> ředitel HDK</w:t>
      </w:r>
    </w:p>
    <w:p w14:paraId="6A8AEE47" w14:textId="67483658" w:rsidR="003F7146" w:rsidRPr="00F46B2C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spacing w:before="0" w:after="286"/>
        <w:ind w:right="2700" w:firstLine="0"/>
        <w:jc w:val="left"/>
        <w:rPr>
          <w:b/>
        </w:rPr>
      </w:pPr>
      <w:r w:rsidRPr="009A6465">
        <w:rPr>
          <w:lang w:eastAsia="en-US" w:bidi="en-US"/>
        </w:rPr>
        <w:t xml:space="preserve"> </w:t>
      </w:r>
      <w:r>
        <w:t xml:space="preserve">na straně jedné (dále jen </w:t>
      </w:r>
      <w:r w:rsidRPr="00F46B2C">
        <w:rPr>
          <w:rStyle w:val="Bodytext2Bold"/>
          <w:b w:val="0"/>
        </w:rPr>
        <w:t>„</w:t>
      </w:r>
      <w:r>
        <w:rPr>
          <w:rStyle w:val="Bodytext2Bold"/>
        </w:rPr>
        <w:t>kupující</w:t>
      </w:r>
      <w:r w:rsidRPr="00F46B2C">
        <w:rPr>
          <w:rStyle w:val="Bodytext2Bold"/>
          <w:b w:val="0"/>
        </w:rPr>
        <w:t>")</w:t>
      </w:r>
    </w:p>
    <w:p w14:paraId="6A8AEE48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spacing w:before="0" w:after="270" w:line="266" w:lineRule="exact"/>
        <w:ind w:firstLine="0"/>
        <w:jc w:val="both"/>
      </w:pPr>
      <w:r>
        <w:t>a</w:t>
      </w:r>
    </w:p>
    <w:p w14:paraId="6A8AEE49" w14:textId="77777777" w:rsidR="003F7146" w:rsidRDefault="00F46B2C">
      <w:pPr>
        <w:pStyle w:val="Heading210"/>
        <w:framePr w:w="9432" w:h="7227" w:hRule="exact" w:wrap="none" w:vAnchor="page" w:hAnchor="page" w:x="1283" w:y="2410"/>
        <w:shd w:val="clear" w:color="auto" w:fill="auto"/>
        <w:spacing w:before="0" w:line="278" w:lineRule="exact"/>
      </w:pPr>
      <w:bookmarkStart w:id="2" w:name="bookmark2"/>
      <w:r>
        <w:t>AVT Group a.s.</w:t>
      </w:r>
      <w:bookmarkEnd w:id="2"/>
    </w:p>
    <w:p w14:paraId="6A8AEE4A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tabs>
          <w:tab w:val="left" w:pos="1408"/>
        </w:tabs>
        <w:spacing w:before="0" w:after="0" w:line="278" w:lineRule="exact"/>
        <w:ind w:firstLine="0"/>
        <w:jc w:val="both"/>
      </w:pPr>
      <w:r>
        <w:t>se sídlem:</w:t>
      </w:r>
      <w:r>
        <w:tab/>
        <w:t>V lomech 2376/</w:t>
      </w:r>
      <w:proofErr w:type="gramStart"/>
      <w:r>
        <w:t>10a</w:t>
      </w:r>
      <w:proofErr w:type="gramEnd"/>
      <w:r>
        <w:t>, 149 00 Praha 4</w:t>
      </w:r>
    </w:p>
    <w:p w14:paraId="6A8AEE4B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tabs>
          <w:tab w:val="left" w:pos="1408"/>
        </w:tabs>
        <w:spacing w:before="0" w:after="0" w:line="278" w:lineRule="exact"/>
        <w:ind w:firstLine="0"/>
        <w:jc w:val="both"/>
      </w:pPr>
      <w:r>
        <w:t>zastoupena:</w:t>
      </w:r>
      <w:r>
        <w:tab/>
        <w:t>Ing. Petrem Vlčkem, jediným členem představenstva</w:t>
      </w:r>
    </w:p>
    <w:p w14:paraId="6A8AEE4C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tabs>
          <w:tab w:val="left" w:pos="1408"/>
        </w:tabs>
        <w:spacing w:before="0" w:after="0" w:line="278" w:lineRule="exact"/>
        <w:ind w:firstLine="0"/>
        <w:jc w:val="both"/>
      </w:pPr>
      <w:r>
        <w:t>IČO:</w:t>
      </w:r>
      <w:r>
        <w:tab/>
        <w:t>01691988</w:t>
      </w:r>
    </w:p>
    <w:p w14:paraId="6A8AEE4D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tabs>
          <w:tab w:val="left" w:pos="1408"/>
        </w:tabs>
        <w:spacing w:before="0" w:after="0" w:line="278" w:lineRule="exact"/>
        <w:ind w:firstLine="0"/>
        <w:jc w:val="both"/>
      </w:pPr>
      <w:r>
        <w:t>DIČ:</w:t>
      </w:r>
      <w:r>
        <w:tab/>
        <w:t>CZ01691988</w:t>
      </w:r>
    </w:p>
    <w:p w14:paraId="6A8AEE4E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spacing w:before="0" w:after="0" w:line="278" w:lineRule="exact"/>
        <w:ind w:right="1460" w:firstLine="0"/>
        <w:jc w:val="left"/>
      </w:pPr>
      <w:r>
        <w:t xml:space="preserve">zapsána v obchodním rejstříku vedeném Městským soudem v Praze </w:t>
      </w:r>
      <w:proofErr w:type="spellStart"/>
      <w:r>
        <w:t>sp.zn</w:t>
      </w:r>
      <w:proofErr w:type="spellEnd"/>
      <w:r>
        <w:t>. B19128 osoby oprávněné jednat v záležitostech tohoto dodatku:</w:t>
      </w:r>
    </w:p>
    <w:p w14:paraId="6A8AEE4F" w14:textId="77777777" w:rsidR="003F7146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spacing w:before="0" w:after="0" w:line="278" w:lineRule="exact"/>
        <w:ind w:firstLine="0"/>
        <w:jc w:val="both"/>
      </w:pPr>
      <w:r>
        <w:t>Ing. Martin Vondrášek,</w:t>
      </w:r>
    </w:p>
    <w:p w14:paraId="6A8AEE50" w14:textId="77777777" w:rsidR="003F7146" w:rsidRPr="00F46B2C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spacing w:before="0" w:after="290" w:line="278" w:lineRule="exact"/>
        <w:ind w:firstLine="0"/>
        <w:jc w:val="both"/>
        <w:rPr>
          <w:b/>
        </w:rPr>
      </w:pPr>
      <w:r>
        <w:t xml:space="preserve">na straně druhé (dále jen </w:t>
      </w:r>
      <w:r w:rsidRPr="00F46B2C">
        <w:rPr>
          <w:rStyle w:val="Bodytext2Bold"/>
          <w:b w:val="0"/>
        </w:rPr>
        <w:t>„</w:t>
      </w:r>
      <w:r>
        <w:rPr>
          <w:rStyle w:val="Bodytext2Bold"/>
        </w:rPr>
        <w:t>prodávající</w:t>
      </w:r>
      <w:r w:rsidRPr="00F46B2C">
        <w:rPr>
          <w:rStyle w:val="Bodytext2Bold"/>
          <w:b w:val="0"/>
        </w:rPr>
        <w:t>")</w:t>
      </w:r>
    </w:p>
    <w:p w14:paraId="6A8AEE51" w14:textId="65DBF1C5" w:rsidR="003F7146" w:rsidRPr="00F46B2C" w:rsidRDefault="00F46B2C">
      <w:pPr>
        <w:pStyle w:val="Bodytext20"/>
        <w:framePr w:w="9432" w:h="7227" w:hRule="exact" w:wrap="none" w:vAnchor="page" w:hAnchor="page" w:x="1283" w:y="2410"/>
        <w:shd w:val="clear" w:color="auto" w:fill="auto"/>
        <w:spacing w:before="0" w:after="0" w:line="266" w:lineRule="exact"/>
        <w:ind w:firstLine="0"/>
        <w:jc w:val="both"/>
        <w:rPr>
          <w:b/>
        </w:rPr>
      </w:pPr>
      <w:r>
        <w:t xml:space="preserve">Kupující a prodávající dále též označováni společně jako </w:t>
      </w:r>
      <w:r w:rsidRPr="00F46B2C">
        <w:rPr>
          <w:rStyle w:val="Bodytext2Bold"/>
          <w:b w:val="0"/>
        </w:rPr>
        <w:t>„</w:t>
      </w:r>
      <w:r>
        <w:rPr>
          <w:rStyle w:val="Bodytext2Bold"/>
        </w:rPr>
        <w:t>smluvní strany</w:t>
      </w:r>
      <w:r w:rsidRPr="00F46B2C">
        <w:rPr>
          <w:rStyle w:val="Bodytext2Bold"/>
          <w:b w:val="0"/>
        </w:rPr>
        <w:t>".</w:t>
      </w:r>
    </w:p>
    <w:p w14:paraId="6A8AEE52" w14:textId="77777777" w:rsidR="003F7146" w:rsidRDefault="00F46B2C" w:rsidP="00F46B2C">
      <w:pPr>
        <w:pStyle w:val="Heading210"/>
        <w:framePr w:w="9432" w:h="5281" w:hRule="exact" w:wrap="none" w:vAnchor="page" w:hAnchor="page" w:x="1283" w:y="10129"/>
        <w:shd w:val="clear" w:color="auto" w:fill="auto"/>
        <w:spacing w:before="0" w:after="274" w:line="266" w:lineRule="exact"/>
        <w:ind w:right="20"/>
        <w:jc w:val="center"/>
      </w:pPr>
      <w:bookmarkStart w:id="3" w:name="bookmark3"/>
      <w:r>
        <w:t>PREAMBULE</w:t>
      </w:r>
      <w:bookmarkEnd w:id="3"/>
    </w:p>
    <w:p w14:paraId="6A8AEE53" w14:textId="77777777" w:rsidR="003F7146" w:rsidRDefault="00F46B2C" w:rsidP="00F46B2C">
      <w:pPr>
        <w:pStyle w:val="Bodytext20"/>
        <w:framePr w:w="9432" w:h="5281" w:hRule="exact" w:wrap="none" w:vAnchor="page" w:hAnchor="page" w:x="1283" w:y="10129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/>
        <w:ind w:left="740"/>
        <w:jc w:val="both"/>
      </w:pPr>
      <w:r>
        <w:t>Smluvní strany uzavřely dne 31.10.2023 Kupní smlouvu č. 2023/086 (dále jen „Smlouva"), jejímž předmětem byla dodávka a instalace ozvučení HDK a související služby.</w:t>
      </w:r>
    </w:p>
    <w:p w14:paraId="6A8AEE54" w14:textId="77777777" w:rsidR="003F7146" w:rsidRDefault="00F46B2C" w:rsidP="00F46B2C">
      <w:pPr>
        <w:pStyle w:val="Bodytext20"/>
        <w:framePr w:w="9432" w:h="5281" w:hRule="exact" w:wrap="none" w:vAnchor="page" w:hAnchor="page" w:x="1283" w:y="10129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/>
        <w:ind w:left="740"/>
        <w:jc w:val="both"/>
      </w:pPr>
      <w:r>
        <w:t xml:space="preserve">Prodávající dodal kupujícímu nový </w:t>
      </w:r>
      <w:proofErr w:type="spellStart"/>
      <w:r>
        <w:t>imerzivní</w:t>
      </w:r>
      <w:proofErr w:type="spellEnd"/>
      <w:r>
        <w:t xml:space="preserve"> </w:t>
      </w:r>
      <w:proofErr w:type="spellStart"/>
      <w:r w:rsidRPr="009A6465">
        <w:rPr>
          <w:lang w:eastAsia="en-US" w:bidi="en-US"/>
        </w:rPr>
        <w:t>surround</w:t>
      </w:r>
      <w:proofErr w:type="spellEnd"/>
      <w:r w:rsidRPr="009A6465">
        <w:rPr>
          <w:lang w:eastAsia="en-US" w:bidi="en-US"/>
        </w:rPr>
        <w:t xml:space="preserve"> </w:t>
      </w:r>
      <w:r>
        <w:t>systém ozvučení Hudebního divadla v Karlině. Součástí dodávky byly i servisní služby a technická pomoc dle čl. IV.4.III. Smlouvy.</w:t>
      </w:r>
    </w:p>
    <w:p w14:paraId="6A8AEE55" w14:textId="77777777" w:rsidR="003F7146" w:rsidRDefault="00F46B2C" w:rsidP="00F46B2C">
      <w:pPr>
        <w:pStyle w:val="Bodytext20"/>
        <w:framePr w:w="9432" w:h="5281" w:hRule="exact" w:wrap="none" w:vAnchor="page" w:hAnchor="page" w:x="1283" w:y="10129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/>
        <w:ind w:left="740"/>
        <w:jc w:val="both"/>
      </w:pPr>
      <w:r>
        <w:t xml:space="preserve">V průběhu poskytování služeb technické pomoci identifikovaly smluvní strany možnosti zvýšení kvality </w:t>
      </w:r>
      <w:proofErr w:type="spellStart"/>
      <w:r>
        <w:t>imerzivního</w:t>
      </w:r>
      <w:proofErr w:type="spellEnd"/>
      <w:r>
        <w:t xml:space="preserve"> ozvučení v části hlediště.</w:t>
      </w:r>
    </w:p>
    <w:p w14:paraId="6A8AEE56" w14:textId="77777777" w:rsidR="003F7146" w:rsidRDefault="00F46B2C" w:rsidP="00F46B2C">
      <w:pPr>
        <w:pStyle w:val="Bodytext20"/>
        <w:framePr w:w="9432" w:h="5281" w:hRule="exact" w:wrap="none" w:vAnchor="page" w:hAnchor="page" w:x="1283" w:y="10129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/>
        <w:ind w:left="740"/>
        <w:jc w:val="both"/>
      </w:pPr>
      <w:r>
        <w:t>Smluvní strany se proto dohodly na uzavření tohoto dodatku ke Smlouvě (dále jen</w:t>
      </w:r>
    </w:p>
    <w:p w14:paraId="6A8AEE57" w14:textId="41D6F5B2" w:rsidR="003F7146" w:rsidRDefault="00F46B2C" w:rsidP="00F46B2C">
      <w:pPr>
        <w:pStyle w:val="Bodytext30"/>
        <w:framePr w:w="9432" w:h="5281" w:hRule="exact" w:wrap="none" w:vAnchor="page" w:hAnchor="page" w:x="1283" w:y="10129"/>
        <w:shd w:val="clear" w:color="auto" w:fill="auto"/>
        <w:spacing w:after="546"/>
        <w:ind w:left="740"/>
      </w:pPr>
      <w:r w:rsidRPr="00F46B2C">
        <w:rPr>
          <w:b w:val="0"/>
        </w:rPr>
        <w:t>„</w:t>
      </w:r>
      <w:r>
        <w:t>Dodatek</w:t>
      </w:r>
      <w:r w:rsidRPr="00F46B2C">
        <w:rPr>
          <w:b w:val="0"/>
        </w:rPr>
        <w:t>")</w:t>
      </w:r>
      <w:r>
        <w:rPr>
          <w:b w:val="0"/>
        </w:rPr>
        <w:t>.</w:t>
      </w:r>
    </w:p>
    <w:p w14:paraId="6A8AEE58" w14:textId="0B3AC3AC" w:rsidR="003F7146" w:rsidRDefault="00F46B2C" w:rsidP="00F46B2C">
      <w:pPr>
        <w:pStyle w:val="Heading210"/>
        <w:framePr w:w="9432" w:h="5281" w:hRule="exact" w:wrap="none" w:vAnchor="page" w:hAnchor="page" w:x="1283" w:y="10129"/>
        <w:shd w:val="clear" w:color="auto" w:fill="auto"/>
        <w:spacing w:before="0" w:after="280" w:line="266" w:lineRule="exact"/>
        <w:ind w:right="20"/>
        <w:jc w:val="center"/>
      </w:pPr>
      <w:bookmarkStart w:id="4" w:name="bookmark4"/>
      <w:r>
        <w:t>Čl. I. PŘEDMĚT DODATKU</w:t>
      </w:r>
      <w:bookmarkEnd w:id="4"/>
    </w:p>
    <w:p w14:paraId="6A8AEE59" w14:textId="77777777" w:rsidR="003F7146" w:rsidRDefault="00F46B2C" w:rsidP="00F46B2C">
      <w:pPr>
        <w:pStyle w:val="Bodytext20"/>
        <w:framePr w:w="9432" w:h="5281" w:hRule="exact" w:wrap="none" w:vAnchor="page" w:hAnchor="page" w:x="1283" w:y="10129"/>
        <w:numPr>
          <w:ilvl w:val="0"/>
          <w:numId w:val="2"/>
        </w:numPr>
        <w:shd w:val="clear" w:color="auto" w:fill="auto"/>
        <w:tabs>
          <w:tab w:val="left" w:pos="741"/>
        </w:tabs>
        <w:spacing w:before="0" w:after="0" w:line="266" w:lineRule="exact"/>
        <w:ind w:left="740"/>
        <w:jc w:val="both"/>
      </w:pPr>
      <w:r>
        <w:t>Předmětem tohoto Dodatku je závazek prodávajícího vyměnit a nainstalovat pro</w:t>
      </w:r>
    </w:p>
    <w:p w14:paraId="6A8AEE5A" w14:textId="77777777" w:rsidR="003F7146" w:rsidRDefault="003F7146">
      <w:pPr>
        <w:rPr>
          <w:sz w:val="2"/>
          <w:szCs w:val="2"/>
        </w:rPr>
        <w:sectPr w:rsidR="003F71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8AEE5B" w14:textId="731D5D94" w:rsidR="003F7146" w:rsidRDefault="00F46B2C">
      <w:pPr>
        <w:pStyle w:val="Bodytext20"/>
        <w:framePr w:w="9466" w:h="6641" w:hRule="exact" w:wrap="none" w:vAnchor="page" w:hAnchor="page" w:x="1266" w:y="1810"/>
        <w:shd w:val="clear" w:color="auto" w:fill="auto"/>
        <w:spacing w:before="0" w:after="0"/>
        <w:ind w:left="780" w:firstLine="0"/>
        <w:jc w:val="both"/>
      </w:pPr>
      <w:r>
        <w:lastRenderedPageBreak/>
        <w:t xml:space="preserve">Kupujícího část technologie, konkrétně nahradit 7ks reprosoustav typu A10i </w:t>
      </w:r>
      <w:r w:rsidRPr="009A6465">
        <w:rPr>
          <w:lang w:eastAsia="en-US" w:bidi="en-US"/>
        </w:rPr>
        <w:t xml:space="preserve">WIDE </w:t>
      </w:r>
      <w:r>
        <w:t xml:space="preserve">za 7ks reprosoustav typu A10i </w:t>
      </w:r>
      <w:r w:rsidRPr="009A6465">
        <w:rPr>
          <w:lang w:eastAsia="en-US" w:bidi="en-US"/>
        </w:rPr>
        <w:t xml:space="preserve">FOCUS, </w:t>
      </w:r>
      <w:r>
        <w:t>a závazek kupujícího předmět plnění převzít a zaplatit prodávajícímu dohodnutou cenu za instalaci a provedení souvisejících prací a služeb ve výši a za podmínek dle tohoto Dodatku.</w:t>
      </w:r>
    </w:p>
    <w:p w14:paraId="6A8AEE5C" w14:textId="180FD0BA" w:rsidR="003F7146" w:rsidRDefault="00F46B2C">
      <w:pPr>
        <w:pStyle w:val="Bodytext20"/>
        <w:framePr w:w="9466" w:h="6641" w:hRule="exact" w:wrap="none" w:vAnchor="page" w:hAnchor="page" w:x="1266" w:y="181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0"/>
        <w:ind w:left="780"/>
        <w:jc w:val="both"/>
      </w:pPr>
      <w:r>
        <w:t xml:space="preserve">Sériová čísla původních A10i </w:t>
      </w:r>
      <w:r w:rsidRPr="009A6465">
        <w:rPr>
          <w:lang w:eastAsia="en-US" w:bidi="en-US"/>
        </w:rPr>
        <w:t xml:space="preserve">WIDE </w:t>
      </w:r>
      <w:r>
        <w:t>jsou 1790006007, 1790006004, 1790005982, 1790005864, 1790005909, 1790005914, 1790005965.</w:t>
      </w:r>
    </w:p>
    <w:p w14:paraId="6A8AEE5D" w14:textId="42056D76" w:rsidR="003F7146" w:rsidRDefault="00F46B2C">
      <w:pPr>
        <w:pStyle w:val="Bodytext20"/>
        <w:framePr w:w="9466" w:h="6641" w:hRule="exact" w:wrap="none" w:vAnchor="page" w:hAnchor="page" w:x="1266" w:y="1810"/>
        <w:shd w:val="clear" w:color="auto" w:fill="auto"/>
        <w:spacing w:before="0" w:after="0"/>
        <w:ind w:left="780" w:firstLine="0"/>
        <w:jc w:val="both"/>
      </w:pPr>
      <w:r>
        <w:t xml:space="preserve">Sériová čísla nových A10i </w:t>
      </w:r>
      <w:r>
        <w:rPr>
          <w:lang w:val="en-US" w:eastAsia="en-US" w:bidi="en-US"/>
        </w:rPr>
        <w:t xml:space="preserve">FOCUS </w:t>
      </w:r>
      <w:r>
        <w:t>jsou 1780006537, 1780007145, 1780008177, 1780008179, 1780008181, 1780008183, 1780008294.</w:t>
      </w:r>
    </w:p>
    <w:p w14:paraId="6A8AEE5E" w14:textId="77777777" w:rsidR="003F7146" w:rsidRDefault="00F46B2C">
      <w:pPr>
        <w:pStyle w:val="Bodytext20"/>
        <w:framePr w:w="9466" w:h="6641" w:hRule="exact" w:wrap="none" w:vAnchor="page" w:hAnchor="page" w:x="1266" w:y="181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346"/>
        <w:ind w:left="780"/>
        <w:jc w:val="both"/>
      </w:pPr>
      <w:r>
        <w:t xml:space="preserve">Za výměnu a instalaci se kupující zavazuje prodávajícímu uhradit částku ve výši 230 000 Kč (slovy: dvě stě třicet tisíc korun českých) bez </w:t>
      </w:r>
      <w:proofErr w:type="gramStart"/>
      <w:r>
        <w:t>DPH</w:t>
      </w:r>
      <w:proofErr w:type="gramEnd"/>
      <w:r>
        <w:t xml:space="preserve"> přičemž DPH bude připočtena v zákonné výši dle platných právních předpisů, a to na základě daňového dokladu vystaveného Prodávajícím po podpisu předávacího protokolu podepsaného oběma smluvními stranami. Kupující se zavazuje uhradit tento daňový doklad ve lhůtě splatnosti na něm uvedené.</w:t>
      </w:r>
    </w:p>
    <w:p w14:paraId="6A8AEE5F" w14:textId="58C29BA5" w:rsidR="003F7146" w:rsidRDefault="00F46B2C">
      <w:pPr>
        <w:pStyle w:val="Bodytext30"/>
        <w:framePr w:w="9466" w:h="6641" w:hRule="exact" w:wrap="none" w:vAnchor="page" w:hAnchor="page" w:x="1266" w:y="1810"/>
        <w:shd w:val="clear" w:color="auto" w:fill="auto"/>
        <w:spacing w:after="226" w:line="266" w:lineRule="exact"/>
        <w:ind w:left="100"/>
        <w:jc w:val="center"/>
      </w:pPr>
      <w:r>
        <w:t>Čl. II. ZÁVĚREČNÁ USTANOVENÍ</w:t>
      </w:r>
    </w:p>
    <w:p w14:paraId="6A8AEE60" w14:textId="77777777" w:rsidR="003F7146" w:rsidRDefault="00F46B2C">
      <w:pPr>
        <w:pStyle w:val="Bodytext20"/>
        <w:framePr w:w="9466" w:h="6641" w:hRule="exact" w:wrap="none" w:vAnchor="page" w:hAnchor="page" w:x="1266" w:y="1810"/>
        <w:numPr>
          <w:ilvl w:val="0"/>
          <w:numId w:val="3"/>
        </w:numPr>
        <w:shd w:val="clear" w:color="auto" w:fill="auto"/>
        <w:tabs>
          <w:tab w:val="left" w:pos="829"/>
        </w:tabs>
        <w:spacing w:before="0" w:after="80" w:line="283" w:lineRule="exact"/>
        <w:ind w:left="780"/>
        <w:jc w:val="both"/>
      </w:pPr>
      <w:r>
        <w:t>Tento Dodatek nabývá platnosti dnem jeho podpisu oběma stranami a účinnosti dnem uveřejněním v registru smluv.</w:t>
      </w:r>
    </w:p>
    <w:p w14:paraId="6A8AEE61" w14:textId="77777777" w:rsidR="003F7146" w:rsidRDefault="00F46B2C">
      <w:pPr>
        <w:pStyle w:val="Bodytext20"/>
        <w:framePr w:w="9466" w:h="6641" w:hRule="exact" w:wrap="none" w:vAnchor="page" w:hAnchor="page" w:x="1266" w:y="1810"/>
        <w:numPr>
          <w:ilvl w:val="0"/>
          <w:numId w:val="3"/>
        </w:numPr>
        <w:shd w:val="clear" w:color="auto" w:fill="auto"/>
        <w:tabs>
          <w:tab w:val="left" w:pos="829"/>
        </w:tabs>
        <w:spacing w:before="0" w:after="80" w:line="283" w:lineRule="exact"/>
        <w:ind w:left="780"/>
        <w:jc w:val="both"/>
      </w:pPr>
      <w:r>
        <w:t>Ostatní ustanovení Smlouvy zůstávají tímto Dodatkem nedotčena a nadále v plném rozsahu platí a účinkují.</w:t>
      </w:r>
    </w:p>
    <w:p w14:paraId="6A8AEE62" w14:textId="77777777" w:rsidR="003F7146" w:rsidRDefault="00F46B2C">
      <w:pPr>
        <w:pStyle w:val="Bodytext20"/>
        <w:framePr w:w="9466" w:h="6641" w:hRule="exact" w:wrap="none" w:vAnchor="page" w:hAnchor="page" w:x="1266" w:y="1810"/>
        <w:numPr>
          <w:ilvl w:val="0"/>
          <w:numId w:val="3"/>
        </w:numPr>
        <w:shd w:val="clear" w:color="auto" w:fill="auto"/>
        <w:tabs>
          <w:tab w:val="left" w:pos="829"/>
        </w:tabs>
        <w:spacing w:before="0" w:after="0" w:line="283" w:lineRule="exact"/>
        <w:ind w:left="780"/>
        <w:jc w:val="both"/>
      </w:pPr>
      <w:r>
        <w:t>Tento Dodatek je vyhotoven ve 2 (slovy: dvou) stejnopisech, z nichž každá smluvní strana obdrží 1 stejnopis.</w:t>
      </w:r>
    </w:p>
    <w:p w14:paraId="6A8AEE63" w14:textId="77777777" w:rsidR="003F7146" w:rsidRDefault="00F46B2C">
      <w:pPr>
        <w:pStyle w:val="Bodytext20"/>
        <w:framePr w:wrap="none" w:vAnchor="page" w:hAnchor="page" w:x="1266" w:y="9256"/>
        <w:shd w:val="clear" w:color="auto" w:fill="auto"/>
        <w:spacing w:before="0" w:after="0" w:line="266" w:lineRule="exact"/>
        <w:ind w:firstLine="0"/>
        <w:jc w:val="left"/>
      </w:pPr>
      <w:r>
        <w:t>V Praze dne 7. 1. 2026</w:t>
      </w:r>
    </w:p>
    <w:p w14:paraId="6A8AEE67" w14:textId="589D2755" w:rsidR="003F7146" w:rsidRDefault="00F46B2C">
      <w:pPr>
        <w:pStyle w:val="Bodytext30"/>
        <w:framePr w:wrap="none" w:vAnchor="page" w:hAnchor="page" w:x="1266" w:y="10763"/>
        <w:shd w:val="clear" w:color="auto" w:fill="auto"/>
        <w:spacing w:after="0" w:line="266" w:lineRule="exact"/>
      </w:pPr>
      <w:r>
        <w:t>Hudební divadlo v Karlíně</w:t>
      </w:r>
    </w:p>
    <w:p w14:paraId="6A8AEE68" w14:textId="3DEE9942" w:rsidR="003F7146" w:rsidRDefault="00F46B2C">
      <w:pPr>
        <w:pStyle w:val="Bodytext20"/>
        <w:framePr w:w="2510" w:h="1835" w:hRule="exact" w:wrap="none" w:vAnchor="page" w:hAnchor="page" w:x="7050" w:y="9242"/>
        <w:shd w:val="clear" w:color="auto" w:fill="auto"/>
        <w:spacing w:before="0" w:after="0" w:line="266" w:lineRule="exact"/>
        <w:ind w:left="5" w:firstLine="0"/>
        <w:jc w:val="left"/>
      </w:pPr>
      <w:r>
        <w:t>V Praze dne 7.1.2026</w:t>
      </w:r>
    </w:p>
    <w:p w14:paraId="40355432" w14:textId="77777777" w:rsidR="00F46B2C" w:rsidRDefault="00F46B2C">
      <w:pPr>
        <w:pStyle w:val="Bodytext30"/>
        <w:framePr w:w="2510" w:h="1835" w:hRule="exact" w:wrap="none" w:vAnchor="page" w:hAnchor="page" w:x="7050" w:y="9242"/>
        <w:shd w:val="clear" w:color="auto" w:fill="auto"/>
        <w:spacing w:after="0" w:line="266" w:lineRule="exact"/>
      </w:pPr>
    </w:p>
    <w:p w14:paraId="331AC844" w14:textId="77777777" w:rsidR="00F46B2C" w:rsidRDefault="00F46B2C">
      <w:pPr>
        <w:pStyle w:val="Bodytext30"/>
        <w:framePr w:w="2510" w:h="1835" w:hRule="exact" w:wrap="none" w:vAnchor="page" w:hAnchor="page" w:x="7050" w:y="9242"/>
        <w:shd w:val="clear" w:color="auto" w:fill="auto"/>
        <w:spacing w:after="0" w:line="266" w:lineRule="exact"/>
      </w:pPr>
    </w:p>
    <w:p w14:paraId="0BF6207C" w14:textId="77777777" w:rsidR="00F46B2C" w:rsidRDefault="00F46B2C">
      <w:pPr>
        <w:pStyle w:val="Bodytext30"/>
        <w:framePr w:w="2510" w:h="1835" w:hRule="exact" w:wrap="none" w:vAnchor="page" w:hAnchor="page" w:x="7050" w:y="9242"/>
        <w:shd w:val="clear" w:color="auto" w:fill="auto"/>
        <w:spacing w:after="0" w:line="266" w:lineRule="exact"/>
      </w:pPr>
    </w:p>
    <w:p w14:paraId="73928AC0" w14:textId="77777777" w:rsidR="00F46B2C" w:rsidRDefault="00F46B2C">
      <w:pPr>
        <w:pStyle w:val="Bodytext30"/>
        <w:framePr w:w="2510" w:h="1835" w:hRule="exact" w:wrap="none" w:vAnchor="page" w:hAnchor="page" w:x="7050" w:y="9242"/>
        <w:shd w:val="clear" w:color="auto" w:fill="auto"/>
        <w:spacing w:after="0" w:line="266" w:lineRule="exact"/>
      </w:pPr>
    </w:p>
    <w:p w14:paraId="39C1D06D" w14:textId="77777777" w:rsidR="00F46B2C" w:rsidRDefault="00F46B2C">
      <w:pPr>
        <w:pStyle w:val="Bodytext30"/>
        <w:framePr w:w="2510" w:h="1835" w:hRule="exact" w:wrap="none" w:vAnchor="page" w:hAnchor="page" w:x="7050" w:y="9242"/>
        <w:shd w:val="clear" w:color="auto" w:fill="auto"/>
        <w:spacing w:after="0" w:line="266" w:lineRule="exact"/>
      </w:pPr>
    </w:p>
    <w:p w14:paraId="6A8AEE6A" w14:textId="36FD9820" w:rsidR="003F7146" w:rsidRDefault="00F46B2C">
      <w:pPr>
        <w:pStyle w:val="Bodytext30"/>
        <w:framePr w:w="2510" w:h="1835" w:hRule="exact" w:wrap="none" w:vAnchor="page" w:hAnchor="page" w:x="7050" w:y="9242"/>
        <w:shd w:val="clear" w:color="auto" w:fill="auto"/>
        <w:spacing w:after="0" w:line="266" w:lineRule="exact"/>
      </w:pPr>
      <w:r>
        <w:t>AVT Group a.s.</w:t>
      </w:r>
    </w:p>
    <w:p w14:paraId="6A8AEE6C" w14:textId="77777777" w:rsidR="003F7146" w:rsidRDefault="00F46B2C">
      <w:pPr>
        <w:pStyle w:val="Bodytext20"/>
        <w:framePr w:wrap="none" w:vAnchor="page" w:hAnchor="page" w:x="1266" w:y="11138"/>
        <w:shd w:val="clear" w:color="auto" w:fill="auto"/>
        <w:spacing w:before="0" w:after="0" w:line="266" w:lineRule="exact"/>
        <w:ind w:firstLine="0"/>
        <w:jc w:val="left"/>
      </w:pPr>
      <w:r>
        <w:t>Martin Poupě, technický ředitel</w:t>
      </w:r>
    </w:p>
    <w:p w14:paraId="6A8AEE6D" w14:textId="77777777" w:rsidR="003F7146" w:rsidRDefault="00F46B2C">
      <w:pPr>
        <w:pStyle w:val="Bodytext20"/>
        <w:framePr w:wrap="none" w:vAnchor="page" w:hAnchor="page" w:x="7050" w:y="11133"/>
        <w:shd w:val="clear" w:color="auto" w:fill="auto"/>
        <w:spacing w:before="0" w:after="0" w:line="266" w:lineRule="exact"/>
        <w:ind w:firstLine="0"/>
        <w:jc w:val="left"/>
      </w:pPr>
      <w:r>
        <w:t>Petr Vlček, člen představenstva</w:t>
      </w:r>
    </w:p>
    <w:p w14:paraId="6A8AEE6E" w14:textId="77777777" w:rsidR="003F7146" w:rsidRDefault="003F7146">
      <w:pPr>
        <w:rPr>
          <w:sz w:val="2"/>
          <w:szCs w:val="2"/>
        </w:rPr>
      </w:pPr>
    </w:p>
    <w:sectPr w:rsidR="003F714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1808" w14:textId="77777777" w:rsidR="00C40867" w:rsidRDefault="00C40867">
      <w:r>
        <w:separator/>
      </w:r>
    </w:p>
  </w:endnote>
  <w:endnote w:type="continuationSeparator" w:id="0">
    <w:p w14:paraId="4017F3BF" w14:textId="77777777" w:rsidR="00C40867" w:rsidRDefault="00C4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4A5D" w14:textId="77777777" w:rsidR="00C40867" w:rsidRDefault="00C40867"/>
  </w:footnote>
  <w:footnote w:type="continuationSeparator" w:id="0">
    <w:p w14:paraId="6FF0D0C2" w14:textId="77777777" w:rsidR="00C40867" w:rsidRDefault="00C408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03E2"/>
    <w:multiLevelType w:val="multilevel"/>
    <w:tmpl w:val="54188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4132E1"/>
    <w:multiLevelType w:val="multilevel"/>
    <w:tmpl w:val="4F282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E10F32"/>
    <w:multiLevelType w:val="multilevel"/>
    <w:tmpl w:val="68FAB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7697579">
    <w:abstractNumId w:val="2"/>
  </w:num>
  <w:num w:numId="2" w16cid:durableId="2033339799">
    <w:abstractNumId w:val="0"/>
  </w:num>
  <w:num w:numId="3" w16cid:durableId="156044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146"/>
    <w:rsid w:val="003F7146"/>
    <w:rsid w:val="00512F1F"/>
    <w:rsid w:val="0069465C"/>
    <w:rsid w:val="009A6465"/>
    <w:rsid w:val="00C40867"/>
    <w:rsid w:val="00F4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EE3F"/>
  <w15:docId w15:val="{B012C35D-211E-425A-B996-736594F7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u w:val="none"/>
    </w:rPr>
  </w:style>
  <w:style w:type="character" w:customStyle="1" w:styleId="Heading21NotBold">
    <w:name w:val="Heading #2|1 + Not Bold"/>
    <w:basedOn w:val="Heading2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280" w:line="310" w:lineRule="exact"/>
      <w:ind w:hanging="360"/>
      <w:jc w:val="both"/>
      <w:outlineLvl w:val="0"/>
    </w:pPr>
    <w:rPr>
      <w:b/>
      <w:bCs/>
      <w:sz w:val="28"/>
      <w:szCs w:val="2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80" w:after="280" w:line="274" w:lineRule="exact"/>
      <w:ind w:hanging="360"/>
      <w:jc w:val="center"/>
    </w:p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80" w:line="274" w:lineRule="exact"/>
      <w:jc w:val="both"/>
      <w:outlineLvl w:val="1"/>
    </w:pPr>
    <w:rPr>
      <w:b/>
      <w:bCs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540" w:line="274" w:lineRule="exact"/>
    </w:pPr>
    <w:rPr>
      <w:b/>
      <w:bCs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358" w:lineRule="exact"/>
    </w:pPr>
    <w:rPr>
      <w:rFonts w:ascii="Arial" w:eastAsia="Arial" w:hAnsi="Arial" w:cs="Arial"/>
      <w:sz w:val="32"/>
      <w:szCs w:val="3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220" w:after="220" w:line="192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2726</Characters>
  <Application>Microsoft Office Word</Application>
  <DocSecurity>0</DocSecurity>
  <Lines>22</Lines>
  <Paragraphs>6</Paragraphs>
  <ScaleCrop>false</ScaleCrop>
  <Company>Hudební divadlo Karlín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2</cp:revision>
  <dcterms:created xsi:type="dcterms:W3CDTF">2026-01-09T14:30:00Z</dcterms:created>
  <dcterms:modified xsi:type="dcterms:W3CDTF">2026-01-09T14:30:00Z</dcterms:modified>
</cp:coreProperties>
</file>