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7FB2E219" w:rsidR="00D0181B" w:rsidRPr="00432CC1" w:rsidRDefault="00C92495">
      <w:pPr>
        <w:spacing w:line="276" w:lineRule="auto"/>
        <w:jc w:val="center"/>
        <w:rPr>
          <w:rFonts w:cs="Tahoma"/>
          <w:b/>
          <w:caps/>
          <w:szCs w:val="20"/>
        </w:rPr>
      </w:pPr>
      <w:r w:rsidRPr="00432CC1">
        <w:rPr>
          <w:rFonts w:cs="Tahoma"/>
          <w:b/>
          <w:caps/>
          <w:szCs w:val="20"/>
        </w:rPr>
        <w:t>Dílčí smlouva č.</w:t>
      </w:r>
      <w:r w:rsidR="003E23A2" w:rsidRPr="00432CC1">
        <w:rPr>
          <w:rFonts w:cs="Tahoma"/>
          <w:b/>
          <w:caps/>
          <w:szCs w:val="20"/>
        </w:rPr>
        <w:t xml:space="preserve"> </w:t>
      </w:r>
      <w:r w:rsidR="00520418">
        <w:rPr>
          <w:rFonts w:cs="Tahoma"/>
          <w:b/>
          <w:caps/>
          <w:szCs w:val="20"/>
        </w:rPr>
        <w:t>25</w:t>
      </w:r>
    </w:p>
    <w:p w14:paraId="13E7A95F" w14:textId="77777777" w:rsidR="00C7427F" w:rsidRPr="00432CC1" w:rsidRDefault="00C7427F">
      <w:pPr>
        <w:spacing w:line="276" w:lineRule="auto"/>
        <w:jc w:val="center"/>
        <w:rPr>
          <w:rFonts w:cs="Tahoma"/>
          <w:b/>
          <w:caps/>
          <w:szCs w:val="20"/>
        </w:rPr>
      </w:pPr>
    </w:p>
    <w:p w14:paraId="356B8512" w14:textId="00A1327C" w:rsidR="00715CF3" w:rsidRPr="00432CC1" w:rsidRDefault="00C92495" w:rsidP="00BA3631">
      <w:pPr>
        <w:spacing w:line="276" w:lineRule="auto"/>
        <w:jc w:val="center"/>
        <w:rPr>
          <w:rFonts w:cs="Tahoma"/>
          <w:b/>
          <w:caps/>
          <w:szCs w:val="20"/>
        </w:rPr>
      </w:pPr>
      <w:r w:rsidRPr="00432CC1">
        <w:rPr>
          <w:rFonts w:cs="Tahoma"/>
          <w:b/>
          <w:caps/>
          <w:szCs w:val="20"/>
        </w:rPr>
        <w:t>k Rámcové dohodě na poskytování služeb podpory a rozvoje integračních řešení na platformě BizTalk 20</w:t>
      </w:r>
      <w:r w:rsidR="00BA3631" w:rsidRPr="00432CC1">
        <w:rPr>
          <w:rFonts w:cs="Tahoma"/>
          <w:b/>
          <w:caps/>
          <w:szCs w:val="20"/>
        </w:rPr>
        <w:t>22</w:t>
      </w:r>
      <w:r w:rsidRPr="00432CC1">
        <w:rPr>
          <w:rFonts w:cs="Tahoma"/>
          <w:b/>
          <w:caps/>
          <w:szCs w:val="20"/>
        </w:rPr>
        <w:t>+</w:t>
      </w:r>
    </w:p>
    <w:p w14:paraId="78DCDC1A" w14:textId="77777777" w:rsidR="005F2896" w:rsidRDefault="005F2896" w:rsidP="00715CF3">
      <w:pPr>
        <w:spacing w:line="276" w:lineRule="auto"/>
        <w:jc w:val="center"/>
        <w:rPr>
          <w:rFonts w:cs="Tahoma"/>
          <w:b/>
          <w:caps/>
          <w:szCs w:val="20"/>
        </w:rPr>
      </w:pPr>
    </w:p>
    <w:p w14:paraId="62F75B21" w14:textId="7448A876" w:rsidR="00C450C4" w:rsidRPr="00C450C4" w:rsidRDefault="00C450C4" w:rsidP="00715CF3">
      <w:pPr>
        <w:spacing w:line="276" w:lineRule="auto"/>
        <w:jc w:val="center"/>
        <w:rPr>
          <w:rFonts w:cs="Tahoma"/>
          <w:b/>
          <w:caps/>
          <w:szCs w:val="20"/>
        </w:rPr>
      </w:pPr>
      <w:bookmarkStart w:id="0" w:name="_Hlk215157418"/>
      <w:r w:rsidRPr="00C450C4">
        <w:rPr>
          <w:rFonts w:cs="Tahoma"/>
          <w:b/>
          <w:szCs w:val="20"/>
        </w:rPr>
        <w:t>„Jednotné měsíční hlášení zaměstnavatelů (JMHZ) – doména IS ČSSZ“</w:t>
      </w:r>
    </w:p>
    <w:bookmarkEnd w:id="0"/>
    <w:p w14:paraId="50F91156" w14:textId="77777777" w:rsidR="00C450C4" w:rsidRPr="00432CC1" w:rsidRDefault="00C450C4" w:rsidP="00715CF3">
      <w:pPr>
        <w:spacing w:line="276" w:lineRule="auto"/>
        <w:jc w:val="center"/>
        <w:rPr>
          <w:rFonts w:cs="Tahoma"/>
          <w:b/>
          <w:caps/>
          <w:szCs w:val="20"/>
        </w:rPr>
      </w:pPr>
    </w:p>
    <w:p w14:paraId="0A55E2EC" w14:textId="77777777" w:rsidR="00D0181B" w:rsidRPr="00432CC1" w:rsidRDefault="00C92495" w:rsidP="00520418">
      <w:pPr>
        <w:pStyle w:val="RLdajeosmluvnstran"/>
        <w:rPr>
          <w:rFonts w:ascii="Tahoma" w:hAnsi="Tahoma" w:cs="Tahoma"/>
          <w:szCs w:val="20"/>
        </w:rPr>
      </w:pPr>
      <w:r w:rsidRPr="00432CC1">
        <w:rPr>
          <w:rFonts w:ascii="Tahoma" w:hAnsi="Tahoma" w:cs="Tahoma"/>
          <w:szCs w:val="20"/>
        </w:rPr>
        <w:t>Smluvní strany:</w:t>
      </w:r>
    </w:p>
    <w:p w14:paraId="2A603CAA" w14:textId="77777777" w:rsidR="007B279D" w:rsidRPr="00432CC1" w:rsidRDefault="007B279D" w:rsidP="007B279D">
      <w:pPr>
        <w:pStyle w:val="RLdajeosmluvnstran"/>
        <w:jc w:val="left"/>
        <w:rPr>
          <w:rFonts w:ascii="Tahoma" w:hAnsi="Tahoma" w:cs="Tahoma"/>
          <w:b/>
          <w:szCs w:val="20"/>
        </w:rPr>
      </w:pPr>
      <w:r w:rsidRPr="00432CC1">
        <w:rPr>
          <w:rFonts w:ascii="Tahoma" w:hAnsi="Tahoma" w:cs="Tahoma"/>
          <w:b/>
          <w:szCs w:val="20"/>
        </w:rPr>
        <w:t>Česká republika – Ministerstvo práce a sociálních věcí</w:t>
      </w:r>
    </w:p>
    <w:p w14:paraId="4904012D"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se sídlem:</w:t>
      </w:r>
      <w:r w:rsidRPr="00432CC1">
        <w:rPr>
          <w:rFonts w:ascii="Tahoma" w:hAnsi="Tahoma" w:cs="Tahoma"/>
          <w:szCs w:val="20"/>
        </w:rPr>
        <w:tab/>
        <w:t>Na Poříčním právu 376/1, 128 00 Praha 2</w:t>
      </w:r>
    </w:p>
    <w:p w14:paraId="39ADF6C3"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IČO: </w:t>
      </w:r>
      <w:r w:rsidRPr="00432CC1">
        <w:rPr>
          <w:rFonts w:ascii="Tahoma" w:hAnsi="Tahoma" w:cs="Tahoma"/>
          <w:szCs w:val="20"/>
        </w:rPr>
        <w:tab/>
      </w:r>
      <w:r w:rsidRPr="00432CC1">
        <w:rPr>
          <w:rFonts w:ascii="Tahoma" w:hAnsi="Tahoma" w:cs="Tahoma"/>
          <w:szCs w:val="20"/>
        </w:rPr>
        <w:tab/>
        <w:t>00551023</w:t>
      </w:r>
    </w:p>
    <w:p w14:paraId="61E06164" w14:textId="7DC2A0F5"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bank. spojení: </w:t>
      </w:r>
      <w:r w:rsidRPr="00432CC1">
        <w:rPr>
          <w:rFonts w:ascii="Tahoma" w:hAnsi="Tahoma" w:cs="Tahoma"/>
          <w:szCs w:val="20"/>
        </w:rPr>
        <w:tab/>
      </w:r>
      <w:r w:rsidR="00733802" w:rsidRPr="00232CE7">
        <w:rPr>
          <w:rFonts w:ascii="Tahoma" w:hAnsi="Tahoma" w:cs="Tahoma"/>
          <w:i/>
          <w:iCs/>
          <w:color w:val="FFFFFF"/>
          <w:szCs w:val="20"/>
          <w:highlight w:val="black"/>
        </w:rPr>
        <w:t>neveřejný údaj</w:t>
      </w:r>
    </w:p>
    <w:p w14:paraId="78052F43" w14:textId="5248AC3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č. účtu: </w:t>
      </w:r>
      <w:r w:rsidRPr="00432CC1">
        <w:rPr>
          <w:rFonts w:ascii="Tahoma" w:hAnsi="Tahoma" w:cs="Tahoma"/>
          <w:szCs w:val="20"/>
        </w:rPr>
        <w:tab/>
      </w:r>
      <w:r w:rsidR="00733802" w:rsidRPr="00232CE7">
        <w:rPr>
          <w:rFonts w:ascii="Tahoma" w:hAnsi="Tahoma" w:cs="Tahoma"/>
          <w:i/>
          <w:iCs/>
          <w:color w:val="FFFFFF"/>
          <w:szCs w:val="20"/>
          <w:highlight w:val="black"/>
        </w:rPr>
        <w:t>neveřejný údaj</w:t>
      </w:r>
    </w:p>
    <w:p w14:paraId="23AD9795" w14:textId="77777777" w:rsidR="00482588" w:rsidRPr="00432CC1" w:rsidRDefault="00482588" w:rsidP="00482588">
      <w:pPr>
        <w:pStyle w:val="RLdajeosmluvnstran"/>
        <w:jc w:val="left"/>
        <w:rPr>
          <w:rFonts w:ascii="Tahoma" w:hAnsi="Tahoma" w:cs="Tahoma"/>
          <w:szCs w:val="20"/>
          <w:highlight w:val="yellow"/>
        </w:rPr>
      </w:pPr>
      <w:r w:rsidRPr="00432CC1">
        <w:rPr>
          <w:rFonts w:ascii="Tahoma" w:hAnsi="Tahoma" w:cs="Tahoma"/>
          <w:szCs w:val="20"/>
        </w:rPr>
        <w:t>zastoupená:</w:t>
      </w:r>
      <w:r w:rsidRPr="00432CC1">
        <w:rPr>
          <w:rFonts w:ascii="Tahoma" w:hAnsi="Tahoma" w:cs="Tahoma"/>
          <w:szCs w:val="20"/>
        </w:rPr>
        <w:tab/>
        <w:t xml:space="preserve">Ing. Karlem </w:t>
      </w:r>
      <w:proofErr w:type="spellStart"/>
      <w:r w:rsidRPr="00432CC1">
        <w:rPr>
          <w:rFonts w:ascii="Tahoma" w:hAnsi="Tahoma" w:cs="Tahoma"/>
          <w:szCs w:val="20"/>
        </w:rPr>
        <w:t>Trpkošem</w:t>
      </w:r>
      <w:proofErr w:type="spellEnd"/>
      <w:r w:rsidRPr="00432CC1">
        <w:rPr>
          <w:rFonts w:ascii="Tahoma" w:hAnsi="Tahoma" w:cs="Tahoma"/>
          <w:szCs w:val="20"/>
        </w:rPr>
        <w:t>, vrchním ředitelem sekce informačních technologií</w:t>
      </w:r>
    </w:p>
    <w:p w14:paraId="559D05D2" w14:textId="2D9368DB" w:rsidR="00482588" w:rsidRPr="00432CC1" w:rsidRDefault="00482588" w:rsidP="00482588">
      <w:pPr>
        <w:pStyle w:val="RLdajeosmluvnstran"/>
        <w:ind w:left="1418" w:hanging="1418"/>
        <w:jc w:val="left"/>
        <w:rPr>
          <w:rFonts w:ascii="Tahoma" w:hAnsi="Tahoma" w:cs="Tahoma"/>
          <w:bCs/>
          <w:szCs w:val="20"/>
        </w:rPr>
      </w:pPr>
      <w:r w:rsidRPr="00432CC1">
        <w:rPr>
          <w:rFonts w:ascii="Tahoma" w:hAnsi="Tahoma" w:cs="Tahoma"/>
          <w:bCs/>
          <w:szCs w:val="20"/>
        </w:rPr>
        <w:t xml:space="preserve">jednající: </w:t>
      </w:r>
      <w:r w:rsidRPr="00432CC1">
        <w:rPr>
          <w:rFonts w:ascii="Tahoma" w:hAnsi="Tahoma" w:cs="Tahoma"/>
          <w:bCs/>
          <w:szCs w:val="20"/>
        </w:rPr>
        <w:tab/>
      </w:r>
      <w:r w:rsidRPr="00432CC1">
        <w:rPr>
          <w:rFonts w:ascii="Tahoma" w:hAnsi="Tahoma" w:cs="Tahoma"/>
          <w:szCs w:val="20"/>
          <w:lang w:eastAsia="x-none"/>
        </w:rPr>
        <w:t>Ing. Milan</w:t>
      </w:r>
      <w:r w:rsidR="002E4C99">
        <w:rPr>
          <w:rFonts w:ascii="Tahoma" w:hAnsi="Tahoma" w:cs="Tahoma"/>
          <w:szCs w:val="20"/>
          <w:lang w:eastAsia="x-none"/>
        </w:rPr>
        <w:t>em</w:t>
      </w:r>
      <w:r w:rsidRPr="00432CC1">
        <w:rPr>
          <w:rFonts w:ascii="Tahoma" w:hAnsi="Tahoma" w:cs="Tahoma"/>
          <w:szCs w:val="20"/>
          <w:lang w:eastAsia="x-none"/>
        </w:rPr>
        <w:t xml:space="preserve"> Lonský</w:t>
      </w:r>
      <w:r w:rsidR="002E4C99">
        <w:rPr>
          <w:rFonts w:ascii="Tahoma" w:hAnsi="Tahoma" w:cs="Tahoma"/>
          <w:szCs w:val="20"/>
          <w:lang w:eastAsia="x-none"/>
        </w:rPr>
        <w:t>m</w:t>
      </w:r>
      <w:r w:rsidRPr="00432CC1">
        <w:rPr>
          <w:rFonts w:ascii="Tahoma" w:hAnsi="Tahoma" w:cs="Tahoma"/>
          <w:szCs w:val="20"/>
          <w:lang w:eastAsia="x-none"/>
        </w:rPr>
        <w:t>, ředitel</w:t>
      </w:r>
      <w:r w:rsidR="002E4C99">
        <w:rPr>
          <w:rFonts w:ascii="Tahoma" w:hAnsi="Tahoma" w:cs="Tahoma"/>
          <w:szCs w:val="20"/>
          <w:lang w:eastAsia="x-none"/>
        </w:rPr>
        <w:t>em</w:t>
      </w:r>
      <w:r w:rsidRPr="00432CC1">
        <w:rPr>
          <w:rFonts w:ascii="Tahoma" w:hAnsi="Tahoma" w:cs="Tahoma"/>
          <w:szCs w:val="20"/>
          <w:lang w:eastAsia="x-none"/>
        </w:rPr>
        <w:t xml:space="preserve"> odboru správy aplikací ICT</w:t>
      </w:r>
    </w:p>
    <w:p w14:paraId="4A7D8F6C"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szCs w:val="20"/>
        </w:rPr>
        <w:t>Objednatel</w:t>
      </w:r>
      <w:r w:rsidRPr="00432CC1">
        <w:rPr>
          <w:rFonts w:ascii="Tahoma" w:hAnsi="Tahoma" w:cs="Tahoma"/>
          <w:szCs w:val="20"/>
        </w:rPr>
        <w:t>“ nebo „</w:t>
      </w:r>
      <w:r w:rsidRPr="00432CC1">
        <w:rPr>
          <w:rFonts w:ascii="Tahoma" w:hAnsi="Tahoma" w:cs="Tahoma"/>
          <w:b/>
          <w:szCs w:val="20"/>
        </w:rPr>
        <w:t>MPSV</w:t>
      </w:r>
      <w:r w:rsidRPr="00432CC1">
        <w:rPr>
          <w:rFonts w:ascii="Tahoma" w:hAnsi="Tahoma" w:cs="Tahoma"/>
          <w:szCs w:val="20"/>
        </w:rPr>
        <w:t>“)</w:t>
      </w:r>
    </w:p>
    <w:p w14:paraId="5AC077DA" w14:textId="77777777" w:rsidR="00482588" w:rsidRPr="00432CC1" w:rsidRDefault="00482588" w:rsidP="007B279D">
      <w:pPr>
        <w:rPr>
          <w:rFonts w:cs="Tahoma"/>
          <w:szCs w:val="20"/>
        </w:rPr>
      </w:pPr>
    </w:p>
    <w:p w14:paraId="4DF40703" w14:textId="5FC319C5" w:rsidR="007B279D" w:rsidRPr="00432CC1" w:rsidRDefault="007B279D" w:rsidP="007B279D">
      <w:pPr>
        <w:rPr>
          <w:rFonts w:cs="Tahoma"/>
          <w:szCs w:val="20"/>
        </w:rPr>
      </w:pPr>
      <w:r w:rsidRPr="00432CC1">
        <w:rPr>
          <w:rFonts w:cs="Tahoma"/>
          <w:szCs w:val="20"/>
        </w:rPr>
        <w:t>a</w:t>
      </w:r>
    </w:p>
    <w:p w14:paraId="4DC87A54" w14:textId="77777777" w:rsidR="00D0181B" w:rsidRPr="00432CC1" w:rsidRDefault="00D0181B">
      <w:pPr>
        <w:rPr>
          <w:rFonts w:cs="Tahoma"/>
        </w:rPr>
      </w:pPr>
    </w:p>
    <w:p w14:paraId="1F09D52A" w14:textId="77777777" w:rsidR="00D0181B" w:rsidRPr="00432CC1" w:rsidRDefault="00C92495">
      <w:pPr>
        <w:widowControl w:val="0"/>
        <w:spacing w:after="120" w:line="280" w:lineRule="exact"/>
        <w:jc w:val="both"/>
        <w:rPr>
          <w:rFonts w:eastAsia="Times New Roman" w:cs="Tahoma"/>
          <w:b/>
          <w:bCs/>
          <w:szCs w:val="20"/>
        </w:rPr>
      </w:pPr>
      <w:proofErr w:type="spellStart"/>
      <w:r w:rsidRPr="00432CC1">
        <w:rPr>
          <w:rFonts w:eastAsia="Times New Roman" w:cs="Tahoma"/>
          <w:b/>
          <w:bCs/>
          <w:szCs w:val="20"/>
        </w:rPr>
        <w:t>Asseco</w:t>
      </w:r>
      <w:proofErr w:type="spellEnd"/>
      <w:r w:rsidRPr="00432CC1">
        <w:rPr>
          <w:rFonts w:eastAsia="Times New Roman" w:cs="Tahoma"/>
          <w:b/>
          <w:bCs/>
          <w:szCs w:val="20"/>
        </w:rPr>
        <w:t xml:space="preserve"> </w:t>
      </w:r>
      <w:proofErr w:type="spellStart"/>
      <w:r w:rsidRPr="00432CC1">
        <w:rPr>
          <w:rFonts w:eastAsia="Times New Roman" w:cs="Tahoma"/>
          <w:b/>
          <w:bCs/>
          <w:szCs w:val="20"/>
        </w:rPr>
        <w:t>Central</w:t>
      </w:r>
      <w:proofErr w:type="spellEnd"/>
      <w:r w:rsidRPr="00432CC1">
        <w:rPr>
          <w:rFonts w:eastAsia="Times New Roman" w:cs="Tahoma"/>
          <w:b/>
          <w:bCs/>
          <w:szCs w:val="20"/>
        </w:rPr>
        <w:t xml:space="preserve"> </w:t>
      </w:r>
      <w:proofErr w:type="spellStart"/>
      <w:r w:rsidRPr="00432CC1">
        <w:rPr>
          <w:rFonts w:eastAsia="Times New Roman" w:cs="Tahoma"/>
          <w:b/>
          <w:bCs/>
          <w:szCs w:val="20"/>
        </w:rPr>
        <w:t>Europe</w:t>
      </w:r>
      <w:proofErr w:type="spellEnd"/>
      <w:r w:rsidRPr="00432CC1">
        <w:rPr>
          <w:rFonts w:eastAsia="Times New Roman" w:cs="Tahoma"/>
          <w:b/>
          <w:bCs/>
          <w:szCs w:val="20"/>
        </w:rPr>
        <w:t>, a.s.</w:t>
      </w:r>
    </w:p>
    <w:p w14:paraId="57436E45"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se sídlem: </w:t>
      </w:r>
      <w:r w:rsidRPr="00432CC1">
        <w:rPr>
          <w:rFonts w:eastAsia="Times New Roman" w:cs="Tahoma"/>
          <w:szCs w:val="20"/>
        </w:rPr>
        <w:tab/>
      </w:r>
      <w:r w:rsidRPr="00432CC1">
        <w:rPr>
          <w:rFonts w:eastAsia="Times New Roman" w:cs="Tahoma"/>
          <w:bCs/>
          <w:szCs w:val="20"/>
        </w:rPr>
        <w:t>Budějovická 778/</w:t>
      </w:r>
      <w:proofErr w:type="gramStart"/>
      <w:r w:rsidRPr="00432CC1">
        <w:rPr>
          <w:rFonts w:eastAsia="Times New Roman" w:cs="Tahoma"/>
          <w:bCs/>
          <w:szCs w:val="20"/>
        </w:rPr>
        <w:t>3a</w:t>
      </w:r>
      <w:proofErr w:type="gramEnd"/>
      <w:r w:rsidRPr="00432CC1">
        <w:rPr>
          <w:rFonts w:eastAsia="Times New Roman" w:cs="Tahoma"/>
          <w:bCs/>
          <w:szCs w:val="20"/>
        </w:rPr>
        <w:t>, 140 00 Praha 4 – Michle</w:t>
      </w:r>
    </w:p>
    <w:p w14:paraId="50EA27E1"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IČO: </w:t>
      </w:r>
      <w:r w:rsidRPr="00432CC1">
        <w:rPr>
          <w:rFonts w:eastAsia="Times New Roman" w:cs="Tahoma"/>
          <w:szCs w:val="20"/>
        </w:rPr>
        <w:tab/>
      </w:r>
      <w:r w:rsidRPr="00432CC1">
        <w:rPr>
          <w:rFonts w:eastAsia="Times New Roman" w:cs="Tahoma"/>
          <w:szCs w:val="20"/>
        </w:rPr>
        <w:tab/>
      </w:r>
      <w:r w:rsidRPr="00432CC1">
        <w:rPr>
          <w:rFonts w:eastAsia="Times New Roman" w:cs="Tahoma"/>
          <w:bCs/>
          <w:szCs w:val="20"/>
        </w:rPr>
        <w:t>27074358</w:t>
      </w:r>
    </w:p>
    <w:p w14:paraId="4208C246"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DIČ: </w:t>
      </w:r>
      <w:r w:rsidRPr="00432CC1">
        <w:rPr>
          <w:rFonts w:eastAsia="Times New Roman" w:cs="Tahoma"/>
          <w:szCs w:val="20"/>
        </w:rPr>
        <w:tab/>
      </w:r>
      <w:r w:rsidRPr="00432CC1">
        <w:rPr>
          <w:rFonts w:eastAsia="Times New Roman" w:cs="Tahoma"/>
          <w:szCs w:val="20"/>
        </w:rPr>
        <w:tab/>
        <w:t>CZ</w:t>
      </w:r>
      <w:r w:rsidRPr="00432CC1">
        <w:rPr>
          <w:rFonts w:eastAsia="Times New Roman" w:cs="Tahoma"/>
          <w:bCs/>
          <w:szCs w:val="20"/>
        </w:rPr>
        <w:t xml:space="preserve">27074358 </w:t>
      </w:r>
    </w:p>
    <w:p w14:paraId="6511C19B"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společnost zapsaná v obchodním rejstříku vedeném </w:t>
      </w:r>
      <w:r w:rsidRPr="00432CC1">
        <w:rPr>
          <w:rFonts w:eastAsia="Times New Roman" w:cs="Tahoma"/>
          <w:bCs/>
          <w:szCs w:val="20"/>
        </w:rPr>
        <w:t>Městským soudem v Praze,</w:t>
      </w:r>
      <w:r w:rsidRPr="00432CC1">
        <w:rPr>
          <w:rFonts w:eastAsia="Times New Roman" w:cs="Tahoma"/>
          <w:szCs w:val="20"/>
        </w:rPr>
        <w:t xml:space="preserve"> </w:t>
      </w:r>
    </w:p>
    <w:p w14:paraId="753D50C4"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oddíl </w:t>
      </w:r>
      <w:r w:rsidRPr="00432CC1">
        <w:rPr>
          <w:rFonts w:eastAsia="Times New Roman" w:cs="Tahoma"/>
          <w:bCs/>
          <w:szCs w:val="20"/>
        </w:rPr>
        <w:t>B</w:t>
      </w:r>
      <w:r w:rsidRPr="00432CC1">
        <w:rPr>
          <w:rFonts w:eastAsia="Times New Roman" w:cs="Tahoma"/>
          <w:szCs w:val="20"/>
        </w:rPr>
        <w:t xml:space="preserve">, vložka </w:t>
      </w:r>
      <w:r w:rsidRPr="00432CC1">
        <w:rPr>
          <w:rFonts w:eastAsia="Times New Roman" w:cs="Tahoma"/>
          <w:bCs/>
          <w:szCs w:val="20"/>
        </w:rPr>
        <w:t>8525</w:t>
      </w:r>
    </w:p>
    <w:p w14:paraId="4C5059E7" w14:textId="62949EA1"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bank. spojení: </w:t>
      </w:r>
      <w:r w:rsidRPr="00432CC1">
        <w:rPr>
          <w:rFonts w:eastAsia="Times New Roman" w:cs="Tahoma"/>
          <w:szCs w:val="20"/>
        </w:rPr>
        <w:tab/>
      </w:r>
      <w:r w:rsidR="00733802" w:rsidRPr="00232CE7">
        <w:rPr>
          <w:rFonts w:cs="Tahoma"/>
          <w:i/>
          <w:iCs/>
          <w:color w:val="FFFFFF"/>
          <w:szCs w:val="20"/>
          <w:highlight w:val="black"/>
        </w:rPr>
        <w:t>neveřejný údaj</w:t>
      </w:r>
    </w:p>
    <w:p w14:paraId="4195BF92" w14:textId="2EF69182"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č. účtu: </w:t>
      </w:r>
      <w:r w:rsidRPr="00432CC1">
        <w:rPr>
          <w:rFonts w:eastAsia="Times New Roman" w:cs="Tahoma"/>
          <w:szCs w:val="20"/>
        </w:rPr>
        <w:tab/>
      </w:r>
      <w:r w:rsidR="00733802" w:rsidRPr="00232CE7">
        <w:rPr>
          <w:rFonts w:cs="Tahoma"/>
          <w:i/>
          <w:iCs/>
          <w:color w:val="FFFFFF"/>
          <w:szCs w:val="20"/>
          <w:highlight w:val="black"/>
        </w:rPr>
        <w:t>neveřejný údaj</w:t>
      </w:r>
    </w:p>
    <w:p w14:paraId="28E316E9" w14:textId="0A485FD6" w:rsidR="00D0181B" w:rsidRPr="00432CC1" w:rsidRDefault="00C92495">
      <w:pPr>
        <w:pStyle w:val="RLdajeosmluvnstran"/>
        <w:jc w:val="left"/>
        <w:rPr>
          <w:rFonts w:ascii="Tahoma" w:hAnsi="Tahoma" w:cs="Tahoma"/>
          <w:b/>
          <w:bCs/>
          <w:szCs w:val="20"/>
        </w:rPr>
      </w:pPr>
      <w:r w:rsidRPr="00432CC1">
        <w:rPr>
          <w:rFonts w:ascii="Tahoma" w:hAnsi="Tahoma" w:cs="Tahoma"/>
          <w:szCs w:val="20"/>
        </w:rPr>
        <w:t>zastoupená:</w:t>
      </w:r>
      <w:r w:rsidRPr="00432CC1">
        <w:rPr>
          <w:rFonts w:ascii="Tahoma" w:hAnsi="Tahoma" w:cs="Tahoma"/>
          <w:szCs w:val="20"/>
        </w:rPr>
        <w:tab/>
      </w:r>
      <w:r w:rsidR="00B47505" w:rsidRPr="00432CC1">
        <w:rPr>
          <w:rFonts w:ascii="Tahoma" w:hAnsi="Tahoma" w:cs="Tahoma"/>
          <w:bCs/>
          <w:szCs w:val="20"/>
        </w:rPr>
        <w:t>Mgr. Jiřím Winklerem</w:t>
      </w:r>
      <w:r w:rsidRPr="00432CC1">
        <w:rPr>
          <w:rFonts w:ascii="Tahoma" w:hAnsi="Tahoma" w:cs="Tahoma"/>
          <w:bCs/>
          <w:szCs w:val="20"/>
        </w:rPr>
        <w:t>, prokuristou</w:t>
      </w:r>
      <w:r w:rsidRPr="00432CC1">
        <w:rPr>
          <w:rFonts w:ascii="Tahoma" w:hAnsi="Tahoma" w:cs="Tahoma"/>
          <w:b/>
          <w:bCs/>
          <w:szCs w:val="20"/>
        </w:rPr>
        <w:t xml:space="preserve"> </w:t>
      </w:r>
    </w:p>
    <w:p w14:paraId="2AF2BE70"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bCs/>
          <w:szCs w:val="20"/>
        </w:rPr>
        <w:t>Poskytovatel</w:t>
      </w:r>
      <w:r w:rsidRPr="00432CC1">
        <w:rPr>
          <w:rFonts w:ascii="Tahoma" w:hAnsi="Tahoma" w:cs="Tahoma"/>
          <w:szCs w:val="20"/>
        </w:rPr>
        <w:t>“)</w:t>
      </w:r>
    </w:p>
    <w:p w14:paraId="3D80A7B4" w14:textId="77777777" w:rsidR="00D0181B" w:rsidRPr="00432CC1" w:rsidRDefault="00D0181B">
      <w:pPr>
        <w:pStyle w:val="RLdajeosmluvnstran"/>
        <w:rPr>
          <w:rFonts w:ascii="Tahoma" w:hAnsi="Tahoma" w:cs="Tahoma"/>
          <w:szCs w:val="20"/>
        </w:rPr>
      </w:pPr>
    </w:p>
    <w:p w14:paraId="5EF56D81" w14:textId="3B8BB8A6" w:rsidR="00482588" w:rsidRPr="00432CC1" w:rsidRDefault="00482588" w:rsidP="00482588">
      <w:pPr>
        <w:pStyle w:val="RLdajeosmluvnstran"/>
        <w:rPr>
          <w:rFonts w:ascii="Tahoma" w:hAnsi="Tahoma" w:cs="Tahoma"/>
          <w:b/>
          <w:bCs/>
          <w:szCs w:val="20"/>
        </w:rPr>
      </w:pPr>
      <w:r w:rsidRPr="00432CC1">
        <w:rPr>
          <w:rFonts w:ascii="Tahoma" w:hAnsi="Tahoma" w:cs="Tahoma"/>
          <w:szCs w:val="20"/>
        </w:rPr>
        <w:t xml:space="preserve">dnešního dne uzavřely tuto dílčí smlouvu č. </w:t>
      </w:r>
      <w:r w:rsidR="00E77686">
        <w:rPr>
          <w:rFonts w:ascii="Tahoma" w:hAnsi="Tahoma" w:cs="Tahoma"/>
          <w:szCs w:val="20"/>
        </w:rPr>
        <w:t xml:space="preserve">25 </w:t>
      </w:r>
      <w:r w:rsidR="00E77686" w:rsidRPr="00E77686">
        <w:rPr>
          <w:rFonts w:ascii="Tahoma" w:hAnsi="Tahoma" w:cs="Tahoma"/>
          <w:szCs w:val="20"/>
        </w:rPr>
        <w:t>„Jednotné měsíční hlášení zaměstnavatelů (JMHZ) – doména IS ČSSZ“</w:t>
      </w:r>
      <w:r w:rsidRPr="00432CC1">
        <w:rPr>
          <w:rFonts w:ascii="Tahoma" w:hAnsi="Tahoma" w:cs="Tahoma"/>
          <w:szCs w:val="20"/>
        </w:rPr>
        <w:t xml:space="preserve">, a to na základě Rámcové dohody na poskytování služeb podpory a rozvoje integračních řešení na platformě BizTalk 2022+ ze dne 2. 1. 2023 </w:t>
      </w:r>
      <w:r w:rsidRPr="00432CC1">
        <w:rPr>
          <w:rFonts w:ascii="Tahoma" w:hAnsi="Tahoma" w:cs="Tahoma"/>
          <w:bCs/>
          <w:szCs w:val="20"/>
        </w:rPr>
        <w:t>(dále jen „</w:t>
      </w:r>
      <w:r w:rsidRPr="00432CC1">
        <w:rPr>
          <w:rFonts w:ascii="Tahoma" w:hAnsi="Tahoma" w:cs="Tahoma"/>
          <w:b/>
          <w:bCs/>
          <w:szCs w:val="20"/>
        </w:rPr>
        <w:t>Rámcová dohoda</w:t>
      </w:r>
      <w:r w:rsidRPr="00432CC1">
        <w:rPr>
          <w:rFonts w:ascii="Tahoma" w:hAnsi="Tahoma" w:cs="Tahoma"/>
          <w:bCs/>
          <w:szCs w:val="20"/>
        </w:rPr>
        <w:t>“), uzavřené</w:t>
      </w:r>
      <w:r w:rsidRPr="00432CC1">
        <w:rPr>
          <w:rFonts w:ascii="Tahoma" w:hAnsi="Tahoma" w:cs="Tahoma"/>
          <w:szCs w:val="20"/>
          <w:lang w:eastAsia="x-none"/>
        </w:rPr>
        <w:t xml:space="preserve"> </w:t>
      </w:r>
      <w:r w:rsidRPr="00432CC1">
        <w:rPr>
          <w:rFonts w:ascii="Tahoma" w:hAnsi="Tahoma" w:cs="Tahoma"/>
          <w:szCs w:val="20"/>
        </w:rPr>
        <w:t>v souladu s ustanovením § 1746 odst. 2 zákona č. 89/2012 Sb., občanský zákoník, ve znění pozdějších předpisů (dále jen „</w:t>
      </w:r>
      <w:r w:rsidRPr="00432CC1">
        <w:rPr>
          <w:rFonts w:ascii="Tahoma" w:hAnsi="Tahoma" w:cs="Tahoma"/>
          <w:b/>
          <w:szCs w:val="20"/>
        </w:rPr>
        <w:t>Občanský zákoník</w:t>
      </w:r>
      <w:r w:rsidRPr="00432CC1">
        <w:rPr>
          <w:rFonts w:ascii="Tahoma" w:hAnsi="Tahoma" w:cs="Tahoma"/>
          <w:szCs w:val="20"/>
        </w:rPr>
        <w:t>“)</w:t>
      </w:r>
    </w:p>
    <w:p w14:paraId="4DA2F4DA" w14:textId="093B547D" w:rsidR="00D0181B" w:rsidRPr="00432CC1" w:rsidRDefault="00C92495" w:rsidP="00E77686">
      <w:pPr>
        <w:pStyle w:val="RLdajeosmluvnstran0"/>
        <w:rPr>
          <w:rFonts w:ascii="Tahoma" w:hAnsi="Tahoma" w:cs="Tahoma"/>
          <w:szCs w:val="20"/>
        </w:rPr>
      </w:pPr>
      <w:r w:rsidRPr="00432CC1">
        <w:rPr>
          <w:rFonts w:ascii="Tahoma" w:hAnsi="Tahoma" w:cs="Tahoma"/>
          <w:szCs w:val="20"/>
        </w:rPr>
        <w:t>(dále jen „</w:t>
      </w:r>
      <w:r w:rsidRPr="00432CC1">
        <w:rPr>
          <w:rStyle w:val="RLProhlensmluvnchstranChar"/>
          <w:rFonts w:ascii="Tahoma" w:hAnsi="Tahoma" w:cs="Tahoma"/>
          <w:szCs w:val="20"/>
        </w:rPr>
        <w:t>Smlouva</w:t>
      </w:r>
      <w:r w:rsidRPr="00432CC1">
        <w:rPr>
          <w:rFonts w:ascii="Tahoma" w:hAnsi="Tahoma" w:cs="Tahoma"/>
          <w:szCs w:val="20"/>
        </w:rPr>
        <w:t>“)</w:t>
      </w:r>
    </w:p>
    <w:p w14:paraId="7F983E03"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vědomy si svých závazků v této Smlouvě obsažených a s úmyslem být touto Smlouvou vázány, dohodly se na následujícím znění této Smlouvy:</w:t>
      </w:r>
    </w:p>
    <w:p w14:paraId="0E8FEBBC" w14:textId="77777777" w:rsidR="00D0181B" w:rsidRPr="00432CC1" w:rsidRDefault="00C92495">
      <w:pPr>
        <w:pStyle w:val="RLlneksmlouvy"/>
        <w:numPr>
          <w:ilvl w:val="0"/>
          <w:numId w:val="2"/>
        </w:numPr>
        <w:tabs>
          <w:tab w:val="clear" w:pos="737"/>
          <w:tab w:val="num" w:pos="879"/>
        </w:tabs>
        <w:rPr>
          <w:rFonts w:ascii="Tahoma" w:hAnsi="Tahoma" w:cs="Tahoma"/>
          <w:szCs w:val="20"/>
        </w:rPr>
      </w:pPr>
      <w:r w:rsidRPr="00432CC1">
        <w:rPr>
          <w:rFonts w:ascii="Tahoma" w:hAnsi="Tahoma" w:cs="Tahoma"/>
          <w:szCs w:val="20"/>
        </w:rPr>
        <w:lastRenderedPageBreak/>
        <w:t xml:space="preserve">ÚVODNÍ </w:t>
      </w:r>
      <w:r w:rsidRPr="00432CC1">
        <w:rPr>
          <w:rFonts w:ascii="Tahoma" w:hAnsi="Tahoma" w:cs="Tahoma"/>
          <w:szCs w:val="20"/>
          <w:lang w:val="cs-CZ"/>
        </w:rPr>
        <w:t>UJEDNÁNÍ</w:t>
      </w:r>
    </w:p>
    <w:p w14:paraId="1CFB6E17" w14:textId="77777777"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432CC1">
        <w:rPr>
          <w:rFonts w:ascii="Tahoma" w:hAnsi="Tahoma" w:cs="Tahoma"/>
          <w:b/>
          <w:bCs/>
        </w:rPr>
        <w:t>ČSSZ</w:t>
      </w:r>
      <w:r w:rsidRPr="00432CC1">
        <w:rPr>
          <w:rFonts w:ascii="Tahoma" w:hAnsi="Tahoma" w:cs="Tahoma"/>
        </w:rPr>
        <w:t xml:space="preserve">“) uzavřena Rámcová dohoda pro účely zajištění poskytování služeb podpory a rozvoje integračních řešení na platformě BizTalk 2022+ a podpory a rozvoje ESB </w:t>
      </w:r>
      <w:proofErr w:type="spellStart"/>
      <w:r w:rsidRPr="00432CC1">
        <w:rPr>
          <w:rFonts w:ascii="Tahoma" w:hAnsi="Tahoma" w:cs="Tahoma"/>
        </w:rPr>
        <w:t>Backend</w:t>
      </w:r>
      <w:proofErr w:type="spellEnd"/>
      <w:r w:rsidRPr="00432CC1">
        <w:rPr>
          <w:rFonts w:ascii="Tahoma" w:hAnsi="Tahoma" w:cs="Tahoma"/>
        </w:rPr>
        <w:t xml:space="preserve"> </w:t>
      </w:r>
      <w:r w:rsidRPr="00432CC1">
        <w:rPr>
          <w:rFonts w:ascii="Tahoma" w:hAnsi="Tahoma" w:cs="Tahoma"/>
        </w:rPr>
        <w:br/>
        <w:t>a DIS.</w:t>
      </w:r>
    </w:p>
    <w:p w14:paraId="74BB1935" w14:textId="289CA674"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szCs w:val="20"/>
        </w:rPr>
        <w:t>Smluvní vztah uvedený v odst. 1.1 tohoto článku Smlouvy byl uzavřen ze strany ČSSZ pro účely rozvoje</w:t>
      </w:r>
      <w:r w:rsidRPr="00432CC1">
        <w:rPr>
          <w:rFonts w:ascii="Tahoma" w:hAnsi="Tahoma" w:cs="Tahoma"/>
          <w:szCs w:val="20"/>
          <w:lang w:val="cs-CZ"/>
        </w:rPr>
        <w:t xml:space="preserve"> a podpory</w:t>
      </w:r>
      <w:r w:rsidRPr="00432CC1">
        <w:rPr>
          <w:rFonts w:ascii="Tahoma" w:hAnsi="Tahoma" w:cs="Tahoma"/>
          <w:szCs w:val="20"/>
        </w:rPr>
        <w:t xml:space="preserve"> informačního systému</w:t>
      </w:r>
      <w:r w:rsidRPr="00432CC1">
        <w:rPr>
          <w:rFonts w:ascii="Tahoma" w:hAnsi="Tahoma" w:cs="Tahoma"/>
          <w:szCs w:val="20"/>
          <w:lang w:bidi="cs-CZ"/>
        </w:rPr>
        <w:t>, který je součástí Integrovaného informačního systému</w:t>
      </w:r>
      <w:r w:rsidRPr="00432CC1">
        <w:rPr>
          <w:rFonts w:ascii="Tahoma" w:hAnsi="Tahoma" w:cs="Tahoma"/>
          <w:szCs w:val="20"/>
        </w:rPr>
        <w:t xml:space="preserve"> ČSSZ. Dle zákona č. 395/2024 Sb., kterým se mění zákon </w:t>
      </w:r>
      <w:r w:rsidRPr="00432CC1">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432CC1">
        <w:rPr>
          <w:rFonts w:ascii="Tahoma" w:hAnsi="Tahoma" w:cs="Tahoma"/>
          <w:szCs w:val="20"/>
        </w:rPr>
        <w:br/>
        <w:t xml:space="preserve">i </w:t>
      </w:r>
      <w:r w:rsidRPr="00432CC1">
        <w:rPr>
          <w:rFonts w:ascii="Tahoma" w:hAnsi="Tahoma" w:cs="Tahoma"/>
          <w:szCs w:val="20"/>
          <w:lang w:val="cs-CZ"/>
        </w:rPr>
        <w:t xml:space="preserve">Integrovaný </w:t>
      </w:r>
      <w:r w:rsidRPr="00432CC1">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432CC1">
        <w:rPr>
          <w:rFonts w:ascii="Tahoma" w:hAnsi="Tahoma" w:cs="Tahoma"/>
          <w:szCs w:val="20"/>
          <w:lang w:val="cs-CZ"/>
        </w:rPr>
        <w:t>2</w:t>
      </w:r>
      <w:r w:rsidRPr="00432CC1">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432CC1" w:rsidRDefault="008B58A1" w:rsidP="002949FB">
      <w:pPr>
        <w:pStyle w:val="RLTextlnkuslovan"/>
        <w:tabs>
          <w:tab w:val="clear" w:pos="1474"/>
          <w:tab w:val="num" w:pos="1560"/>
        </w:tabs>
        <w:ind w:left="1588" w:hanging="709"/>
        <w:rPr>
          <w:rFonts w:ascii="Tahoma" w:hAnsi="Tahoma" w:cs="Tahoma"/>
          <w:szCs w:val="20"/>
          <w:lang w:val="cs-CZ" w:eastAsia="en-US"/>
        </w:rPr>
      </w:pPr>
      <w:r w:rsidRPr="00432CC1">
        <w:rPr>
          <w:rFonts w:ascii="Tahoma" w:hAnsi="Tahoma" w:cs="Tahoma"/>
        </w:rPr>
        <w:t>Objednatel a Poskytovatel uzavírají tuto Smlouvu v souladu s postupem dle Přílohy č. 7 Rámcové dohody</w:t>
      </w:r>
      <w:r w:rsidRPr="00432CC1">
        <w:rPr>
          <w:rFonts w:ascii="Tahoma" w:hAnsi="Tahoma" w:cs="Tahoma"/>
          <w:lang w:val="cs-CZ"/>
        </w:rPr>
        <w:t>.</w:t>
      </w:r>
    </w:p>
    <w:p w14:paraId="1E28D12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PŘEDMĚT PLNĚNÍ</w:t>
      </w:r>
    </w:p>
    <w:p w14:paraId="1EEC5C8C"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szCs w:val="20"/>
          <w:lang w:val="cs-CZ" w:eastAsia="en-US"/>
        </w:rPr>
        <w:t>Poskytovatel se zavazuje poskytnout Objednateli služby specifikované v Příloze č. 1 této Smlouvy (dále jen „</w:t>
      </w:r>
      <w:r w:rsidRPr="00432CC1">
        <w:rPr>
          <w:rFonts w:ascii="Tahoma" w:hAnsi="Tahoma" w:cs="Tahoma"/>
          <w:b/>
          <w:szCs w:val="20"/>
        </w:rPr>
        <w:t>Služby</w:t>
      </w:r>
      <w:r w:rsidRPr="00432CC1">
        <w:rPr>
          <w:rFonts w:ascii="Tahoma" w:hAnsi="Tahoma" w:cs="Tahoma"/>
          <w:szCs w:val="20"/>
          <w:lang w:val="cs-CZ" w:eastAsia="en-US"/>
        </w:rPr>
        <w:t>“).</w:t>
      </w:r>
    </w:p>
    <w:p w14:paraId="6CA7341C"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lang w:val="cs-CZ"/>
        </w:rPr>
        <w:t>HARMONOGRAM PLNĚNÍ</w:t>
      </w:r>
    </w:p>
    <w:p w14:paraId="6586FA6D"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MÍSTO PLNĚNÍ</w:t>
      </w:r>
    </w:p>
    <w:p w14:paraId="2D7774C6" w14:textId="77777777" w:rsidR="00D0181B" w:rsidRPr="00432CC1" w:rsidRDefault="00C92495">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CENA PLNĚNÍ</w:t>
      </w:r>
    </w:p>
    <w:p w14:paraId="37DD06D8" w14:textId="77777777" w:rsidR="00D0181B" w:rsidRPr="00432CC1" w:rsidRDefault="00C92495">
      <w:pPr>
        <w:pStyle w:val="RLTextlnkuslovan"/>
        <w:tabs>
          <w:tab w:val="clear" w:pos="1474"/>
          <w:tab w:val="num" w:pos="1588"/>
        </w:tabs>
        <w:ind w:left="1588"/>
        <w:rPr>
          <w:rFonts w:ascii="Tahoma" w:hAnsi="Tahoma" w:cs="Tahoma"/>
          <w:szCs w:val="20"/>
        </w:rPr>
      </w:pPr>
      <w:r w:rsidRPr="00432CC1">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64B100E4" w:rsidR="00D0181B" w:rsidRPr="00DE2B33" w:rsidRDefault="00C92495" w:rsidP="00DE2B33">
      <w:pPr>
        <w:pStyle w:val="RLTextlnkuslovan"/>
        <w:tabs>
          <w:tab w:val="clear" w:pos="1474"/>
          <w:tab w:val="num" w:pos="1588"/>
        </w:tabs>
        <w:ind w:left="1588"/>
        <w:rPr>
          <w:rFonts w:ascii="Tahoma" w:hAnsi="Tahoma" w:cs="Tahoma"/>
          <w:szCs w:val="20"/>
          <w:lang w:val="cs-CZ"/>
        </w:rPr>
      </w:pPr>
      <w:r w:rsidRPr="00432CC1">
        <w:rPr>
          <w:rFonts w:ascii="Tahoma" w:hAnsi="Tahoma" w:cs="Tahoma"/>
          <w:szCs w:val="20"/>
          <w:lang w:val="cs-CZ"/>
        </w:rPr>
        <w:lastRenderedPageBreak/>
        <w:t>Maximální cena za poskytnuté Služby dle specifikace uvedené v Příloze č. 1 této Smlouvy činí</w:t>
      </w:r>
      <w:r w:rsidRPr="00DE2B33">
        <w:rPr>
          <w:rFonts w:ascii="Tahoma" w:hAnsi="Tahoma" w:cs="Tahoma"/>
          <w:szCs w:val="20"/>
          <w:lang w:val="cs-CZ"/>
        </w:rPr>
        <w:t>:</w:t>
      </w:r>
      <w:r w:rsidR="0064772D" w:rsidRPr="00DE2B33">
        <w:rPr>
          <w:rFonts w:ascii="Tahoma" w:hAnsi="Tahoma" w:cs="Tahoma"/>
          <w:szCs w:val="20"/>
          <w:lang w:val="cs-CZ"/>
        </w:rPr>
        <w:t xml:space="preserve"> </w:t>
      </w:r>
    </w:p>
    <w:p w14:paraId="33A2C3D2" w14:textId="1FB891C9" w:rsidR="00D0181B" w:rsidRPr="00432CC1" w:rsidRDefault="00C07CE5">
      <w:pPr>
        <w:pStyle w:val="RLTextlnkuslovan"/>
        <w:numPr>
          <w:ilvl w:val="0"/>
          <w:numId w:val="0"/>
        </w:numPr>
        <w:ind w:left="1588"/>
        <w:jc w:val="center"/>
        <w:rPr>
          <w:rFonts w:ascii="Tahoma" w:hAnsi="Tahoma" w:cs="Tahoma"/>
          <w:b/>
          <w:szCs w:val="20"/>
        </w:rPr>
      </w:pPr>
      <w:r w:rsidRPr="00C07CE5">
        <w:rPr>
          <w:rFonts w:ascii="Tahoma" w:hAnsi="Tahoma" w:cs="Tahoma"/>
          <w:b/>
          <w:szCs w:val="20"/>
        </w:rPr>
        <w:t>6</w:t>
      </w:r>
      <w:r>
        <w:rPr>
          <w:rFonts w:ascii="Tahoma" w:hAnsi="Tahoma" w:cs="Tahoma"/>
          <w:b/>
          <w:szCs w:val="20"/>
        </w:rPr>
        <w:t> </w:t>
      </w:r>
      <w:r w:rsidRPr="00C07CE5">
        <w:rPr>
          <w:rFonts w:ascii="Tahoma" w:hAnsi="Tahoma" w:cs="Tahoma"/>
          <w:b/>
          <w:szCs w:val="20"/>
        </w:rPr>
        <w:t>501</w:t>
      </w:r>
      <w:r>
        <w:rPr>
          <w:rFonts w:ascii="Tahoma" w:hAnsi="Tahoma" w:cs="Tahoma"/>
          <w:b/>
          <w:szCs w:val="20"/>
        </w:rPr>
        <w:t xml:space="preserve"> </w:t>
      </w:r>
      <w:r w:rsidRPr="00C07CE5">
        <w:rPr>
          <w:rFonts w:ascii="Tahoma" w:hAnsi="Tahoma" w:cs="Tahoma"/>
          <w:b/>
          <w:szCs w:val="20"/>
        </w:rPr>
        <w:t>446</w:t>
      </w:r>
      <w:r w:rsidR="00D1036B" w:rsidRPr="00432CC1">
        <w:rPr>
          <w:rFonts w:ascii="Tahoma" w:hAnsi="Tahoma" w:cs="Tahoma"/>
          <w:b/>
          <w:szCs w:val="20"/>
        </w:rPr>
        <w:t>,- Kč</w:t>
      </w:r>
      <w:r w:rsidR="00C92495" w:rsidRPr="00432CC1">
        <w:rPr>
          <w:rFonts w:ascii="Tahoma" w:hAnsi="Tahoma" w:cs="Tahoma"/>
          <w:b/>
          <w:szCs w:val="20"/>
        </w:rPr>
        <w:t xml:space="preserve"> bez DPH,</w:t>
      </w:r>
    </w:p>
    <w:p w14:paraId="063F2F47" w14:textId="50D6FA04" w:rsidR="00D0181B" w:rsidRPr="00432CC1" w:rsidRDefault="00C92495">
      <w:pPr>
        <w:pStyle w:val="RLTextlnkuslovan"/>
        <w:numPr>
          <w:ilvl w:val="0"/>
          <w:numId w:val="0"/>
        </w:numPr>
        <w:ind w:left="1588"/>
        <w:jc w:val="center"/>
        <w:rPr>
          <w:rFonts w:ascii="Tahoma" w:hAnsi="Tahoma" w:cs="Tahoma"/>
          <w:b/>
          <w:szCs w:val="20"/>
        </w:rPr>
      </w:pPr>
      <w:r w:rsidRPr="00432CC1">
        <w:rPr>
          <w:rFonts w:ascii="Tahoma" w:hAnsi="Tahoma" w:cs="Tahoma"/>
          <w:b/>
          <w:szCs w:val="20"/>
        </w:rPr>
        <w:t xml:space="preserve">tj. </w:t>
      </w:r>
      <w:r w:rsidR="00C07CE5" w:rsidRPr="00C07CE5">
        <w:rPr>
          <w:rFonts w:ascii="Tahoma" w:hAnsi="Tahoma" w:cs="Tahoma"/>
          <w:b/>
          <w:szCs w:val="20"/>
        </w:rPr>
        <w:t>7</w:t>
      </w:r>
      <w:r w:rsidR="00C07CE5">
        <w:rPr>
          <w:rFonts w:ascii="Tahoma" w:hAnsi="Tahoma" w:cs="Tahoma"/>
          <w:b/>
          <w:szCs w:val="20"/>
        </w:rPr>
        <w:t> </w:t>
      </w:r>
      <w:r w:rsidR="00C07CE5" w:rsidRPr="00C07CE5">
        <w:rPr>
          <w:rFonts w:ascii="Tahoma" w:hAnsi="Tahoma" w:cs="Tahoma"/>
          <w:b/>
          <w:szCs w:val="20"/>
        </w:rPr>
        <w:t>866</w:t>
      </w:r>
      <w:r w:rsidR="00C07CE5">
        <w:rPr>
          <w:rFonts w:ascii="Tahoma" w:hAnsi="Tahoma" w:cs="Tahoma"/>
          <w:b/>
          <w:szCs w:val="20"/>
        </w:rPr>
        <w:t xml:space="preserve"> </w:t>
      </w:r>
      <w:r w:rsidR="00C07CE5" w:rsidRPr="00C07CE5">
        <w:rPr>
          <w:rFonts w:ascii="Tahoma" w:hAnsi="Tahoma" w:cs="Tahoma"/>
          <w:b/>
          <w:szCs w:val="20"/>
        </w:rPr>
        <w:t>749,66</w:t>
      </w:r>
      <w:r w:rsidR="00940FE9" w:rsidRPr="00432CC1">
        <w:rPr>
          <w:rFonts w:ascii="Tahoma" w:hAnsi="Tahoma" w:cs="Tahoma"/>
          <w:b/>
          <w:szCs w:val="20"/>
        </w:rPr>
        <w:t xml:space="preserve"> </w:t>
      </w:r>
      <w:r w:rsidRPr="00432CC1">
        <w:rPr>
          <w:rFonts w:ascii="Tahoma" w:hAnsi="Tahoma" w:cs="Tahoma"/>
          <w:b/>
          <w:szCs w:val="20"/>
        </w:rPr>
        <w:t>Kč vč. DPH.</w:t>
      </w:r>
    </w:p>
    <w:p w14:paraId="33C1A0E5" w14:textId="77777777" w:rsidR="008B58A1" w:rsidRPr="00432CC1" w:rsidRDefault="008B58A1" w:rsidP="00E77686">
      <w:pPr>
        <w:pStyle w:val="RLTextlnkuslovan"/>
        <w:tabs>
          <w:tab w:val="clear" w:pos="1474"/>
          <w:tab w:val="num" w:pos="1588"/>
        </w:tabs>
        <w:ind w:left="1588"/>
        <w:rPr>
          <w:rFonts w:ascii="Tahoma" w:hAnsi="Tahoma" w:cs="Tahoma"/>
          <w:szCs w:val="20"/>
          <w:lang w:val="cs-CZ"/>
        </w:rPr>
      </w:pPr>
      <w:r w:rsidRPr="00432CC1">
        <w:rPr>
          <w:rFonts w:ascii="Tahoma" w:hAnsi="Tahoma" w:cs="Tahoma"/>
          <w:szCs w:val="20"/>
          <w:lang w:val="cs-CZ"/>
        </w:rPr>
        <w:t>Faktura bude vystavena v souladu s příslušnými ujednáními Rámcové dohody, a to při reflektování změny v osobě Objednatele ve smyslu čl. 1 odst. 1.2 této Smlouvy.</w:t>
      </w:r>
    </w:p>
    <w:p w14:paraId="23ABBE2A" w14:textId="77777777" w:rsidR="008B58A1" w:rsidRPr="00432CC1" w:rsidRDefault="008B58A1" w:rsidP="00E77686">
      <w:pPr>
        <w:pStyle w:val="RLTextlnkuslovan"/>
        <w:tabs>
          <w:tab w:val="clear" w:pos="1474"/>
          <w:tab w:val="num" w:pos="1588"/>
        </w:tabs>
        <w:ind w:left="1588"/>
        <w:rPr>
          <w:rFonts w:ascii="Tahoma" w:hAnsi="Tahoma" w:cs="Tahoma"/>
          <w:szCs w:val="20"/>
          <w:lang w:val="cs-CZ"/>
        </w:rPr>
      </w:pPr>
      <w:r w:rsidRPr="00432CC1">
        <w:rPr>
          <w:rFonts w:ascii="Tahoma" w:hAnsi="Tahoma" w:cs="Tahoma"/>
          <w:szCs w:val="20"/>
          <w:lang w:val="cs-CZ"/>
        </w:rPr>
        <w:t>Na faktuře musí být uvedena následující informace:</w:t>
      </w:r>
    </w:p>
    <w:p w14:paraId="1D6F4A1F" w14:textId="6B7E7414" w:rsidR="007B279D" w:rsidRPr="00432CC1" w:rsidRDefault="008B58A1" w:rsidP="00E77686">
      <w:pPr>
        <w:pStyle w:val="RLTextlnkuslovan"/>
        <w:numPr>
          <w:ilvl w:val="0"/>
          <w:numId w:val="0"/>
        </w:numPr>
        <w:ind w:left="1588"/>
        <w:rPr>
          <w:rFonts w:ascii="Tahoma" w:hAnsi="Tahoma" w:cs="Tahoma"/>
          <w:szCs w:val="20"/>
          <w:lang w:val="cs-CZ"/>
        </w:rPr>
      </w:pPr>
      <w:r w:rsidRPr="00432CC1">
        <w:rPr>
          <w:rFonts w:ascii="Tahoma" w:hAnsi="Tahoma" w:cs="Tahoma"/>
          <w:szCs w:val="20"/>
          <w:lang w:val="cs-CZ"/>
        </w:rPr>
        <w:t>„Služba/y byla/y poskytnuta/y v rámci projektu „</w:t>
      </w:r>
      <w:r w:rsidR="00B66402" w:rsidRPr="00E77686">
        <w:rPr>
          <w:rFonts w:ascii="Tahoma" w:hAnsi="Tahoma" w:cs="Tahoma"/>
          <w:szCs w:val="20"/>
          <w:lang w:val="cs-CZ"/>
        </w:rPr>
        <w:t>Jednotné měsíční hlášení zaměstnavatelů (JMHZ) – doména IS ČSSZ</w:t>
      </w:r>
      <w:r w:rsidRPr="00432CC1">
        <w:rPr>
          <w:rFonts w:ascii="Tahoma" w:hAnsi="Tahoma" w:cs="Tahoma"/>
          <w:szCs w:val="20"/>
          <w:lang w:val="cs-CZ"/>
        </w:rPr>
        <w:t>“ z Národního plánu obnovy“.</w:t>
      </w:r>
    </w:p>
    <w:p w14:paraId="0F9625E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OPRÁVNĚNÉ OSOBY</w:t>
      </w:r>
    </w:p>
    <w:p w14:paraId="384F3D00"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w:t>
      </w:r>
      <w:r w:rsidRPr="00432CC1">
        <w:rPr>
          <w:rFonts w:ascii="Tahoma" w:hAnsi="Tahoma" w:cs="Tahoma"/>
          <w:szCs w:val="20"/>
          <w:lang w:eastAsia="en-US"/>
        </w:rPr>
        <w:t>soby oprávněné zastupovat smluvní strany v</w:t>
      </w:r>
      <w:r w:rsidRPr="00432CC1">
        <w:rPr>
          <w:rFonts w:ascii="Tahoma" w:hAnsi="Tahoma" w:cs="Tahoma"/>
          <w:szCs w:val="20"/>
          <w:lang w:val="cs-CZ" w:eastAsia="en-US"/>
        </w:rPr>
        <w:t>e smluvních</w:t>
      </w:r>
      <w:r w:rsidRPr="00432CC1">
        <w:rPr>
          <w:rFonts w:ascii="Tahoma" w:hAnsi="Tahoma" w:cs="Tahoma"/>
          <w:szCs w:val="20"/>
          <w:lang w:eastAsia="en-US"/>
        </w:rPr>
        <w:t xml:space="preserve"> záležitostech této Smlouvy jsou</w:t>
      </w:r>
      <w:r w:rsidRPr="00432CC1">
        <w:rPr>
          <w:rFonts w:ascii="Tahoma" w:hAnsi="Tahoma" w:cs="Tahoma"/>
          <w:szCs w:val="20"/>
          <w:lang w:val="cs-CZ" w:eastAsia="en-US"/>
        </w:rPr>
        <w:t xml:space="preserve">: </w:t>
      </w:r>
    </w:p>
    <w:p w14:paraId="52E40204" w14:textId="23698EC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F438C7" w:rsidRPr="00432CC1">
        <w:rPr>
          <w:rFonts w:ascii="Tahoma" w:hAnsi="Tahoma" w:cs="Tahoma"/>
          <w:szCs w:val="20"/>
          <w:lang w:val="cs-CZ" w:eastAsia="en-US"/>
        </w:rPr>
        <w:t>Ing. Milan Lonský</w:t>
      </w:r>
    </w:p>
    <w:p w14:paraId="102E2534" w14:textId="5008B497"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5DC6CF91" w14:textId="6AA6DBDD" w:rsidR="00BA3631" w:rsidRPr="00432CC1" w:rsidRDefault="00BA3631" w:rsidP="00BA3631">
      <w:pPr>
        <w:pStyle w:val="RLTextlnkuslovan"/>
        <w:numPr>
          <w:ilvl w:val="0"/>
          <w:numId w:val="0"/>
        </w:numPr>
        <w:spacing w:after="0"/>
        <w:ind w:left="1588"/>
        <w:rPr>
          <w:rFonts w:ascii="Tahoma" w:hAnsi="Tahoma" w:cs="Tahoma"/>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3B9786FF" w14:textId="77777777" w:rsidR="007B279D" w:rsidRPr="00432CC1" w:rsidRDefault="007B279D"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t>Mgr. Jiří Winkler</w:t>
      </w:r>
    </w:p>
    <w:p w14:paraId="75459A13" w14:textId="432B29C2"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0A34BD8C" w14:textId="3B6A390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2458540A"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obchodních záležitostech této Smlouvy jsou:</w:t>
      </w:r>
    </w:p>
    <w:p w14:paraId="7ABB6A34" w14:textId="125A7F83"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9251A4" w:rsidRPr="00432CC1">
        <w:rPr>
          <w:rFonts w:ascii="Tahoma" w:hAnsi="Tahoma" w:cs="Tahoma"/>
          <w:szCs w:val="20"/>
          <w:lang w:val="cs-CZ" w:eastAsia="en-US"/>
        </w:rPr>
        <w:t>Bc. Radim Vřeský</w:t>
      </w:r>
    </w:p>
    <w:p w14:paraId="02E65770" w14:textId="41633696"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proofErr w:type="gramStart"/>
      <w:r w:rsidRPr="00432CC1">
        <w:rPr>
          <w:rFonts w:ascii="Tahoma" w:hAnsi="Tahoma" w:cs="Tahoma"/>
          <w:szCs w:val="20"/>
          <w:lang w:val="cs-CZ" w:eastAsia="en-US"/>
        </w:rPr>
        <w:tab/>
        <w:t xml:space="preserve">  </w:t>
      </w:r>
      <w:r w:rsidRPr="00432CC1">
        <w:rPr>
          <w:rFonts w:ascii="Tahoma" w:hAnsi="Tahoma" w:cs="Tahoma"/>
          <w:szCs w:val="20"/>
          <w:lang w:val="cs-CZ" w:eastAsia="en-US"/>
        </w:rPr>
        <w:tab/>
      </w:r>
      <w:proofErr w:type="gramEnd"/>
      <w:r w:rsidR="00733802" w:rsidRPr="00232CE7">
        <w:rPr>
          <w:rFonts w:ascii="Tahoma" w:hAnsi="Tahoma" w:cs="Tahoma"/>
          <w:i/>
          <w:iCs/>
          <w:color w:val="FFFFFF"/>
          <w:szCs w:val="20"/>
          <w:highlight w:val="black"/>
        </w:rPr>
        <w:t>neveřejný údaj</w:t>
      </w:r>
    </w:p>
    <w:p w14:paraId="26B53FE9" w14:textId="70D2EAED"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1271C181"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r>
      <w:r w:rsidR="000031AC" w:rsidRPr="00432CC1">
        <w:rPr>
          <w:rFonts w:ascii="Tahoma" w:hAnsi="Tahoma" w:cs="Tahoma"/>
          <w:szCs w:val="20"/>
          <w:lang w:eastAsia="en-US"/>
        </w:rPr>
        <w:t>Mgr. Jiří Winkler</w:t>
      </w:r>
    </w:p>
    <w:p w14:paraId="2FD0C8B7" w14:textId="0580E8E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77B0D91D" w14:textId="4B167D94"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val="cs-CZ" w:eastAsia="en-US"/>
        </w:rPr>
        <w:t>:</w:t>
      </w:r>
      <w:r w:rsidRPr="00432CC1">
        <w:rPr>
          <w:rFonts w:ascii="Tahoma" w:hAnsi="Tahoma" w:cs="Tahoma"/>
          <w:szCs w:val="20"/>
          <w:lang w:val="cs-CZ" w:eastAsia="en-US"/>
        </w:rPr>
        <w:tab/>
      </w:r>
      <w:r w:rsidRPr="00432CC1">
        <w:rPr>
          <w:rFonts w:ascii="Tahoma" w:hAnsi="Tahoma" w:cs="Tahoma"/>
          <w:szCs w:val="20"/>
          <w:lang w:val="cs-CZ" w:eastAsia="en-US"/>
        </w:rPr>
        <w:tab/>
      </w:r>
      <w:r w:rsidR="00733802" w:rsidRPr="00232CE7">
        <w:rPr>
          <w:rFonts w:ascii="Tahoma" w:hAnsi="Tahoma" w:cs="Tahoma"/>
          <w:i/>
          <w:iCs/>
          <w:color w:val="FFFFFF"/>
          <w:szCs w:val="20"/>
          <w:highlight w:val="black"/>
        </w:rPr>
        <w:t>neveřejný údaj</w:t>
      </w:r>
    </w:p>
    <w:p w14:paraId="5686160F"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1092645"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070E29B1"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t>Bc. Radim Vřeský</w:t>
      </w:r>
    </w:p>
    <w:p w14:paraId="45623242" w14:textId="7E5A39FB"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733802" w:rsidRPr="00232CE7">
        <w:rPr>
          <w:rFonts w:ascii="Tahoma" w:hAnsi="Tahoma" w:cs="Tahoma"/>
          <w:i/>
          <w:iCs/>
          <w:color w:val="FFFFFF"/>
          <w:szCs w:val="20"/>
          <w:highlight w:val="black"/>
        </w:rPr>
        <w:t>neveřejný údaj</w:t>
      </w:r>
    </w:p>
    <w:p w14:paraId="632EE857" w14:textId="5B506AB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733802" w:rsidRPr="00232CE7">
        <w:rPr>
          <w:rFonts w:ascii="Tahoma" w:hAnsi="Tahoma" w:cs="Tahoma"/>
          <w:i/>
          <w:iCs/>
          <w:color w:val="FFFFFF"/>
          <w:szCs w:val="20"/>
          <w:highlight w:val="black"/>
        </w:rPr>
        <w:t>neveřejný údaj</w:t>
      </w:r>
    </w:p>
    <w:p w14:paraId="769956D9" w14:textId="3D0B17CF" w:rsidR="00B45FD4" w:rsidRDefault="00B45FD4">
      <w:pPr>
        <w:rPr>
          <w:rFonts w:eastAsia="Times New Roman" w:cs="Tahoma"/>
          <w:szCs w:val="20"/>
        </w:rPr>
      </w:pPr>
    </w:p>
    <w:p w14:paraId="64A9C234" w14:textId="494EFEF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w:t>
      </w:r>
      <w:proofErr w:type="gramStart"/>
      <w:r w:rsidRPr="00432CC1">
        <w:rPr>
          <w:rFonts w:ascii="Tahoma" w:hAnsi="Tahoma" w:cs="Tahoma"/>
          <w:szCs w:val="20"/>
          <w:lang w:val="cs-CZ" w:eastAsia="en-US"/>
        </w:rPr>
        <w:t>Poskytovatele</w:t>
      </w:r>
      <w:r w:rsidRPr="00432CC1">
        <w:rPr>
          <w:rFonts w:ascii="Tahoma" w:hAnsi="Tahoma" w:cs="Tahoma"/>
          <w:szCs w:val="20"/>
          <w:lang w:eastAsia="en-US"/>
        </w:rPr>
        <w:t xml:space="preserve">:  </w:t>
      </w:r>
      <w:r w:rsidRPr="00432CC1">
        <w:rPr>
          <w:rFonts w:ascii="Tahoma" w:hAnsi="Tahoma" w:cs="Tahoma"/>
          <w:szCs w:val="20"/>
          <w:lang w:eastAsia="en-US"/>
        </w:rPr>
        <w:tab/>
      </w:r>
      <w:proofErr w:type="gramEnd"/>
      <w:r w:rsidRPr="00432CC1">
        <w:rPr>
          <w:rFonts w:ascii="Tahoma" w:hAnsi="Tahoma" w:cs="Tahoma"/>
          <w:szCs w:val="20"/>
          <w:lang w:val="cs-CZ" w:eastAsia="en-US"/>
        </w:rPr>
        <w:t>Ing. Pavel Bělohradský</w:t>
      </w:r>
    </w:p>
    <w:p w14:paraId="5F8C3C1A" w14:textId="56446794" w:rsidR="00BA3631" w:rsidRPr="00432CC1" w:rsidRDefault="00BA3631" w:rsidP="00BA3631">
      <w:pPr>
        <w:pStyle w:val="RLTextlnkuslovan"/>
        <w:numPr>
          <w:ilvl w:val="0"/>
          <w:numId w:val="0"/>
        </w:numPr>
        <w:spacing w:after="0"/>
        <w:ind w:left="1588"/>
        <w:rPr>
          <w:rFonts w:ascii="Tahoma" w:hAnsi="Tahoma" w:cs="Tahoma"/>
          <w:szCs w:val="20"/>
          <w:highlight w:val="yellow"/>
          <w:lang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21EA8AE9" w14:textId="20F83558"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33802" w:rsidRPr="00232CE7">
        <w:rPr>
          <w:rFonts w:ascii="Tahoma" w:hAnsi="Tahoma" w:cs="Tahoma"/>
          <w:i/>
          <w:iCs/>
          <w:color w:val="FFFFFF"/>
          <w:szCs w:val="20"/>
          <w:highlight w:val="black"/>
        </w:rPr>
        <w:t>neveřejný údaj</w:t>
      </w:r>
    </w:p>
    <w:p w14:paraId="3DDFE1D7"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C499444" w14:textId="77777777" w:rsidR="00E77686" w:rsidRDefault="00E77686">
      <w:pPr>
        <w:rPr>
          <w:rFonts w:eastAsia="Times New Roman" w:cs="Tahoma"/>
          <w:szCs w:val="20"/>
        </w:rPr>
      </w:pPr>
      <w:r>
        <w:rPr>
          <w:rFonts w:cs="Tahoma"/>
          <w:szCs w:val="20"/>
        </w:rPr>
        <w:br w:type="page"/>
      </w:r>
    </w:p>
    <w:p w14:paraId="50E7BCBC" w14:textId="6CC27D30"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lastRenderedPageBreak/>
        <w:t>Osoby oprávněné zastupovat smluvní strany v technických záležitostech této Smlouvy jsou:</w:t>
      </w:r>
    </w:p>
    <w:p w14:paraId="65406B03" w14:textId="0025352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r>
      <w:r w:rsidR="00255EF2" w:rsidRPr="00432CC1">
        <w:rPr>
          <w:rFonts w:ascii="Tahoma" w:hAnsi="Tahoma" w:cs="Tahoma"/>
          <w:szCs w:val="20"/>
          <w:lang w:val="cs-CZ" w:eastAsia="en-US"/>
        </w:rPr>
        <w:t>Ing. Jan Mikulecký, Ph.D.</w:t>
      </w:r>
    </w:p>
    <w:p w14:paraId="73562F73" w14:textId="07B6A1D4"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733802" w:rsidRPr="00232CE7">
        <w:rPr>
          <w:rFonts w:ascii="Tahoma" w:hAnsi="Tahoma" w:cs="Tahoma"/>
          <w:i/>
          <w:iCs/>
          <w:color w:val="FFFFFF"/>
          <w:szCs w:val="20"/>
          <w:highlight w:val="black"/>
        </w:rPr>
        <w:t>neveřejný údaj</w:t>
      </w:r>
    </w:p>
    <w:p w14:paraId="506A1FB1" w14:textId="61F69582"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733802" w:rsidRPr="00232CE7">
        <w:rPr>
          <w:rFonts w:ascii="Tahoma" w:hAnsi="Tahoma" w:cs="Tahoma"/>
          <w:i/>
          <w:iCs/>
          <w:color w:val="FFFFFF"/>
          <w:szCs w:val="20"/>
          <w:highlight w:val="black"/>
        </w:rPr>
        <w:t>neveřejný údaj</w:t>
      </w:r>
    </w:p>
    <w:p w14:paraId="2E6B31AE"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Poskytovatele:</w:t>
      </w:r>
      <w:r w:rsidRPr="00432CC1">
        <w:rPr>
          <w:rFonts w:ascii="Tahoma" w:hAnsi="Tahoma" w:cs="Tahoma"/>
          <w:szCs w:val="20"/>
          <w:lang w:val="cs-CZ" w:eastAsia="en-US"/>
        </w:rPr>
        <w:tab/>
      </w:r>
      <w:r w:rsidRPr="00432CC1">
        <w:rPr>
          <w:rFonts w:ascii="Tahoma" w:hAnsi="Tahoma" w:cs="Tahoma"/>
          <w:szCs w:val="20"/>
        </w:rPr>
        <w:t>Daniel Horáček</w:t>
      </w:r>
    </w:p>
    <w:p w14:paraId="5FE8E23C" w14:textId="2D2A0C62"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00733802" w:rsidRPr="00232CE7">
        <w:rPr>
          <w:rFonts w:ascii="Tahoma" w:hAnsi="Tahoma" w:cs="Tahoma"/>
          <w:i/>
          <w:iCs/>
          <w:color w:val="FFFFFF"/>
          <w:szCs w:val="20"/>
          <w:highlight w:val="black"/>
        </w:rPr>
        <w:t>neveřejný údaj</w:t>
      </w:r>
    </w:p>
    <w:p w14:paraId="043C0126" w14:textId="5965928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email:</w:t>
      </w:r>
      <w:r w:rsidRPr="00432CC1">
        <w:rPr>
          <w:rFonts w:ascii="Tahoma" w:hAnsi="Tahoma" w:cs="Tahoma"/>
          <w:szCs w:val="20"/>
          <w:lang w:val="cs-CZ" w:eastAsia="en-US"/>
        </w:rPr>
        <w:tab/>
      </w:r>
      <w:r w:rsidRPr="00432CC1">
        <w:rPr>
          <w:rFonts w:ascii="Tahoma" w:hAnsi="Tahoma" w:cs="Tahoma"/>
          <w:szCs w:val="20"/>
          <w:lang w:val="cs-CZ" w:eastAsia="en-US"/>
        </w:rPr>
        <w:tab/>
      </w:r>
      <w:r w:rsidR="00733802" w:rsidRPr="00232CE7">
        <w:rPr>
          <w:rFonts w:ascii="Tahoma" w:hAnsi="Tahoma" w:cs="Tahoma"/>
          <w:i/>
          <w:iCs/>
          <w:color w:val="FFFFFF"/>
          <w:szCs w:val="20"/>
          <w:highlight w:val="black"/>
        </w:rPr>
        <w:t>neveřejný údaj</w:t>
      </w:r>
    </w:p>
    <w:p w14:paraId="36BD9552" w14:textId="15914E84" w:rsidR="00D0181B" w:rsidRPr="00432CC1" w:rsidRDefault="00C92495">
      <w:pPr>
        <w:pStyle w:val="RLlneksmlouvy"/>
        <w:tabs>
          <w:tab w:val="clear" w:pos="737"/>
          <w:tab w:val="num" w:pos="879"/>
        </w:tabs>
        <w:ind w:left="879"/>
        <w:rPr>
          <w:rFonts w:ascii="Tahoma" w:hAnsi="Tahoma" w:cs="Tahoma"/>
          <w:szCs w:val="20"/>
          <w:lang w:val="cs-CZ"/>
        </w:rPr>
      </w:pPr>
      <w:r w:rsidRPr="00432CC1">
        <w:rPr>
          <w:rFonts w:ascii="Tahoma" w:hAnsi="Tahoma" w:cs="Tahoma"/>
          <w:szCs w:val="20"/>
          <w:lang w:val="cs-CZ"/>
        </w:rPr>
        <w:t>ZÁRUKA</w:t>
      </w:r>
      <w:r w:rsidR="00841404" w:rsidRPr="00432CC1">
        <w:rPr>
          <w:rFonts w:ascii="Tahoma" w:hAnsi="Tahoma" w:cs="Tahoma"/>
          <w:szCs w:val="20"/>
          <w:lang w:val="cs-CZ"/>
        </w:rPr>
        <w:t xml:space="preserve"> </w:t>
      </w:r>
    </w:p>
    <w:p w14:paraId="2216380B" w14:textId="77777777" w:rsidR="001E4DF8" w:rsidRPr="00432CC1" w:rsidRDefault="00C92495">
      <w:pPr>
        <w:pStyle w:val="RLTextlnkuslovan"/>
        <w:tabs>
          <w:tab w:val="clear" w:pos="1474"/>
        </w:tabs>
        <w:ind w:left="1560" w:hanging="709"/>
        <w:rPr>
          <w:rFonts w:ascii="Tahoma" w:hAnsi="Tahoma" w:cs="Tahoma"/>
          <w:szCs w:val="20"/>
        </w:rPr>
      </w:pPr>
      <w:r w:rsidRPr="00432CC1">
        <w:rPr>
          <w:rFonts w:ascii="Tahoma" w:hAnsi="Tahoma" w:cs="Tahoma"/>
          <w:szCs w:val="20"/>
          <w:lang w:val="cs-CZ" w:eastAsia="en-US"/>
        </w:rPr>
        <w:t xml:space="preserve">Záruka bude poskytována ode dne akceptace </w:t>
      </w:r>
      <w:r w:rsidR="00DF606F" w:rsidRPr="00432CC1">
        <w:rPr>
          <w:rFonts w:ascii="Tahoma" w:hAnsi="Tahoma" w:cs="Tahoma"/>
          <w:szCs w:val="20"/>
          <w:lang w:val="cs-CZ" w:eastAsia="en-US"/>
        </w:rPr>
        <w:t>jednotlivých dílčích plnění (fází)</w:t>
      </w:r>
      <w:r w:rsidRPr="00432CC1">
        <w:rPr>
          <w:rFonts w:ascii="Tahoma" w:hAnsi="Tahoma" w:cs="Tahoma"/>
          <w:szCs w:val="20"/>
          <w:lang w:val="cs-CZ" w:eastAsia="en-US"/>
        </w:rPr>
        <w:t>.</w:t>
      </w:r>
    </w:p>
    <w:p w14:paraId="04E4CEA8"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 xml:space="preserve">ZÁVĚREČNÁ </w:t>
      </w:r>
      <w:r w:rsidRPr="00432CC1">
        <w:rPr>
          <w:rFonts w:ascii="Tahoma" w:hAnsi="Tahoma" w:cs="Tahoma"/>
          <w:szCs w:val="20"/>
          <w:lang w:val="cs-CZ"/>
        </w:rPr>
        <w:t>UJEDNÁNÍ</w:t>
      </w:r>
    </w:p>
    <w:p w14:paraId="58D8B8AE" w14:textId="75083EFA" w:rsidR="00D0181B"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rPr>
        <w:t xml:space="preserve">Tato </w:t>
      </w:r>
      <w:r w:rsidRPr="00432CC1">
        <w:rPr>
          <w:rFonts w:ascii="Tahoma" w:hAnsi="Tahoma"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0D31C727"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5C280288" w14:textId="12DF2164" w:rsidR="00826D1E" w:rsidRPr="00432CC1" w:rsidRDefault="004C245D">
      <w:pPr>
        <w:pStyle w:val="RLTextlnkuslovan"/>
        <w:tabs>
          <w:tab w:val="clear" w:pos="1474"/>
        </w:tabs>
        <w:ind w:left="1560" w:hanging="709"/>
        <w:rPr>
          <w:rFonts w:ascii="Tahoma" w:hAnsi="Tahoma" w:cs="Tahoma"/>
          <w:szCs w:val="20"/>
          <w:lang w:val="cs-CZ"/>
        </w:rPr>
      </w:pPr>
      <w:r w:rsidRPr="00432CC1">
        <w:rPr>
          <w:rFonts w:ascii="Tahoma" w:hAnsi="Tahoma" w:cs="Tahoma"/>
          <w:szCs w:val="20"/>
        </w:rPr>
        <w:t xml:space="preserve">Poskytovatel bere na vědomí, že předmět plnění této Smlouvy bude financován </w:t>
      </w:r>
      <w:r w:rsidR="00E77686">
        <w:rPr>
          <w:rFonts w:ascii="Tahoma" w:hAnsi="Tahoma" w:cs="Tahoma"/>
          <w:szCs w:val="20"/>
        </w:rPr>
        <w:br/>
      </w:r>
      <w:r w:rsidRPr="00432CC1">
        <w:rPr>
          <w:rFonts w:ascii="Tahoma" w:hAnsi="Tahoma" w:cs="Tahoma"/>
          <w:szCs w:val="20"/>
        </w:rPr>
        <w:t xml:space="preserve">z programu z Národního plánu obnovy, a že Objednatel je v důsledku této skutečnosti povinen dodržet mimo jiné i pravidla týkající se publicity. Poskytovatel se proto zavazuje, bude-li to po něm ze strany Objednatele požadováno, poskytnout Objednateli v tomto ohledu součinnost. Součinnost Poskytovatele dle předchozí věty bude spočívat zejména v opatření vybraných výstupů vzniklých v souvislosti s plněním této Smlouvy (např. účetních dokladů, jednotlivých dokumentací, analýz a protokolů, logem či jinou informací (např. název projektu, číslo projektu, zdroj podpory apod.). Konkrétní výčet výstupů, kterých se bude povinnost publicity týkat, jakož i výčet </w:t>
      </w:r>
      <w:r w:rsidR="00E77686">
        <w:rPr>
          <w:rFonts w:ascii="Tahoma" w:hAnsi="Tahoma" w:cs="Tahoma"/>
          <w:szCs w:val="20"/>
        </w:rPr>
        <w:br/>
      </w:r>
      <w:r w:rsidRPr="00432CC1">
        <w:rPr>
          <w:rFonts w:ascii="Tahoma" w:hAnsi="Tahoma" w:cs="Tahoma"/>
          <w:szCs w:val="20"/>
        </w:rPr>
        <w:t>a podobu požadovaných informací, kterými mají být tyto výstupy opatřeny, oznámí Objednatel Poskytovateli s dostatečným předstihem v průběhu plnění této Smlouvy.</w:t>
      </w:r>
    </w:p>
    <w:p w14:paraId="05F5F7A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lastRenderedPageBreak/>
        <w:t>V případě rozporů ujednání těla této Smlouvy a její přílohy budou mít přednost ujednání těla této Smlouvy.</w:t>
      </w:r>
    </w:p>
    <w:p w14:paraId="358A66FA" w14:textId="77777777" w:rsidR="00A72FEF"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EE271B" w:rsidRDefault="00DD6C6C" w:rsidP="00DD6C6C">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7CFDAD8"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Nedílnou součást této Smlouvy tvoří tato příloha:</w:t>
      </w:r>
    </w:p>
    <w:p w14:paraId="1C0B4452" w14:textId="77777777" w:rsidR="00D0181B" w:rsidRPr="00432CC1" w:rsidRDefault="00C92495">
      <w:pPr>
        <w:pStyle w:val="RLTextlnkuslovan"/>
        <w:numPr>
          <w:ilvl w:val="0"/>
          <w:numId w:val="0"/>
        </w:numPr>
        <w:ind w:left="1560"/>
        <w:rPr>
          <w:rFonts w:ascii="Tahoma" w:hAnsi="Tahoma" w:cs="Tahoma"/>
          <w:szCs w:val="20"/>
          <w:lang w:val="cs-CZ"/>
        </w:rPr>
      </w:pPr>
      <w:r w:rsidRPr="00432CC1">
        <w:rPr>
          <w:rFonts w:ascii="Tahoma" w:hAnsi="Tahoma" w:cs="Tahoma"/>
          <w:szCs w:val="20"/>
          <w:lang w:val="cs-CZ"/>
        </w:rPr>
        <w:t>Příloha č. 1 – Specifikace Služeb.</w:t>
      </w:r>
    </w:p>
    <w:p w14:paraId="7748CBF0" w14:textId="77777777" w:rsidR="00D0181B" w:rsidRPr="00432CC1" w:rsidRDefault="00D0181B">
      <w:pPr>
        <w:rPr>
          <w:rFonts w:eastAsia="Times New Roman" w:cs="Tahoma"/>
          <w:b/>
          <w:szCs w:val="20"/>
          <w:lang w:eastAsia="x-none"/>
        </w:rPr>
      </w:pPr>
    </w:p>
    <w:p w14:paraId="3EC4A156" w14:textId="5C29DFBE"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 xml:space="preserve">Smluvní strany prohlašují, že si tuto Smlouvu přečetly, že s jejím obsahem souhlasí </w:t>
      </w:r>
      <w:r w:rsidR="00E77686">
        <w:rPr>
          <w:rFonts w:ascii="Tahoma" w:hAnsi="Tahoma" w:cs="Tahoma"/>
          <w:szCs w:val="20"/>
          <w:lang w:val="cs-CZ"/>
        </w:rPr>
        <w:br/>
      </w:r>
      <w:r w:rsidRPr="00432CC1">
        <w:rPr>
          <w:rFonts w:ascii="Tahoma" w:hAnsi="Tahoma" w:cs="Tahoma"/>
          <w:szCs w:val="20"/>
          <w:lang w:val="cs-CZ"/>
        </w:rPr>
        <w:t>a na důkaz toho k ní připojují svoje podpisy.</w:t>
      </w:r>
    </w:p>
    <w:p w14:paraId="186E307E" w14:textId="77777777" w:rsidR="00D0181B" w:rsidRPr="00432CC1"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432CC1" w14:paraId="5D57FFC3" w14:textId="77777777">
        <w:trPr>
          <w:jc w:val="center"/>
        </w:trPr>
        <w:tc>
          <w:tcPr>
            <w:tcW w:w="4643" w:type="dxa"/>
          </w:tcPr>
          <w:p w14:paraId="564719DA" w14:textId="19DEF48A" w:rsidR="00D0181B" w:rsidRPr="00432CC1" w:rsidRDefault="00DD6C6C">
            <w:pPr>
              <w:pStyle w:val="RLProhlensmluvnchstran"/>
              <w:keepNext/>
              <w:rPr>
                <w:rFonts w:ascii="Tahoma" w:hAnsi="Tahoma" w:cs="Tahoma"/>
                <w:szCs w:val="20"/>
                <w:lang w:val="cs-CZ"/>
              </w:rPr>
            </w:pPr>
            <w:r>
              <w:rPr>
                <w:rFonts w:ascii="Tahoma" w:hAnsi="Tahoma" w:cs="Tahoma"/>
                <w:szCs w:val="20"/>
                <w:lang w:val="cs-CZ"/>
              </w:rPr>
              <w:t xml:space="preserve">Za </w:t>
            </w:r>
            <w:r w:rsidR="00C92495" w:rsidRPr="00432CC1">
              <w:rPr>
                <w:rFonts w:ascii="Tahoma" w:hAnsi="Tahoma" w:cs="Tahoma"/>
                <w:szCs w:val="20"/>
                <w:lang w:val="cs-CZ"/>
              </w:rPr>
              <w:t>Objednatel</w:t>
            </w:r>
            <w:r>
              <w:rPr>
                <w:rFonts w:ascii="Tahoma" w:hAnsi="Tahoma" w:cs="Tahoma"/>
                <w:szCs w:val="20"/>
                <w:lang w:val="cs-CZ"/>
              </w:rPr>
              <w:t>e:</w:t>
            </w:r>
          </w:p>
          <w:p w14:paraId="00B7B65D" w14:textId="77777777" w:rsidR="00D0181B" w:rsidRPr="00432CC1" w:rsidRDefault="00D0181B">
            <w:pPr>
              <w:keepNext/>
              <w:rPr>
                <w:rFonts w:cs="Tahoma"/>
                <w:szCs w:val="20"/>
              </w:rPr>
            </w:pPr>
          </w:p>
          <w:p w14:paraId="22DBAC0F" w14:textId="77777777" w:rsidR="00D0181B" w:rsidRPr="00432CC1" w:rsidRDefault="00D0181B">
            <w:pPr>
              <w:keepNext/>
              <w:rPr>
                <w:rFonts w:cs="Tahoma"/>
                <w:szCs w:val="20"/>
              </w:rPr>
            </w:pPr>
          </w:p>
          <w:p w14:paraId="60647D9C" w14:textId="77777777" w:rsidR="00D0181B" w:rsidRPr="00432CC1" w:rsidRDefault="00D0181B">
            <w:pPr>
              <w:keepNext/>
              <w:rPr>
                <w:rFonts w:cs="Tahoma"/>
                <w:szCs w:val="20"/>
              </w:rPr>
            </w:pPr>
          </w:p>
        </w:tc>
        <w:tc>
          <w:tcPr>
            <w:tcW w:w="4643" w:type="dxa"/>
          </w:tcPr>
          <w:p w14:paraId="0A33BDED" w14:textId="34AE5CDB" w:rsidR="00D0181B" w:rsidRPr="00432CC1" w:rsidRDefault="00DD6C6C">
            <w:pPr>
              <w:pStyle w:val="RLdajeosmluvnstran"/>
              <w:keepNext/>
              <w:rPr>
                <w:rFonts w:ascii="Tahoma" w:hAnsi="Tahoma" w:cs="Tahoma"/>
                <w:b/>
                <w:bCs/>
                <w:szCs w:val="20"/>
              </w:rPr>
            </w:pPr>
            <w:r>
              <w:rPr>
                <w:rFonts w:ascii="Tahoma" w:hAnsi="Tahoma" w:cs="Tahoma"/>
                <w:b/>
                <w:bCs/>
                <w:szCs w:val="20"/>
              </w:rPr>
              <w:t xml:space="preserve">Za </w:t>
            </w:r>
            <w:r w:rsidR="00C92495" w:rsidRPr="00432CC1">
              <w:rPr>
                <w:rFonts w:ascii="Tahoma" w:hAnsi="Tahoma" w:cs="Tahoma"/>
                <w:b/>
                <w:bCs/>
                <w:szCs w:val="20"/>
              </w:rPr>
              <w:t>Poskytovatel</w:t>
            </w:r>
            <w:r>
              <w:rPr>
                <w:rFonts w:ascii="Tahoma" w:hAnsi="Tahoma" w:cs="Tahoma"/>
                <w:b/>
                <w:bCs/>
                <w:szCs w:val="20"/>
              </w:rPr>
              <w:t>e:</w:t>
            </w:r>
          </w:p>
          <w:p w14:paraId="7E09ECA2" w14:textId="77777777" w:rsidR="00D0181B" w:rsidRPr="00432CC1" w:rsidRDefault="00D0181B">
            <w:pPr>
              <w:pStyle w:val="RLdajeosmluvnstran"/>
              <w:keepNext/>
              <w:rPr>
                <w:rFonts w:ascii="Tahoma" w:hAnsi="Tahoma" w:cs="Tahoma"/>
                <w:szCs w:val="20"/>
              </w:rPr>
            </w:pPr>
          </w:p>
          <w:p w14:paraId="5DC80440" w14:textId="77777777" w:rsidR="00D0181B" w:rsidRPr="00432CC1" w:rsidRDefault="00D0181B">
            <w:pPr>
              <w:pStyle w:val="RLdajeosmluvnstran"/>
              <w:keepNext/>
              <w:rPr>
                <w:rFonts w:ascii="Tahoma" w:hAnsi="Tahoma" w:cs="Tahoma"/>
                <w:szCs w:val="20"/>
              </w:rPr>
            </w:pPr>
          </w:p>
        </w:tc>
      </w:tr>
      <w:tr w:rsidR="00D0181B" w:rsidRPr="00432CC1" w14:paraId="1CFA49A0" w14:textId="77777777">
        <w:trPr>
          <w:jc w:val="center"/>
        </w:trPr>
        <w:tc>
          <w:tcPr>
            <w:tcW w:w="4643" w:type="dxa"/>
          </w:tcPr>
          <w:p w14:paraId="13FBC6FE"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D0DA802" w14:textId="01BDA168" w:rsidR="00D0181B" w:rsidRPr="00432CC1" w:rsidRDefault="00C92495">
            <w:pPr>
              <w:pStyle w:val="RLdajeosmluvnstran"/>
              <w:keepNext/>
              <w:rPr>
                <w:rFonts w:ascii="Tahoma" w:hAnsi="Tahoma" w:cs="Tahoma"/>
                <w:b/>
                <w:bCs/>
                <w:szCs w:val="20"/>
              </w:rPr>
            </w:pPr>
            <w:r w:rsidRPr="00432CC1">
              <w:rPr>
                <w:rFonts w:ascii="Tahoma" w:hAnsi="Tahoma" w:cs="Tahoma"/>
                <w:b/>
                <w:bCs/>
                <w:szCs w:val="20"/>
              </w:rPr>
              <w:t xml:space="preserve">Česká republika – </w:t>
            </w:r>
            <w:r w:rsidR="007B279D" w:rsidRPr="00432CC1">
              <w:rPr>
                <w:rFonts w:ascii="Tahoma" w:hAnsi="Tahoma" w:cs="Tahoma"/>
                <w:b/>
                <w:szCs w:val="20"/>
              </w:rPr>
              <w:t>Ministerstvo práce a sociálních věcí</w:t>
            </w:r>
          </w:p>
          <w:p w14:paraId="771C49FB" w14:textId="77777777" w:rsidR="00255EF2" w:rsidRPr="00432CC1" w:rsidRDefault="00255EF2" w:rsidP="00255EF2">
            <w:pPr>
              <w:pStyle w:val="RLdajeosmluvnstran"/>
              <w:ind w:left="1416" w:hanging="1416"/>
              <w:rPr>
                <w:rFonts w:ascii="Tahoma" w:hAnsi="Tahoma" w:cs="Tahoma"/>
                <w:szCs w:val="20"/>
                <w:lang w:eastAsia="x-none"/>
              </w:rPr>
            </w:pPr>
            <w:r w:rsidRPr="00432CC1">
              <w:rPr>
                <w:rFonts w:ascii="Tahoma" w:hAnsi="Tahoma" w:cs="Tahoma"/>
                <w:szCs w:val="20"/>
                <w:lang w:eastAsia="x-none"/>
              </w:rPr>
              <w:t>Ing. Milan Lonský</w:t>
            </w:r>
          </w:p>
          <w:p w14:paraId="0ECEF9FE" w14:textId="423BE868" w:rsidR="00D0181B" w:rsidRPr="00432CC1" w:rsidRDefault="00255EF2">
            <w:pPr>
              <w:pStyle w:val="RLdajeosmluvnstran"/>
              <w:rPr>
                <w:rFonts w:ascii="Tahoma" w:hAnsi="Tahoma" w:cs="Tahoma"/>
                <w:szCs w:val="20"/>
              </w:rPr>
            </w:pPr>
            <w:r w:rsidRPr="00432CC1">
              <w:rPr>
                <w:rFonts w:ascii="Tahoma" w:hAnsi="Tahoma" w:cs="Tahoma"/>
                <w:szCs w:val="20"/>
              </w:rPr>
              <w:t>ředitel odboru správy aplikací ICT</w:t>
            </w:r>
          </w:p>
        </w:tc>
        <w:tc>
          <w:tcPr>
            <w:tcW w:w="4643" w:type="dxa"/>
          </w:tcPr>
          <w:p w14:paraId="35594E7B"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E2489EB" w14:textId="77777777" w:rsidR="00D0181B" w:rsidRPr="00432CC1" w:rsidRDefault="00C92495">
            <w:pPr>
              <w:pStyle w:val="RLdajeosmluvnstran"/>
              <w:rPr>
                <w:rFonts w:ascii="Tahoma" w:hAnsi="Tahoma" w:cs="Tahoma"/>
                <w:b/>
                <w:bCs/>
                <w:szCs w:val="20"/>
              </w:rPr>
            </w:pPr>
            <w:proofErr w:type="spellStart"/>
            <w:r w:rsidRPr="00432CC1">
              <w:rPr>
                <w:rFonts w:ascii="Tahoma" w:hAnsi="Tahoma" w:cs="Tahoma"/>
                <w:b/>
                <w:bCs/>
                <w:szCs w:val="20"/>
                <w:lang w:val="en-US"/>
              </w:rPr>
              <w:t>Asseco</w:t>
            </w:r>
            <w:proofErr w:type="spellEnd"/>
            <w:r w:rsidRPr="00432CC1">
              <w:rPr>
                <w:rFonts w:ascii="Tahoma" w:hAnsi="Tahoma" w:cs="Tahoma"/>
                <w:b/>
                <w:bCs/>
                <w:szCs w:val="20"/>
                <w:lang w:val="en-US"/>
              </w:rPr>
              <w:t xml:space="preserve"> Central Europe, </w:t>
            </w:r>
            <w:proofErr w:type="spellStart"/>
            <w:r w:rsidRPr="00432CC1">
              <w:rPr>
                <w:rFonts w:ascii="Tahoma" w:hAnsi="Tahoma" w:cs="Tahoma"/>
                <w:b/>
                <w:bCs/>
                <w:szCs w:val="20"/>
                <w:lang w:val="en-US"/>
              </w:rPr>
              <w:t>a.s.</w:t>
            </w:r>
            <w:proofErr w:type="spellEnd"/>
            <w:r w:rsidRPr="00432CC1">
              <w:rPr>
                <w:rFonts w:ascii="Tahoma" w:hAnsi="Tahoma" w:cs="Tahoma"/>
                <w:b/>
                <w:bCs/>
                <w:szCs w:val="20"/>
              </w:rPr>
              <w:t xml:space="preserve"> </w:t>
            </w:r>
          </w:p>
          <w:p w14:paraId="7971278B" w14:textId="77777777" w:rsidR="00587D41" w:rsidRPr="00432CC1" w:rsidRDefault="00587D41" w:rsidP="00587D41">
            <w:pPr>
              <w:pStyle w:val="RLdajeosmluvnstran"/>
              <w:ind w:left="1416" w:hanging="1416"/>
              <w:rPr>
                <w:rFonts w:ascii="Tahoma" w:hAnsi="Tahoma" w:cs="Tahoma"/>
                <w:szCs w:val="20"/>
                <w:lang w:eastAsia="x-none"/>
              </w:rPr>
            </w:pPr>
            <w:r w:rsidRPr="00432CC1">
              <w:rPr>
                <w:rFonts w:ascii="Tahoma" w:hAnsi="Tahoma" w:cs="Tahoma"/>
                <w:szCs w:val="20"/>
                <w:lang w:eastAsia="x-none"/>
              </w:rPr>
              <w:t>Mgr. Jiří Winkler</w:t>
            </w:r>
          </w:p>
          <w:p w14:paraId="0E34DC76" w14:textId="6ED5D60B" w:rsidR="00D0181B" w:rsidRPr="00432CC1" w:rsidRDefault="00587D41" w:rsidP="00587D41">
            <w:pPr>
              <w:pStyle w:val="RLdajeosmluvnstran"/>
              <w:ind w:left="1416" w:hanging="1416"/>
              <w:rPr>
                <w:rFonts w:ascii="Tahoma" w:hAnsi="Tahoma" w:cs="Tahoma"/>
                <w:szCs w:val="20"/>
              </w:rPr>
            </w:pPr>
            <w:r w:rsidRPr="00432CC1">
              <w:rPr>
                <w:rFonts w:ascii="Tahoma" w:hAnsi="Tahoma" w:cs="Tahoma"/>
                <w:szCs w:val="20"/>
                <w:lang w:eastAsia="x-none"/>
              </w:rPr>
              <w:t>prokurista</w:t>
            </w:r>
          </w:p>
        </w:tc>
      </w:tr>
    </w:tbl>
    <w:p w14:paraId="48E73FCA" w14:textId="77777777" w:rsidR="00D0181B" w:rsidRPr="00432CC1" w:rsidRDefault="00D0181B">
      <w:pPr>
        <w:pStyle w:val="RLlneksmlouvy"/>
        <w:numPr>
          <w:ilvl w:val="0"/>
          <w:numId w:val="0"/>
        </w:numPr>
        <w:spacing w:after="0"/>
        <w:rPr>
          <w:rFonts w:ascii="Tahoma" w:hAnsi="Tahoma" w:cs="Tahoma"/>
          <w:i/>
          <w:szCs w:val="20"/>
        </w:rPr>
      </w:pPr>
    </w:p>
    <w:p w14:paraId="6A86F8DB" w14:textId="77777777" w:rsidR="00D0181B" w:rsidRPr="00432CC1" w:rsidRDefault="00C92495">
      <w:pPr>
        <w:rPr>
          <w:rFonts w:cs="Tahoma"/>
        </w:rPr>
      </w:pPr>
      <w:r w:rsidRPr="00432CC1">
        <w:rPr>
          <w:rFonts w:cs="Tahoma"/>
        </w:rPr>
        <w:br w:type="page"/>
      </w:r>
    </w:p>
    <w:p w14:paraId="5705C68B" w14:textId="77777777" w:rsidR="00D0181B" w:rsidRPr="00432CC1" w:rsidRDefault="00C92495">
      <w:pPr>
        <w:rPr>
          <w:rFonts w:cs="Tahoma"/>
          <w:b/>
        </w:rPr>
      </w:pPr>
      <w:r w:rsidRPr="00432CC1">
        <w:rPr>
          <w:rFonts w:cs="Tahoma"/>
          <w:b/>
          <w:sz w:val="24"/>
        </w:rPr>
        <w:lastRenderedPageBreak/>
        <w:t>Příloha Smlouvy č. 1 – Specifikace Služeb</w:t>
      </w:r>
    </w:p>
    <w:p w14:paraId="139EAC4C" w14:textId="77777777" w:rsidR="00D0181B" w:rsidRPr="00432CC1" w:rsidRDefault="00C92495">
      <w:pPr>
        <w:pStyle w:val="Nadpis1"/>
      </w:pPr>
      <w:bookmarkStart w:id="1" w:name="_Toc182984912"/>
      <w:bookmarkStart w:id="2" w:name="_Toc158736055"/>
      <w:bookmarkStart w:id="3" w:name="_Toc103153111"/>
      <w:bookmarkStart w:id="4" w:name="_Toc104773095"/>
      <w:bookmarkStart w:id="5" w:name="_Toc104282306"/>
      <w:bookmarkStart w:id="6" w:name="_Toc162751746"/>
      <w:bookmarkStart w:id="7" w:name="_Toc197330643"/>
      <w:bookmarkStart w:id="8" w:name="_Toc198108838"/>
      <w:bookmarkStart w:id="9" w:name="_Toc199923677"/>
      <w:bookmarkStart w:id="10" w:name="_Toc313431434"/>
      <w:bookmarkStart w:id="11" w:name="_Toc336442341"/>
      <w:r w:rsidRPr="00432CC1">
        <w:rPr>
          <w:lang w:val="cs-CZ"/>
        </w:rPr>
        <w:t>Specifikace Služeb</w:t>
      </w:r>
    </w:p>
    <w:bookmarkEnd w:id="1"/>
    <w:bookmarkEnd w:id="2"/>
    <w:p w14:paraId="4944A55E" w14:textId="1ADCE31E" w:rsidR="00250877" w:rsidRPr="00432CC1" w:rsidRDefault="00E75F3D" w:rsidP="00047F7D">
      <w:pPr>
        <w:spacing w:before="100" w:beforeAutospacing="1" w:after="100" w:afterAutospacing="1"/>
        <w:jc w:val="both"/>
        <w:rPr>
          <w:rFonts w:cs="Tahoma"/>
          <w:szCs w:val="20"/>
        </w:rPr>
      </w:pPr>
      <w:r w:rsidRPr="00432CC1">
        <w:rPr>
          <w:rFonts w:cs="Tahoma"/>
          <w:szCs w:val="20"/>
        </w:rPr>
        <w:t>Poskytovatel</w:t>
      </w:r>
      <w:r w:rsidR="00250877" w:rsidRPr="00432CC1">
        <w:rPr>
          <w:rFonts w:cs="Tahoma"/>
          <w:szCs w:val="20"/>
        </w:rPr>
        <w:t xml:space="preserve"> je povinen</w:t>
      </w:r>
      <w:r w:rsidRPr="00432CC1">
        <w:rPr>
          <w:rFonts w:cs="Tahoma"/>
          <w:szCs w:val="20"/>
        </w:rPr>
        <w:t xml:space="preserve"> poskytnout Objednateli </w:t>
      </w:r>
      <w:r w:rsidR="002C23F4" w:rsidRPr="00432CC1">
        <w:rPr>
          <w:rFonts w:cs="Tahoma"/>
          <w:szCs w:val="20"/>
        </w:rPr>
        <w:t>S</w:t>
      </w:r>
      <w:r w:rsidRPr="00432CC1">
        <w:rPr>
          <w:rFonts w:cs="Tahoma"/>
          <w:szCs w:val="20"/>
        </w:rPr>
        <w:t xml:space="preserve">lužby rozvoje </w:t>
      </w:r>
      <w:r w:rsidR="00250877" w:rsidRPr="00432CC1">
        <w:rPr>
          <w:rFonts w:cs="Tahoma"/>
          <w:szCs w:val="20"/>
        </w:rPr>
        <w:t>v souladu s</w:t>
      </w:r>
      <w:r w:rsidRPr="00432CC1">
        <w:rPr>
          <w:rFonts w:cs="Tahoma"/>
          <w:szCs w:val="20"/>
        </w:rPr>
        <w:t xml:space="preserve"> čl. 3</w:t>
      </w:r>
      <w:r w:rsidR="00250877" w:rsidRPr="00432CC1">
        <w:rPr>
          <w:rFonts w:cs="Tahoma"/>
          <w:szCs w:val="20"/>
        </w:rPr>
        <w:t>.</w:t>
      </w:r>
      <w:r w:rsidRPr="00432CC1">
        <w:rPr>
          <w:rFonts w:cs="Tahoma"/>
          <w:szCs w:val="20"/>
        </w:rPr>
        <w:t xml:space="preserve"> odst. 3.1 </w:t>
      </w:r>
      <w:proofErr w:type="spellStart"/>
      <w:r w:rsidRPr="00432CC1">
        <w:rPr>
          <w:rFonts w:cs="Tahoma"/>
          <w:szCs w:val="20"/>
        </w:rPr>
        <w:t>pododst</w:t>
      </w:r>
      <w:proofErr w:type="spellEnd"/>
      <w:r w:rsidRPr="00432CC1">
        <w:rPr>
          <w:rFonts w:cs="Tahoma"/>
          <w:szCs w:val="20"/>
        </w:rPr>
        <w:t>. 3.1.3 Rámcové dohody</w:t>
      </w:r>
      <w:r w:rsidR="00250877" w:rsidRPr="00432CC1">
        <w:rPr>
          <w:rFonts w:cs="Tahoma"/>
          <w:szCs w:val="20"/>
        </w:rPr>
        <w:t>,</w:t>
      </w:r>
      <w:r w:rsidRPr="00432CC1">
        <w:rPr>
          <w:rFonts w:cs="Tahoma"/>
          <w:szCs w:val="20"/>
        </w:rPr>
        <w:t xml:space="preserve"> v souladu s čl. 7. Rámcové dohody</w:t>
      </w:r>
      <w:r w:rsidR="00250877" w:rsidRPr="00432CC1">
        <w:rPr>
          <w:rFonts w:cs="Tahoma"/>
          <w:szCs w:val="20"/>
        </w:rPr>
        <w:t xml:space="preserve"> </w:t>
      </w:r>
      <w:r w:rsidR="00250877" w:rsidRPr="00432CC1">
        <w:rPr>
          <w:rFonts w:cs="Tahoma"/>
          <w:szCs w:val="20"/>
          <w:lang w:eastAsia="cs-CZ"/>
        </w:rPr>
        <w:t>a s </w:t>
      </w:r>
      <w:r w:rsidR="00250877" w:rsidRPr="00432CC1">
        <w:rPr>
          <w:rFonts w:cs="Tahoma"/>
          <w:szCs w:val="20"/>
        </w:rPr>
        <w:t xml:space="preserve">čl. </w:t>
      </w:r>
      <w:r w:rsidR="00BA3631" w:rsidRPr="00432CC1">
        <w:rPr>
          <w:rFonts w:cs="Tahoma"/>
          <w:szCs w:val="20"/>
        </w:rPr>
        <w:t>6</w:t>
      </w:r>
      <w:r w:rsidR="00250877" w:rsidRPr="00432CC1">
        <w:rPr>
          <w:rFonts w:cs="Tahoma"/>
          <w:szCs w:val="20"/>
        </w:rPr>
        <w:t>. Přílohy č. 1 Rámcové dohody.</w:t>
      </w:r>
    </w:p>
    <w:p w14:paraId="6988E51B" w14:textId="15B4A3A0" w:rsidR="00BD2E65" w:rsidRPr="00432CC1" w:rsidRDefault="00A15ABB" w:rsidP="00CF10F0">
      <w:pPr>
        <w:spacing w:before="100" w:beforeAutospacing="1" w:after="100" w:afterAutospacing="1"/>
        <w:jc w:val="both"/>
        <w:rPr>
          <w:rFonts w:eastAsia="Times New Roman" w:cs="Tahoma"/>
          <w:sz w:val="24"/>
          <w:szCs w:val="24"/>
          <w:lang w:eastAsia="cs-CZ"/>
        </w:rPr>
      </w:pPr>
      <w:r w:rsidRPr="00432CC1">
        <w:rPr>
          <w:rFonts w:cs="Tahoma"/>
          <w:szCs w:val="20"/>
          <w:lang w:eastAsia="cs-CZ"/>
        </w:rPr>
        <w:t xml:space="preserve">Předmětem </w:t>
      </w:r>
      <w:r w:rsidR="002C23F4" w:rsidRPr="00432CC1">
        <w:rPr>
          <w:rFonts w:cs="Tahoma"/>
          <w:szCs w:val="20"/>
          <w:lang w:eastAsia="cs-CZ"/>
        </w:rPr>
        <w:t xml:space="preserve">plnění dle této Smlouvy je rozvoj </w:t>
      </w:r>
      <w:r w:rsidRPr="00432CC1">
        <w:rPr>
          <w:rFonts w:cs="Tahoma"/>
          <w:szCs w:val="20"/>
          <w:lang w:eastAsia="cs-CZ"/>
        </w:rPr>
        <w:t>těchto aplikačních programových vybavení:</w:t>
      </w:r>
      <w:r w:rsidR="00E75F3D" w:rsidRPr="00432CC1">
        <w:rPr>
          <w:rFonts w:cs="Tahoma"/>
          <w:szCs w:val="20"/>
        </w:rPr>
        <w:t xml:space="preserve"> </w:t>
      </w:r>
      <w:r w:rsidR="00BD2E65" w:rsidRPr="00432CC1">
        <w:rPr>
          <w:rFonts w:eastAsia="Times New Roman" w:cs="Tahoma"/>
          <w:szCs w:val="20"/>
          <w:lang w:eastAsia="cs-CZ"/>
        </w:rPr>
        <w:t xml:space="preserve"> </w:t>
      </w:r>
    </w:p>
    <w:p w14:paraId="6476DEF9"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příjem e-podání (subsystém DIS)</w:t>
      </w:r>
    </w:p>
    <w:p w14:paraId="3F54DE88"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zpracování e-podání (subsystém DIS)</w:t>
      </w:r>
    </w:p>
    <w:p w14:paraId="35E9ECB6"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 xml:space="preserve">ESB </w:t>
      </w:r>
      <w:proofErr w:type="spellStart"/>
      <w:proofErr w:type="gramStart"/>
      <w:r w:rsidRPr="00432CC1">
        <w:rPr>
          <w:rFonts w:cs="Tahoma"/>
        </w:rPr>
        <w:t>Backend</w:t>
      </w:r>
      <w:proofErr w:type="spellEnd"/>
      <w:r w:rsidRPr="00432CC1">
        <w:rPr>
          <w:rFonts w:cs="Tahoma"/>
        </w:rPr>
        <w:t xml:space="preserve"> - Technologie</w:t>
      </w:r>
      <w:proofErr w:type="gramEnd"/>
      <w:r w:rsidRPr="00432CC1">
        <w:rPr>
          <w:rFonts w:cs="Tahoma"/>
        </w:rPr>
        <w:t xml:space="preserve"> datové sběrnice ESB </w:t>
      </w:r>
      <w:proofErr w:type="spellStart"/>
      <w:r w:rsidRPr="00432CC1">
        <w:rPr>
          <w:rFonts w:cs="Tahoma"/>
        </w:rPr>
        <w:t>Backend</w:t>
      </w:r>
      <w:proofErr w:type="spellEnd"/>
      <w:r w:rsidRPr="00432CC1">
        <w:rPr>
          <w:rFonts w:cs="Tahoma"/>
        </w:rPr>
        <w:t xml:space="preserve"> pro automatizované řízení a kontrolu procesů a služeb</w:t>
      </w:r>
    </w:p>
    <w:p w14:paraId="098C7067" w14:textId="77777777" w:rsidR="004B7ED7" w:rsidRPr="00432CC1" w:rsidRDefault="004B7ED7" w:rsidP="004B7ED7">
      <w:pPr>
        <w:rPr>
          <w:rFonts w:eastAsia="Times New Roman" w:cs="Tahoma"/>
          <w:b/>
          <w:szCs w:val="24"/>
          <w:lang w:eastAsia="cs-CZ"/>
        </w:rPr>
      </w:pPr>
    </w:p>
    <w:p w14:paraId="40052574" w14:textId="77777777" w:rsidR="0012505A" w:rsidRPr="0012505A" w:rsidRDefault="0012505A" w:rsidP="0012505A">
      <w:pPr>
        <w:jc w:val="both"/>
        <w:rPr>
          <w:rFonts w:cs="Tahoma"/>
          <w:b/>
          <w:bCs/>
          <w:szCs w:val="20"/>
        </w:rPr>
      </w:pPr>
      <w:r w:rsidRPr="0012505A">
        <w:rPr>
          <w:rFonts w:cs="Tahoma"/>
          <w:b/>
          <w:bCs/>
          <w:szCs w:val="20"/>
        </w:rPr>
        <w:t>Identifikace celého řádného/opravného podání JMHZ pro účely dotazování na stav</w:t>
      </w:r>
    </w:p>
    <w:p w14:paraId="207AB260" w14:textId="77777777" w:rsidR="0012505A" w:rsidRDefault="0012505A" w:rsidP="0012505A">
      <w:pPr>
        <w:jc w:val="both"/>
        <w:rPr>
          <w:rFonts w:cs="Tahoma"/>
          <w:szCs w:val="20"/>
        </w:rPr>
      </w:pPr>
      <w:r w:rsidRPr="0012505A">
        <w:rPr>
          <w:rFonts w:cs="Tahoma"/>
          <w:szCs w:val="20"/>
        </w:rPr>
        <w:t>Pro odpověď podávajícímu pro podání DZMH (dotazování na stav) je nutné identifikovat celé řádné/opravné podání JMHZ pomocí „ID konkrétního podání".</w:t>
      </w:r>
    </w:p>
    <w:p w14:paraId="2BF26916" w14:textId="77777777" w:rsidR="0012505A" w:rsidRPr="0012505A" w:rsidRDefault="0012505A" w:rsidP="0012505A">
      <w:pPr>
        <w:jc w:val="both"/>
        <w:rPr>
          <w:rFonts w:cs="Tahoma"/>
          <w:szCs w:val="20"/>
        </w:rPr>
      </w:pPr>
    </w:p>
    <w:p w14:paraId="1E19E18C" w14:textId="34C22E29" w:rsidR="0012505A" w:rsidRPr="0012505A" w:rsidRDefault="0012505A" w:rsidP="0012505A">
      <w:pPr>
        <w:jc w:val="both"/>
        <w:rPr>
          <w:rFonts w:cs="Tahoma"/>
          <w:b/>
          <w:bCs/>
          <w:szCs w:val="20"/>
        </w:rPr>
      </w:pPr>
      <w:r w:rsidRPr="0012505A">
        <w:rPr>
          <w:rFonts w:cs="Tahoma"/>
          <w:b/>
          <w:bCs/>
          <w:szCs w:val="20"/>
        </w:rPr>
        <w:t xml:space="preserve">Validace podání s chybějícím nebo chybným VS v </w:t>
      </w:r>
      <w:proofErr w:type="spellStart"/>
      <w:proofErr w:type="gramStart"/>
      <w:r w:rsidRPr="0012505A">
        <w:rPr>
          <w:rFonts w:cs="Tahoma"/>
          <w:b/>
          <w:bCs/>
          <w:szCs w:val="20"/>
        </w:rPr>
        <w:t>SIPu</w:t>
      </w:r>
      <w:proofErr w:type="spellEnd"/>
      <w:r w:rsidRPr="0012505A">
        <w:rPr>
          <w:rFonts w:cs="Tahoma"/>
          <w:b/>
          <w:bCs/>
          <w:szCs w:val="20"/>
        </w:rPr>
        <w:t xml:space="preserve"> - změna</w:t>
      </w:r>
      <w:proofErr w:type="gramEnd"/>
      <w:r w:rsidRPr="0012505A">
        <w:rPr>
          <w:rFonts w:cs="Tahoma"/>
          <w:b/>
          <w:bCs/>
          <w:szCs w:val="20"/>
        </w:rPr>
        <w:t xml:space="preserve"> pořadí kroků zpracování </w:t>
      </w:r>
      <w:r w:rsidR="00E77686">
        <w:rPr>
          <w:rFonts w:cs="Tahoma"/>
          <w:b/>
          <w:bCs/>
          <w:szCs w:val="20"/>
        </w:rPr>
        <w:br/>
      </w:r>
      <w:r w:rsidRPr="0012505A">
        <w:rPr>
          <w:rFonts w:cs="Tahoma"/>
          <w:b/>
          <w:bCs/>
          <w:szCs w:val="20"/>
        </w:rPr>
        <w:t>v DIS</w:t>
      </w:r>
    </w:p>
    <w:p w14:paraId="61EE7513" w14:textId="77777777" w:rsidR="0012505A" w:rsidRDefault="0012505A" w:rsidP="0012505A">
      <w:pPr>
        <w:jc w:val="both"/>
        <w:rPr>
          <w:rFonts w:cs="Tahoma"/>
          <w:szCs w:val="20"/>
        </w:rPr>
      </w:pPr>
      <w:r w:rsidRPr="0012505A">
        <w:rPr>
          <w:rFonts w:cs="Tahoma"/>
          <w:szCs w:val="20"/>
        </w:rPr>
        <w:t xml:space="preserve">Změna vyhodnocování oprávnění: Nejprve se na </w:t>
      </w:r>
      <w:proofErr w:type="spellStart"/>
      <w:r w:rsidRPr="0012505A">
        <w:rPr>
          <w:rFonts w:cs="Tahoma"/>
          <w:szCs w:val="20"/>
        </w:rPr>
        <w:t>DISu</w:t>
      </w:r>
      <w:proofErr w:type="spellEnd"/>
      <w:r w:rsidRPr="0012505A">
        <w:rPr>
          <w:rFonts w:cs="Tahoma"/>
          <w:szCs w:val="20"/>
        </w:rPr>
        <w:t xml:space="preserve"> provedou LK a teprve potom se bude volat SIP pro oprávnění. Je nezbytné odchytit ty případy, které se díky chybnému VS zasekávají ve zpracování.</w:t>
      </w:r>
    </w:p>
    <w:p w14:paraId="4FBD3BCA" w14:textId="77777777" w:rsidR="0012505A" w:rsidRPr="0012505A" w:rsidRDefault="0012505A" w:rsidP="0012505A">
      <w:pPr>
        <w:jc w:val="both"/>
        <w:rPr>
          <w:rFonts w:cs="Tahoma"/>
          <w:szCs w:val="20"/>
        </w:rPr>
      </w:pPr>
    </w:p>
    <w:p w14:paraId="140E431B" w14:textId="77777777" w:rsidR="0012505A" w:rsidRPr="0012505A" w:rsidRDefault="0012505A" w:rsidP="0012505A">
      <w:pPr>
        <w:jc w:val="both"/>
        <w:rPr>
          <w:rFonts w:cs="Tahoma"/>
          <w:b/>
          <w:bCs/>
          <w:szCs w:val="20"/>
        </w:rPr>
      </w:pPr>
      <w:r w:rsidRPr="0012505A">
        <w:rPr>
          <w:rFonts w:cs="Tahoma"/>
          <w:b/>
          <w:bCs/>
          <w:szCs w:val="20"/>
        </w:rPr>
        <w:t xml:space="preserve">Předávání podání a protokolů o zpracování JMHZ přijatých kanály ISDS a APEP na </w:t>
      </w:r>
      <w:proofErr w:type="spellStart"/>
      <w:r w:rsidRPr="0012505A">
        <w:rPr>
          <w:rFonts w:cs="Tahoma"/>
          <w:b/>
          <w:bCs/>
          <w:szCs w:val="20"/>
        </w:rPr>
        <w:t>ePortál</w:t>
      </w:r>
      <w:proofErr w:type="spellEnd"/>
      <w:r w:rsidRPr="0012505A">
        <w:rPr>
          <w:rFonts w:cs="Tahoma"/>
          <w:b/>
          <w:bCs/>
          <w:szCs w:val="20"/>
        </w:rPr>
        <w:t xml:space="preserve"> do složky Moje podání</w:t>
      </w:r>
    </w:p>
    <w:p w14:paraId="02311730" w14:textId="77777777" w:rsidR="0012505A" w:rsidRDefault="0012505A" w:rsidP="0012505A">
      <w:pPr>
        <w:jc w:val="both"/>
        <w:rPr>
          <w:rFonts w:cs="Tahoma"/>
          <w:szCs w:val="20"/>
        </w:rPr>
      </w:pPr>
      <w:r w:rsidRPr="0012505A">
        <w:rPr>
          <w:rFonts w:cs="Tahoma"/>
          <w:szCs w:val="20"/>
        </w:rPr>
        <w:t xml:space="preserve">Pokud se nejedná o podání JMHZ generovaná přímo v aplikaci IKR, ale jsou přijata kanály APEP a ISDS, není na </w:t>
      </w:r>
      <w:proofErr w:type="spellStart"/>
      <w:r w:rsidRPr="0012505A">
        <w:rPr>
          <w:rFonts w:cs="Tahoma"/>
          <w:szCs w:val="20"/>
        </w:rPr>
        <w:t>ePortálu</w:t>
      </w:r>
      <w:proofErr w:type="spellEnd"/>
      <w:r w:rsidRPr="0012505A">
        <w:rPr>
          <w:rFonts w:cs="Tahoma"/>
          <w:szCs w:val="20"/>
        </w:rPr>
        <w:t xml:space="preserve"> zaznamenáno přijetí takového podání ani protokol o výsledku zpracování. Je požadováno, aby se příslušnému podávajícímu podání JMHZ podání i protokol o výsledku zpracování zobrazily ve složce Moje podání na </w:t>
      </w:r>
      <w:proofErr w:type="spellStart"/>
      <w:r w:rsidRPr="0012505A">
        <w:rPr>
          <w:rFonts w:cs="Tahoma"/>
          <w:szCs w:val="20"/>
        </w:rPr>
        <w:t>ePortálu</w:t>
      </w:r>
      <w:proofErr w:type="spellEnd"/>
      <w:r w:rsidRPr="0012505A">
        <w:rPr>
          <w:rFonts w:cs="Tahoma"/>
          <w:szCs w:val="20"/>
        </w:rPr>
        <w:t>.</w:t>
      </w:r>
    </w:p>
    <w:p w14:paraId="33DE0501" w14:textId="77777777" w:rsidR="0012505A" w:rsidRPr="0012505A" w:rsidRDefault="0012505A" w:rsidP="0012505A">
      <w:pPr>
        <w:jc w:val="both"/>
        <w:rPr>
          <w:rFonts w:cs="Tahoma"/>
          <w:szCs w:val="20"/>
        </w:rPr>
      </w:pPr>
    </w:p>
    <w:p w14:paraId="30533EA4" w14:textId="77777777" w:rsidR="0012505A" w:rsidRPr="0012505A" w:rsidRDefault="0012505A" w:rsidP="0012505A">
      <w:pPr>
        <w:jc w:val="both"/>
        <w:rPr>
          <w:rFonts w:cs="Tahoma"/>
          <w:b/>
          <w:bCs/>
          <w:szCs w:val="20"/>
        </w:rPr>
      </w:pPr>
      <w:r w:rsidRPr="0012505A">
        <w:rPr>
          <w:rFonts w:cs="Tahoma"/>
          <w:b/>
          <w:bCs/>
          <w:szCs w:val="20"/>
        </w:rPr>
        <w:t>Napojení na systém sdílení číselníků a konfigurace pro JMHZ</w:t>
      </w:r>
    </w:p>
    <w:p w14:paraId="0496E7E2" w14:textId="21035420" w:rsidR="0012505A" w:rsidRDefault="0012505A" w:rsidP="0012505A">
      <w:pPr>
        <w:jc w:val="both"/>
        <w:rPr>
          <w:rFonts w:cs="Tahoma"/>
          <w:szCs w:val="20"/>
        </w:rPr>
      </w:pPr>
      <w:r w:rsidRPr="0012505A">
        <w:rPr>
          <w:rFonts w:cs="Tahoma"/>
          <w:szCs w:val="20"/>
        </w:rPr>
        <w:t xml:space="preserve">IKR má k dispozici REST službu, která umožňuje sdílení a následnou synchronizaci číselníků </w:t>
      </w:r>
      <w:r w:rsidR="00E77686">
        <w:rPr>
          <w:rFonts w:cs="Tahoma"/>
          <w:szCs w:val="20"/>
        </w:rPr>
        <w:br/>
      </w:r>
      <w:r w:rsidRPr="0012505A">
        <w:rPr>
          <w:rFonts w:cs="Tahoma"/>
          <w:szCs w:val="20"/>
        </w:rPr>
        <w:t xml:space="preserve">a konfiguračních hodnot ve formátu JSON napříč systémy. V případě JMHZ je naprosto nezbytné, aby všechny číselníky a konfigurační hodnoty napříč systémy byly identické. Na straně </w:t>
      </w:r>
      <w:proofErr w:type="spellStart"/>
      <w:r w:rsidRPr="0012505A">
        <w:rPr>
          <w:rFonts w:cs="Tahoma"/>
          <w:szCs w:val="20"/>
        </w:rPr>
        <w:t>DISu</w:t>
      </w:r>
      <w:proofErr w:type="spellEnd"/>
      <w:r w:rsidRPr="0012505A">
        <w:rPr>
          <w:rFonts w:cs="Tahoma"/>
          <w:szCs w:val="20"/>
        </w:rPr>
        <w:t xml:space="preserve">, </w:t>
      </w:r>
      <w:proofErr w:type="spellStart"/>
      <w:r w:rsidRPr="0012505A">
        <w:rPr>
          <w:rFonts w:cs="Tahoma"/>
          <w:szCs w:val="20"/>
        </w:rPr>
        <w:t>FASu</w:t>
      </w:r>
      <w:proofErr w:type="spellEnd"/>
      <w:r w:rsidRPr="0012505A">
        <w:rPr>
          <w:rFonts w:cs="Tahoma"/>
          <w:szCs w:val="20"/>
        </w:rPr>
        <w:t xml:space="preserve"> a validační služby požadujeme implementovat mechanismus napojení na tuto službu: stažení aktuálních číselníků </w:t>
      </w:r>
      <w:r w:rsidR="00E77686">
        <w:rPr>
          <w:rFonts w:cs="Tahoma"/>
          <w:szCs w:val="20"/>
        </w:rPr>
        <w:br/>
      </w:r>
      <w:r w:rsidRPr="0012505A">
        <w:rPr>
          <w:rFonts w:cs="Tahoma"/>
          <w:szCs w:val="20"/>
        </w:rPr>
        <w:t xml:space="preserve">a konfigurace včetně jejich převzetí </w:t>
      </w:r>
      <w:proofErr w:type="spellStart"/>
      <w:r w:rsidRPr="0012505A">
        <w:rPr>
          <w:rFonts w:cs="Tahoma"/>
          <w:szCs w:val="20"/>
        </w:rPr>
        <w:t>DISem</w:t>
      </w:r>
      <w:proofErr w:type="spellEnd"/>
      <w:r w:rsidRPr="0012505A">
        <w:rPr>
          <w:rFonts w:cs="Tahoma"/>
          <w:szCs w:val="20"/>
        </w:rPr>
        <w:t xml:space="preserve">, </w:t>
      </w:r>
      <w:proofErr w:type="spellStart"/>
      <w:r w:rsidRPr="0012505A">
        <w:rPr>
          <w:rFonts w:cs="Tahoma"/>
          <w:szCs w:val="20"/>
        </w:rPr>
        <w:t>FASem</w:t>
      </w:r>
      <w:proofErr w:type="spellEnd"/>
      <w:r w:rsidRPr="0012505A">
        <w:rPr>
          <w:rFonts w:cs="Tahoma"/>
          <w:szCs w:val="20"/>
        </w:rPr>
        <w:t xml:space="preserve"> a validační službou.</w:t>
      </w:r>
    </w:p>
    <w:p w14:paraId="37B16D84" w14:textId="77777777" w:rsidR="0012505A" w:rsidRPr="0012505A" w:rsidRDefault="0012505A" w:rsidP="0012505A">
      <w:pPr>
        <w:jc w:val="both"/>
        <w:rPr>
          <w:rFonts w:cs="Tahoma"/>
          <w:szCs w:val="20"/>
        </w:rPr>
      </w:pPr>
    </w:p>
    <w:p w14:paraId="2C4A8C77" w14:textId="77777777" w:rsidR="0012505A" w:rsidRPr="0012505A" w:rsidRDefault="0012505A" w:rsidP="0012505A">
      <w:pPr>
        <w:jc w:val="both"/>
        <w:rPr>
          <w:rFonts w:cs="Tahoma"/>
          <w:b/>
          <w:bCs/>
          <w:szCs w:val="20"/>
        </w:rPr>
      </w:pPr>
      <w:r w:rsidRPr="0012505A">
        <w:rPr>
          <w:rFonts w:cs="Tahoma"/>
          <w:b/>
          <w:bCs/>
          <w:szCs w:val="20"/>
        </w:rPr>
        <w:t>Změna pravidel pro propouštění podání REGZEC/ONZ a VPDPP do zpracování po zahájení pilotu</w:t>
      </w:r>
    </w:p>
    <w:p w14:paraId="42FB7005" w14:textId="7D8CE738" w:rsidR="0012505A" w:rsidRDefault="0012505A" w:rsidP="0012505A">
      <w:pPr>
        <w:jc w:val="both"/>
        <w:rPr>
          <w:rFonts w:cs="Tahoma"/>
          <w:szCs w:val="20"/>
        </w:rPr>
      </w:pPr>
      <w:r w:rsidRPr="0012505A">
        <w:rPr>
          <w:rFonts w:cs="Tahoma"/>
          <w:szCs w:val="20"/>
        </w:rPr>
        <w:t xml:space="preserve">Požadované změny: Konfigurace VS &amp; datum bude vysunuta z textové konfigurace </w:t>
      </w:r>
      <w:proofErr w:type="spellStart"/>
      <w:r w:rsidRPr="0012505A">
        <w:rPr>
          <w:rFonts w:cs="Tahoma"/>
          <w:szCs w:val="20"/>
        </w:rPr>
        <w:t>BizTalků</w:t>
      </w:r>
      <w:proofErr w:type="spellEnd"/>
      <w:r w:rsidRPr="0012505A">
        <w:rPr>
          <w:rFonts w:cs="Tahoma"/>
          <w:szCs w:val="20"/>
        </w:rPr>
        <w:t xml:space="preserve"> </w:t>
      </w:r>
      <w:r w:rsidR="00E77686">
        <w:rPr>
          <w:rFonts w:cs="Tahoma"/>
          <w:szCs w:val="20"/>
        </w:rPr>
        <w:br/>
      </w:r>
      <w:r w:rsidRPr="0012505A">
        <w:rPr>
          <w:rFonts w:cs="Tahoma"/>
          <w:szCs w:val="20"/>
        </w:rPr>
        <w:t xml:space="preserve">do databázové tabulky (jedno místo). Úprava LT a zápisu do ZDV, aby použily pro ověření směrování novou tabulku. U validační služby v Azure a na FAS bude tato kontrola přeskakována, protože není relevantní. Dle aktualizovaných požadavků budou upravena pravidla pro zadržování </w:t>
      </w:r>
      <w:proofErr w:type="spellStart"/>
      <w:r w:rsidRPr="0012505A">
        <w:rPr>
          <w:rFonts w:cs="Tahoma"/>
          <w:szCs w:val="20"/>
        </w:rPr>
        <w:t>ePodání</w:t>
      </w:r>
      <w:proofErr w:type="spellEnd"/>
      <w:r w:rsidRPr="0012505A">
        <w:rPr>
          <w:rFonts w:cs="Tahoma"/>
          <w:szCs w:val="20"/>
        </w:rPr>
        <w:t xml:space="preserve"> REGZEC </w:t>
      </w:r>
      <w:r w:rsidR="00E77686">
        <w:rPr>
          <w:rFonts w:cs="Tahoma"/>
          <w:szCs w:val="20"/>
        </w:rPr>
        <w:br/>
      </w:r>
      <w:r w:rsidRPr="0012505A">
        <w:rPr>
          <w:rFonts w:cs="Tahoma"/>
          <w:szCs w:val="20"/>
        </w:rPr>
        <w:t xml:space="preserve">a implementována nová pravidla </w:t>
      </w:r>
      <w:proofErr w:type="spellStart"/>
      <w:r w:rsidRPr="0012505A">
        <w:rPr>
          <w:rFonts w:cs="Tahoma"/>
          <w:szCs w:val="20"/>
        </w:rPr>
        <w:t>ePodání</w:t>
      </w:r>
      <w:proofErr w:type="spellEnd"/>
      <w:r w:rsidRPr="0012505A">
        <w:rPr>
          <w:rFonts w:cs="Tahoma"/>
          <w:szCs w:val="20"/>
        </w:rPr>
        <w:t xml:space="preserve"> VPDPP.</w:t>
      </w:r>
    </w:p>
    <w:p w14:paraId="57D8D93F" w14:textId="77777777" w:rsidR="0012505A" w:rsidRPr="0012505A" w:rsidRDefault="0012505A" w:rsidP="0012505A">
      <w:pPr>
        <w:jc w:val="both"/>
        <w:rPr>
          <w:rFonts w:cs="Tahoma"/>
          <w:szCs w:val="20"/>
        </w:rPr>
      </w:pPr>
    </w:p>
    <w:p w14:paraId="430551E6" w14:textId="77777777" w:rsidR="0012505A" w:rsidRPr="0012505A" w:rsidRDefault="0012505A" w:rsidP="0012505A">
      <w:pPr>
        <w:jc w:val="both"/>
        <w:rPr>
          <w:rFonts w:cs="Tahoma"/>
          <w:b/>
          <w:bCs/>
          <w:szCs w:val="20"/>
        </w:rPr>
      </w:pPr>
      <w:r w:rsidRPr="0012505A">
        <w:rPr>
          <w:rFonts w:cs="Tahoma"/>
          <w:b/>
          <w:bCs/>
          <w:szCs w:val="20"/>
        </w:rPr>
        <w:t>Implementace zamítání elementů REGZEC pro nedefinované povinnosti v rámci LT</w:t>
      </w:r>
    </w:p>
    <w:p w14:paraId="3E23B57A" w14:textId="77777777" w:rsidR="0012505A" w:rsidRDefault="0012505A" w:rsidP="0012505A">
      <w:pPr>
        <w:jc w:val="both"/>
        <w:rPr>
          <w:rFonts w:cs="Tahoma"/>
          <w:szCs w:val="20"/>
        </w:rPr>
      </w:pPr>
      <w:r w:rsidRPr="0012505A">
        <w:rPr>
          <w:rFonts w:cs="Tahoma"/>
          <w:szCs w:val="20"/>
        </w:rPr>
        <w:t>Pro položky REGZEC, které pro vybrané akce nemají definovánu povinnost, požadujeme v případech, kdy podávající tuto položku vyplní, podání zamítnout.</w:t>
      </w:r>
    </w:p>
    <w:p w14:paraId="3A952A28" w14:textId="77777777" w:rsidR="0012505A" w:rsidRPr="0012505A" w:rsidRDefault="0012505A" w:rsidP="0012505A">
      <w:pPr>
        <w:jc w:val="both"/>
        <w:rPr>
          <w:rFonts w:cs="Tahoma"/>
          <w:szCs w:val="20"/>
        </w:rPr>
      </w:pPr>
    </w:p>
    <w:p w14:paraId="7AF5E9C0" w14:textId="77777777" w:rsidR="0012505A" w:rsidRPr="0012505A" w:rsidRDefault="0012505A" w:rsidP="0012505A">
      <w:pPr>
        <w:jc w:val="both"/>
        <w:rPr>
          <w:rFonts w:cs="Tahoma"/>
          <w:b/>
          <w:bCs/>
          <w:szCs w:val="20"/>
        </w:rPr>
      </w:pPr>
      <w:r w:rsidRPr="0012505A">
        <w:rPr>
          <w:rFonts w:cs="Tahoma"/>
          <w:b/>
          <w:bCs/>
          <w:szCs w:val="20"/>
        </w:rPr>
        <w:t>Úprava rozhraní validační služby JMHZ pro kontrolu jednotlivých formulářů</w:t>
      </w:r>
    </w:p>
    <w:p w14:paraId="47156230" w14:textId="68A9E132" w:rsidR="0012505A" w:rsidRDefault="0012505A" w:rsidP="0012505A">
      <w:pPr>
        <w:jc w:val="both"/>
        <w:rPr>
          <w:rFonts w:cs="Tahoma"/>
          <w:szCs w:val="20"/>
        </w:rPr>
      </w:pPr>
      <w:proofErr w:type="spellStart"/>
      <w:r w:rsidRPr="0012505A">
        <w:rPr>
          <w:rFonts w:cs="Tahoma"/>
          <w:szCs w:val="20"/>
        </w:rPr>
        <w:t>ePortál</w:t>
      </w:r>
      <w:proofErr w:type="spellEnd"/>
      <w:r w:rsidRPr="0012505A">
        <w:rPr>
          <w:rFonts w:cs="Tahoma"/>
          <w:szCs w:val="20"/>
        </w:rPr>
        <w:t xml:space="preserve"> potřebuje mít možnost v průběhu vyplňování měsíčního hlášení kontrolovat jednotlivé </w:t>
      </w:r>
      <w:proofErr w:type="gramStart"/>
      <w:r w:rsidRPr="0012505A">
        <w:rPr>
          <w:rFonts w:cs="Tahoma"/>
          <w:szCs w:val="20"/>
        </w:rPr>
        <w:t>formuláře</w:t>
      </w:r>
      <w:proofErr w:type="gramEnd"/>
      <w:r w:rsidRPr="0012505A">
        <w:rPr>
          <w:rFonts w:cs="Tahoma"/>
          <w:szCs w:val="20"/>
        </w:rPr>
        <w:t xml:space="preserve"> a ne až celé podání po vyplnění všech hodnot. Rozhraní validační služby musí být upraveno tak, </w:t>
      </w:r>
      <w:r w:rsidR="00E77686">
        <w:rPr>
          <w:rFonts w:cs="Tahoma"/>
          <w:szCs w:val="20"/>
        </w:rPr>
        <w:br/>
      </w:r>
      <w:r w:rsidRPr="0012505A">
        <w:rPr>
          <w:rFonts w:cs="Tahoma"/>
          <w:szCs w:val="20"/>
        </w:rPr>
        <w:t>aby vůči ní bylo možné zkontrolovat samostatný formulář bez nutnosti zadání všech atributů nutných pro kontrolu celého podání.</w:t>
      </w:r>
    </w:p>
    <w:p w14:paraId="2FE49A0D" w14:textId="77777777" w:rsidR="0012505A" w:rsidRPr="0012505A" w:rsidRDefault="0012505A" w:rsidP="0012505A">
      <w:pPr>
        <w:jc w:val="both"/>
        <w:rPr>
          <w:rFonts w:cs="Tahoma"/>
          <w:szCs w:val="20"/>
        </w:rPr>
      </w:pPr>
    </w:p>
    <w:p w14:paraId="1A649399" w14:textId="77777777" w:rsidR="0012505A" w:rsidRPr="0012505A" w:rsidRDefault="0012505A" w:rsidP="0012505A">
      <w:pPr>
        <w:jc w:val="both"/>
        <w:rPr>
          <w:rFonts w:cs="Tahoma"/>
          <w:b/>
          <w:bCs/>
          <w:szCs w:val="20"/>
        </w:rPr>
      </w:pPr>
      <w:r w:rsidRPr="0012505A">
        <w:rPr>
          <w:rFonts w:cs="Tahoma"/>
          <w:b/>
          <w:bCs/>
          <w:szCs w:val="20"/>
        </w:rPr>
        <w:lastRenderedPageBreak/>
        <w:t>Příjem, konverze a vypravení Výzev podávajícím subjektům generovaných v rámci agendy JMHZ</w:t>
      </w:r>
    </w:p>
    <w:p w14:paraId="1F7F04FD" w14:textId="77777777" w:rsidR="0012505A" w:rsidRPr="0012505A" w:rsidRDefault="0012505A" w:rsidP="0012505A">
      <w:pPr>
        <w:jc w:val="both"/>
        <w:rPr>
          <w:rFonts w:cs="Tahoma"/>
          <w:szCs w:val="20"/>
        </w:rPr>
      </w:pPr>
      <w:r w:rsidRPr="0012505A">
        <w:rPr>
          <w:rFonts w:cs="Tahoma"/>
          <w:szCs w:val="20"/>
        </w:rPr>
        <w:t xml:space="preserve">Vypravení Výzvy z důvodu nesplnění povinnosti generované v rámci </w:t>
      </w:r>
      <w:proofErr w:type="spellStart"/>
      <w:r w:rsidRPr="0012505A">
        <w:rPr>
          <w:rFonts w:cs="Tahoma"/>
          <w:szCs w:val="20"/>
        </w:rPr>
        <w:t>cJMHZ</w:t>
      </w:r>
      <w:proofErr w:type="spellEnd"/>
      <w:r w:rsidRPr="0012505A">
        <w:rPr>
          <w:rFonts w:cs="Tahoma"/>
          <w:szCs w:val="20"/>
        </w:rPr>
        <w:t>:</w:t>
      </w:r>
    </w:p>
    <w:p w14:paraId="45AFF21E" w14:textId="77777777" w:rsidR="0012505A" w:rsidRDefault="0012505A" w:rsidP="00385EE4">
      <w:pPr>
        <w:pStyle w:val="Odstavecseseznamem"/>
        <w:numPr>
          <w:ilvl w:val="0"/>
          <w:numId w:val="17"/>
        </w:numPr>
        <w:jc w:val="both"/>
        <w:rPr>
          <w:rFonts w:cs="Tahoma"/>
          <w:szCs w:val="20"/>
        </w:rPr>
      </w:pPr>
      <w:r w:rsidRPr="0012505A">
        <w:rPr>
          <w:rFonts w:cs="Tahoma"/>
          <w:szCs w:val="20"/>
        </w:rPr>
        <w:t xml:space="preserve">Přijetí XML z </w:t>
      </w:r>
      <w:proofErr w:type="spellStart"/>
      <w:r w:rsidRPr="0012505A">
        <w:rPr>
          <w:rFonts w:cs="Tahoma"/>
          <w:szCs w:val="20"/>
        </w:rPr>
        <w:t>cJMHZ</w:t>
      </w:r>
      <w:proofErr w:type="spellEnd"/>
      <w:r w:rsidRPr="0012505A">
        <w:rPr>
          <w:rFonts w:cs="Tahoma"/>
          <w:szCs w:val="20"/>
        </w:rPr>
        <w:t xml:space="preserve"> přes IKR</w:t>
      </w:r>
    </w:p>
    <w:p w14:paraId="7E25560C" w14:textId="77777777" w:rsidR="0012505A" w:rsidRDefault="0012505A" w:rsidP="0012505A">
      <w:pPr>
        <w:pStyle w:val="Odstavecseseznamem"/>
        <w:numPr>
          <w:ilvl w:val="0"/>
          <w:numId w:val="17"/>
        </w:numPr>
        <w:jc w:val="both"/>
        <w:rPr>
          <w:rFonts w:cs="Tahoma"/>
          <w:szCs w:val="20"/>
        </w:rPr>
      </w:pPr>
      <w:r w:rsidRPr="0012505A">
        <w:rPr>
          <w:rFonts w:cs="Tahoma"/>
          <w:szCs w:val="20"/>
        </w:rPr>
        <w:t>Vygenerování PDF</w:t>
      </w:r>
    </w:p>
    <w:p w14:paraId="55DF69A8" w14:textId="50F07A43" w:rsidR="0012505A" w:rsidRDefault="0012505A" w:rsidP="0012505A">
      <w:pPr>
        <w:pStyle w:val="Odstavecseseznamem"/>
        <w:numPr>
          <w:ilvl w:val="0"/>
          <w:numId w:val="17"/>
        </w:numPr>
        <w:jc w:val="both"/>
        <w:rPr>
          <w:rFonts w:cs="Tahoma"/>
          <w:szCs w:val="20"/>
        </w:rPr>
      </w:pPr>
      <w:r w:rsidRPr="0012505A">
        <w:rPr>
          <w:rFonts w:cs="Tahoma"/>
          <w:szCs w:val="20"/>
        </w:rPr>
        <w:t>Opatření PDF elektronickou pečetí z</w:t>
      </w:r>
      <w:r>
        <w:rPr>
          <w:rFonts w:cs="Tahoma"/>
          <w:szCs w:val="20"/>
        </w:rPr>
        <w:t> </w:t>
      </w:r>
      <w:r w:rsidRPr="0012505A">
        <w:rPr>
          <w:rFonts w:cs="Tahoma"/>
          <w:szCs w:val="20"/>
        </w:rPr>
        <w:t>MPSV</w:t>
      </w:r>
    </w:p>
    <w:p w14:paraId="01C0C8D9" w14:textId="77777777" w:rsidR="0012505A" w:rsidRDefault="0012505A" w:rsidP="0012505A">
      <w:pPr>
        <w:pStyle w:val="Odstavecseseznamem"/>
        <w:numPr>
          <w:ilvl w:val="0"/>
          <w:numId w:val="17"/>
        </w:numPr>
        <w:jc w:val="both"/>
        <w:rPr>
          <w:rFonts w:cs="Tahoma"/>
          <w:szCs w:val="20"/>
        </w:rPr>
      </w:pPr>
      <w:r w:rsidRPr="0012505A">
        <w:rPr>
          <w:rFonts w:cs="Tahoma"/>
          <w:szCs w:val="20"/>
        </w:rPr>
        <w:t>Uložení PDF do XDMS</w:t>
      </w:r>
    </w:p>
    <w:p w14:paraId="32BB2C1C" w14:textId="77777777" w:rsidR="0012505A" w:rsidRDefault="0012505A" w:rsidP="0012505A">
      <w:pPr>
        <w:pStyle w:val="Odstavecseseznamem"/>
        <w:numPr>
          <w:ilvl w:val="0"/>
          <w:numId w:val="17"/>
        </w:numPr>
        <w:jc w:val="both"/>
        <w:rPr>
          <w:rFonts w:cs="Tahoma"/>
          <w:szCs w:val="20"/>
        </w:rPr>
      </w:pPr>
      <w:r w:rsidRPr="0012505A">
        <w:rPr>
          <w:rFonts w:cs="Tahoma"/>
          <w:szCs w:val="20"/>
        </w:rPr>
        <w:t>Vypravení pečetěného PDF do DS</w:t>
      </w:r>
    </w:p>
    <w:p w14:paraId="7D0B5188" w14:textId="7A8DF349" w:rsidR="0012505A" w:rsidRPr="0012505A" w:rsidRDefault="0012505A" w:rsidP="0012505A">
      <w:pPr>
        <w:pStyle w:val="Odstavecseseznamem"/>
        <w:numPr>
          <w:ilvl w:val="0"/>
          <w:numId w:val="17"/>
        </w:numPr>
        <w:jc w:val="both"/>
        <w:rPr>
          <w:rFonts w:cs="Tahoma"/>
          <w:szCs w:val="20"/>
        </w:rPr>
      </w:pPr>
      <w:r w:rsidRPr="0012505A">
        <w:rPr>
          <w:rFonts w:cs="Tahoma"/>
          <w:szCs w:val="20"/>
        </w:rPr>
        <w:t xml:space="preserve">Předání pečetěného PDF na </w:t>
      </w:r>
      <w:proofErr w:type="spellStart"/>
      <w:r w:rsidRPr="0012505A">
        <w:rPr>
          <w:rFonts w:cs="Tahoma"/>
          <w:szCs w:val="20"/>
        </w:rPr>
        <w:t>ePortál</w:t>
      </w:r>
      <w:proofErr w:type="spellEnd"/>
    </w:p>
    <w:p w14:paraId="4E5BC513" w14:textId="77777777" w:rsidR="0012505A" w:rsidRDefault="0012505A" w:rsidP="0012505A">
      <w:pPr>
        <w:jc w:val="both"/>
        <w:rPr>
          <w:rFonts w:cs="Tahoma"/>
          <w:szCs w:val="20"/>
        </w:rPr>
      </w:pPr>
    </w:p>
    <w:p w14:paraId="3643DB6C" w14:textId="5197F9EC" w:rsidR="0012505A" w:rsidRPr="0012505A" w:rsidRDefault="0012505A" w:rsidP="0012505A">
      <w:pPr>
        <w:jc w:val="both"/>
        <w:rPr>
          <w:rFonts w:cs="Tahoma"/>
          <w:b/>
          <w:bCs/>
          <w:szCs w:val="20"/>
        </w:rPr>
      </w:pPr>
      <w:r w:rsidRPr="0012505A">
        <w:rPr>
          <w:rFonts w:cs="Tahoma"/>
          <w:b/>
          <w:bCs/>
          <w:szCs w:val="20"/>
        </w:rPr>
        <w:t>Rozšíření DV podání REGZEC, REGZEL_DOPL a VPDPP o další metadata a rozšíření parametrů volání PVP WF</w:t>
      </w:r>
    </w:p>
    <w:p w14:paraId="64459261" w14:textId="77777777" w:rsidR="0012505A" w:rsidRPr="0012505A" w:rsidRDefault="0012505A" w:rsidP="0012505A">
      <w:pPr>
        <w:jc w:val="both"/>
        <w:rPr>
          <w:rFonts w:cs="Tahoma"/>
          <w:szCs w:val="20"/>
        </w:rPr>
      </w:pPr>
      <w:r w:rsidRPr="0012505A">
        <w:rPr>
          <w:rFonts w:cs="Tahoma"/>
          <w:szCs w:val="20"/>
        </w:rPr>
        <w:t>Rozšíření DV o:</w:t>
      </w:r>
    </w:p>
    <w:p w14:paraId="7448EC5C" w14:textId="77777777" w:rsidR="0012505A" w:rsidRDefault="0012505A" w:rsidP="0012505A">
      <w:pPr>
        <w:pStyle w:val="Odstavecseseznamem"/>
        <w:numPr>
          <w:ilvl w:val="0"/>
          <w:numId w:val="18"/>
        </w:numPr>
        <w:jc w:val="both"/>
        <w:rPr>
          <w:rFonts w:cs="Tahoma"/>
          <w:szCs w:val="20"/>
        </w:rPr>
      </w:pPr>
      <w:r w:rsidRPr="0012505A">
        <w:rPr>
          <w:rFonts w:cs="Tahoma"/>
          <w:szCs w:val="20"/>
        </w:rPr>
        <w:t>REGZEC - &lt;</w:t>
      </w:r>
      <w:proofErr w:type="spellStart"/>
      <w:r w:rsidRPr="0012505A">
        <w:rPr>
          <w:rFonts w:cs="Tahoma"/>
          <w:szCs w:val="20"/>
        </w:rPr>
        <w:t>oidPojistenec</w:t>
      </w:r>
      <w:proofErr w:type="spellEnd"/>
      <w:r w:rsidRPr="0012505A">
        <w:rPr>
          <w:rFonts w:cs="Tahoma"/>
          <w:szCs w:val="20"/>
        </w:rPr>
        <w:t>&gt;10000038491&lt;/</w:t>
      </w:r>
      <w:proofErr w:type="spellStart"/>
      <w:r w:rsidRPr="0012505A">
        <w:rPr>
          <w:rFonts w:cs="Tahoma"/>
          <w:szCs w:val="20"/>
        </w:rPr>
        <w:t>oidPojistenec</w:t>
      </w:r>
      <w:proofErr w:type="spellEnd"/>
      <w:r w:rsidRPr="0012505A">
        <w:rPr>
          <w:rFonts w:cs="Tahoma"/>
          <w:szCs w:val="20"/>
        </w:rPr>
        <w:t>&gt;</w:t>
      </w:r>
    </w:p>
    <w:p w14:paraId="0472697A" w14:textId="77777777" w:rsidR="0012505A" w:rsidRDefault="0012505A" w:rsidP="0012505A">
      <w:pPr>
        <w:pStyle w:val="Odstavecseseznamem"/>
        <w:numPr>
          <w:ilvl w:val="0"/>
          <w:numId w:val="18"/>
        </w:numPr>
        <w:jc w:val="both"/>
        <w:rPr>
          <w:rFonts w:cs="Tahoma"/>
          <w:szCs w:val="20"/>
        </w:rPr>
      </w:pPr>
      <w:proofErr w:type="gramStart"/>
      <w:r w:rsidRPr="0012505A">
        <w:rPr>
          <w:rFonts w:cs="Tahoma"/>
          <w:szCs w:val="20"/>
        </w:rPr>
        <w:t xml:space="preserve">VPDPP - </w:t>
      </w:r>
      <w:proofErr w:type="spellStart"/>
      <w:r w:rsidRPr="0012505A">
        <w:rPr>
          <w:rFonts w:cs="Tahoma"/>
          <w:szCs w:val="20"/>
        </w:rPr>
        <w:t>pojistenec</w:t>
      </w:r>
      <w:proofErr w:type="spellEnd"/>
      <w:proofErr w:type="gramEnd"/>
      <w:r w:rsidRPr="0012505A">
        <w:rPr>
          <w:rFonts w:cs="Tahoma"/>
          <w:szCs w:val="20"/>
        </w:rPr>
        <w:t>\</w:t>
      </w:r>
      <w:proofErr w:type="spellStart"/>
      <w:r w:rsidRPr="0012505A">
        <w:rPr>
          <w:rFonts w:cs="Tahoma"/>
          <w:szCs w:val="20"/>
        </w:rPr>
        <w:t>oidPojistenec</w:t>
      </w:r>
      <w:proofErr w:type="spellEnd"/>
    </w:p>
    <w:p w14:paraId="5A2389F2" w14:textId="77777777" w:rsidR="0012505A" w:rsidRDefault="0012505A" w:rsidP="0012505A">
      <w:pPr>
        <w:pStyle w:val="Odstavecseseznamem"/>
        <w:numPr>
          <w:ilvl w:val="0"/>
          <w:numId w:val="18"/>
        </w:numPr>
        <w:jc w:val="both"/>
        <w:rPr>
          <w:rFonts w:cs="Tahoma"/>
          <w:szCs w:val="20"/>
        </w:rPr>
      </w:pPr>
      <w:r w:rsidRPr="0012505A">
        <w:rPr>
          <w:rFonts w:cs="Tahoma"/>
          <w:szCs w:val="20"/>
        </w:rPr>
        <w:t>REGZEL_DOPL - &lt;</w:t>
      </w:r>
      <w:proofErr w:type="spellStart"/>
      <w:r w:rsidRPr="0012505A">
        <w:rPr>
          <w:rFonts w:cs="Tahoma"/>
          <w:szCs w:val="20"/>
        </w:rPr>
        <w:t>oidPojistnik</w:t>
      </w:r>
      <w:proofErr w:type="spellEnd"/>
      <w:r w:rsidRPr="0012505A">
        <w:rPr>
          <w:rFonts w:cs="Tahoma"/>
          <w:szCs w:val="20"/>
        </w:rPr>
        <w:t>&gt;3216769790&lt;/</w:t>
      </w:r>
      <w:proofErr w:type="spellStart"/>
      <w:r w:rsidRPr="0012505A">
        <w:rPr>
          <w:rFonts w:cs="Tahoma"/>
          <w:szCs w:val="20"/>
        </w:rPr>
        <w:t>oidPojistnik</w:t>
      </w:r>
      <w:proofErr w:type="spellEnd"/>
      <w:r w:rsidRPr="0012505A">
        <w:rPr>
          <w:rFonts w:cs="Tahoma"/>
          <w:szCs w:val="20"/>
        </w:rPr>
        <w:t>&gt;</w:t>
      </w:r>
    </w:p>
    <w:p w14:paraId="297847AF" w14:textId="031D0DCD" w:rsidR="0012505A" w:rsidRPr="0012505A" w:rsidRDefault="0012505A" w:rsidP="0012505A">
      <w:pPr>
        <w:pStyle w:val="Odstavecseseznamem"/>
        <w:numPr>
          <w:ilvl w:val="0"/>
          <w:numId w:val="18"/>
        </w:numPr>
        <w:jc w:val="both"/>
        <w:rPr>
          <w:rFonts w:cs="Tahoma"/>
          <w:szCs w:val="20"/>
        </w:rPr>
      </w:pPr>
      <w:r w:rsidRPr="0012505A">
        <w:rPr>
          <w:rFonts w:cs="Tahoma"/>
          <w:szCs w:val="20"/>
        </w:rPr>
        <w:t xml:space="preserve">PVP </w:t>
      </w:r>
      <w:proofErr w:type="gramStart"/>
      <w:r w:rsidRPr="0012505A">
        <w:rPr>
          <w:rFonts w:cs="Tahoma"/>
          <w:szCs w:val="20"/>
        </w:rPr>
        <w:t>WF - volání</w:t>
      </w:r>
      <w:proofErr w:type="gramEnd"/>
      <w:r w:rsidRPr="0012505A">
        <w:rPr>
          <w:rFonts w:cs="Tahoma"/>
          <w:szCs w:val="20"/>
        </w:rPr>
        <w:t xml:space="preserve"> </w:t>
      </w:r>
      <w:proofErr w:type="spellStart"/>
      <w:r w:rsidRPr="0012505A">
        <w:rPr>
          <w:rFonts w:cs="Tahoma"/>
          <w:szCs w:val="20"/>
        </w:rPr>
        <w:t>SetActivity</w:t>
      </w:r>
      <w:proofErr w:type="spellEnd"/>
      <w:r w:rsidRPr="0012505A">
        <w:rPr>
          <w:rFonts w:cs="Tahoma"/>
          <w:szCs w:val="20"/>
        </w:rPr>
        <w:t xml:space="preserve"> z bodu 1 obohatit tak, aby do sortKey5 vyplňovalo hodnotu, </w:t>
      </w:r>
      <w:r w:rsidR="00E77686">
        <w:rPr>
          <w:rFonts w:cs="Tahoma"/>
          <w:szCs w:val="20"/>
        </w:rPr>
        <w:br/>
      </w:r>
      <w:r w:rsidRPr="0012505A">
        <w:rPr>
          <w:rFonts w:cs="Tahoma"/>
          <w:szCs w:val="20"/>
        </w:rPr>
        <w:t xml:space="preserve">která se posílá jako </w:t>
      </w:r>
      <w:proofErr w:type="spellStart"/>
      <w:r w:rsidRPr="0012505A">
        <w:rPr>
          <w:rFonts w:cs="Tahoma"/>
          <w:szCs w:val="20"/>
        </w:rPr>
        <w:t>Activityid</w:t>
      </w:r>
      <w:proofErr w:type="spellEnd"/>
    </w:p>
    <w:p w14:paraId="7FF0510E" w14:textId="77777777" w:rsidR="0012505A" w:rsidRDefault="0012505A" w:rsidP="0012505A">
      <w:pPr>
        <w:jc w:val="both"/>
        <w:rPr>
          <w:rFonts w:cs="Tahoma"/>
          <w:szCs w:val="20"/>
        </w:rPr>
      </w:pPr>
    </w:p>
    <w:p w14:paraId="0662D4FA" w14:textId="206FE6A7" w:rsidR="0012505A" w:rsidRPr="0012505A" w:rsidRDefault="0012505A" w:rsidP="0012505A">
      <w:pPr>
        <w:jc w:val="both"/>
        <w:rPr>
          <w:rFonts w:cs="Tahoma"/>
          <w:b/>
          <w:bCs/>
          <w:szCs w:val="20"/>
        </w:rPr>
      </w:pPr>
      <w:r w:rsidRPr="0012505A">
        <w:rPr>
          <w:rFonts w:cs="Tahoma"/>
          <w:b/>
          <w:bCs/>
          <w:szCs w:val="20"/>
        </w:rPr>
        <w:t>Požadavky na úpravy ESB v rámci komunikace KE -&gt; KRK -&gt; KE včetně úprav PVP WF</w:t>
      </w:r>
    </w:p>
    <w:p w14:paraId="18912A7A" w14:textId="77777777" w:rsidR="0012505A" w:rsidRPr="0012505A" w:rsidRDefault="0012505A" w:rsidP="0012505A">
      <w:pPr>
        <w:jc w:val="both"/>
        <w:rPr>
          <w:rFonts w:cs="Tahoma"/>
          <w:szCs w:val="20"/>
        </w:rPr>
      </w:pPr>
      <w:r w:rsidRPr="0012505A">
        <w:rPr>
          <w:rFonts w:cs="Tahoma"/>
          <w:szCs w:val="20"/>
        </w:rPr>
        <w:t xml:space="preserve">Úprava procesu vyvolaného voláním </w:t>
      </w:r>
      <w:proofErr w:type="spellStart"/>
      <w:r w:rsidRPr="0012505A">
        <w:rPr>
          <w:rFonts w:cs="Tahoma"/>
          <w:szCs w:val="20"/>
        </w:rPr>
        <w:t>JriAktualniDataIkmpsvKE</w:t>
      </w:r>
      <w:proofErr w:type="spellEnd"/>
    </w:p>
    <w:p w14:paraId="141751E1" w14:textId="77777777" w:rsidR="0012505A" w:rsidRPr="0012505A" w:rsidRDefault="0012505A" w:rsidP="0012505A">
      <w:pPr>
        <w:jc w:val="both"/>
        <w:rPr>
          <w:rFonts w:cs="Tahoma"/>
          <w:szCs w:val="20"/>
        </w:rPr>
      </w:pPr>
      <w:r w:rsidRPr="0012505A">
        <w:rPr>
          <w:rFonts w:cs="Tahoma"/>
          <w:szCs w:val="20"/>
        </w:rPr>
        <w:t xml:space="preserve">Zpracování nového volání </w:t>
      </w:r>
      <w:proofErr w:type="spellStart"/>
      <w:r w:rsidRPr="0012505A">
        <w:rPr>
          <w:rFonts w:cs="Tahoma"/>
          <w:szCs w:val="20"/>
        </w:rPr>
        <w:t>jriZiskejIkmpsvKE-odpoved</w:t>
      </w:r>
      <w:proofErr w:type="spellEnd"/>
    </w:p>
    <w:p w14:paraId="5DACEA1F" w14:textId="77777777" w:rsidR="0012505A" w:rsidRPr="0012505A" w:rsidRDefault="0012505A" w:rsidP="0012505A">
      <w:pPr>
        <w:jc w:val="both"/>
        <w:rPr>
          <w:rFonts w:cs="Tahoma"/>
          <w:szCs w:val="20"/>
        </w:rPr>
      </w:pPr>
      <w:r w:rsidRPr="0012505A">
        <w:rPr>
          <w:rFonts w:cs="Tahoma"/>
          <w:szCs w:val="20"/>
        </w:rPr>
        <w:t xml:space="preserve">Zpracování nového volání </w:t>
      </w:r>
      <w:proofErr w:type="spellStart"/>
      <w:r w:rsidRPr="0012505A">
        <w:rPr>
          <w:rFonts w:cs="Tahoma"/>
          <w:szCs w:val="20"/>
        </w:rPr>
        <w:t>jriZmenaKonfliktu</w:t>
      </w:r>
      <w:proofErr w:type="spellEnd"/>
    </w:p>
    <w:p w14:paraId="4D9E88BE" w14:textId="77777777" w:rsidR="0012505A" w:rsidRPr="0012505A" w:rsidRDefault="0012505A" w:rsidP="0012505A">
      <w:pPr>
        <w:jc w:val="both"/>
        <w:rPr>
          <w:rFonts w:cs="Tahoma"/>
          <w:szCs w:val="20"/>
        </w:rPr>
      </w:pPr>
      <w:r w:rsidRPr="0012505A">
        <w:rPr>
          <w:rFonts w:cs="Tahoma"/>
          <w:szCs w:val="20"/>
        </w:rPr>
        <w:t xml:space="preserve">Úpravy </w:t>
      </w:r>
      <w:proofErr w:type="spellStart"/>
      <w:r w:rsidRPr="0012505A">
        <w:rPr>
          <w:rFonts w:cs="Tahoma"/>
          <w:szCs w:val="20"/>
        </w:rPr>
        <w:t>Workflow</w:t>
      </w:r>
      <w:proofErr w:type="spellEnd"/>
      <w:r w:rsidRPr="0012505A">
        <w:rPr>
          <w:rFonts w:cs="Tahoma"/>
          <w:szCs w:val="20"/>
        </w:rPr>
        <w:t xml:space="preserve"> zpracování REGZEC:</w:t>
      </w:r>
    </w:p>
    <w:p w14:paraId="185511E3" w14:textId="77777777" w:rsidR="0012505A" w:rsidRDefault="0012505A" w:rsidP="0012505A">
      <w:pPr>
        <w:pStyle w:val="Odstavecseseznamem"/>
        <w:numPr>
          <w:ilvl w:val="0"/>
          <w:numId w:val="19"/>
        </w:numPr>
        <w:jc w:val="both"/>
        <w:rPr>
          <w:rFonts w:cs="Tahoma"/>
          <w:szCs w:val="20"/>
        </w:rPr>
      </w:pPr>
      <w:r w:rsidRPr="0012505A">
        <w:rPr>
          <w:rFonts w:cs="Tahoma"/>
          <w:szCs w:val="20"/>
        </w:rPr>
        <w:t>Úprava dvou existujících BizTalk orchestrací a vytvoření dvou nových BizTalk orchestrací</w:t>
      </w:r>
    </w:p>
    <w:p w14:paraId="4CCCEE57" w14:textId="7D03D984" w:rsidR="0012505A" w:rsidRDefault="0012505A" w:rsidP="0012505A">
      <w:pPr>
        <w:pStyle w:val="Odstavecseseznamem"/>
        <w:numPr>
          <w:ilvl w:val="0"/>
          <w:numId w:val="19"/>
        </w:numPr>
        <w:jc w:val="both"/>
        <w:rPr>
          <w:rFonts w:cs="Tahoma"/>
          <w:szCs w:val="20"/>
        </w:rPr>
      </w:pPr>
      <w:r w:rsidRPr="0012505A">
        <w:rPr>
          <w:rFonts w:cs="Tahoma"/>
          <w:szCs w:val="20"/>
        </w:rPr>
        <w:t>Vytvoření dvou nových webových služeb pro KRK (</w:t>
      </w:r>
      <w:proofErr w:type="spellStart"/>
      <w:r w:rsidRPr="0012505A">
        <w:rPr>
          <w:rFonts w:cs="Tahoma"/>
          <w:szCs w:val="20"/>
        </w:rPr>
        <w:t>jriZiskejIkmpsvKE-odpoved</w:t>
      </w:r>
      <w:proofErr w:type="spellEnd"/>
      <w:r w:rsidRPr="0012505A">
        <w:rPr>
          <w:rFonts w:cs="Tahoma"/>
          <w:szCs w:val="20"/>
        </w:rPr>
        <w:t xml:space="preserve"> </w:t>
      </w:r>
      <w:r w:rsidR="00E77686">
        <w:rPr>
          <w:rFonts w:cs="Tahoma"/>
          <w:szCs w:val="20"/>
        </w:rPr>
        <w:br/>
      </w:r>
      <w:r w:rsidRPr="0012505A">
        <w:rPr>
          <w:rFonts w:cs="Tahoma"/>
          <w:szCs w:val="20"/>
        </w:rPr>
        <w:t xml:space="preserve">a </w:t>
      </w:r>
      <w:proofErr w:type="spellStart"/>
      <w:r w:rsidRPr="0012505A">
        <w:rPr>
          <w:rFonts w:cs="Tahoma"/>
          <w:szCs w:val="20"/>
        </w:rPr>
        <w:t>jriZmenaKonfliktu</w:t>
      </w:r>
      <w:proofErr w:type="spellEnd"/>
      <w:r w:rsidRPr="0012505A">
        <w:rPr>
          <w:rFonts w:cs="Tahoma"/>
          <w:szCs w:val="20"/>
        </w:rPr>
        <w:t>)</w:t>
      </w:r>
    </w:p>
    <w:p w14:paraId="34D0D300" w14:textId="77777777" w:rsidR="0012505A" w:rsidRDefault="0012505A" w:rsidP="0012505A">
      <w:pPr>
        <w:pStyle w:val="Odstavecseseznamem"/>
        <w:numPr>
          <w:ilvl w:val="0"/>
          <w:numId w:val="19"/>
        </w:numPr>
        <w:jc w:val="both"/>
        <w:rPr>
          <w:rFonts w:cs="Tahoma"/>
          <w:szCs w:val="20"/>
        </w:rPr>
      </w:pPr>
      <w:r w:rsidRPr="0012505A">
        <w:rPr>
          <w:rFonts w:cs="Tahoma"/>
          <w:szCs w:val="20"/>
        </w:rPr>
        <w:t xml:space="preserve">Úprava volání </w:t>
      </w:r>
      <w:proofErr w:type="spellStart"/>
      <w:r w:rsidRPr="0012505A">
        <w:rPr>
          <w:rFonts w:cs="Tahoma"/>
          <w:szCs w:val="20"/>
        </w:rPr>
        <w:t>BAMu</w:t>
      </w:r>
      <w:proofErr w:type="spellEnd"/>
    </w:p>
    <w:p w14:paraId="6C98D6AB" w14:textId="7CC88CDC" w:rsidR="0012505A" w:rsidRPr="0012505A" w:rsidRDefault="0012505A" w:rsidP="0012505A">
      <w:pPr>
        <w:pStyle w:val="Odstavecseseznamem"/>
        <w:numPr>
          <w:ilvl w:val="0"/>
          <w:numId w:val="19"/>
        </w:numPr>
        <w:jc w:val="both"/>
        <w:rPr>
          <w:rFonts w:cs="Tahoma"/>
          <w:szCs w:val="20"/>
        </w:rPr>
      </w:pPr>
      <w:r w:rsidRPr="0012505A">
        <w:rPr>
          <w:rFonts w:cs="Tahoma"/>
          <w:szCs w:val="20"/>
        </w:rPr>
        <w:t>Rozšíření orchestrací PVP WF o 3 nové větve zpracování (9, 10 a 11)</w:t>
      </w:r>
    </w:p>
    <w:p w14:paraId="750828B1" w14:textId="77777777" w:rsidR="0012505A" w:rsidRDefault="0012505A" w:rsidP="0012505A">
      <w:pPr>
        <w:jc w:val="both"/>
        <w:rPr>
          <w:rFonts w:cs="Tahoma"/>
          <w:b/>
          <w:bCs/>
          <w:szCs w:val="20"/>
        </w:rPr>
      </w:pPr>
    </w:p>
    <w:p w14:paraId="2C927749" w14:textId="3E704B5E" w:rsidR="0012505A" w:rsidRPr="0012505A" w:rsidRDefault="0012505A" w:rsidP="0012505A">
      <w:pPr>
        <w:jc w:val="both"/>
        <w:rPr>
          <w:rFonts w:cs="Tahoma"/>
          <w:b/>
          <w:bCs/>
          <w:szCs w:val="20"/>
        </w:rPr>
      </w:pPr>
      <w:r w:rsidRPr="0012505A">
        <w:rPr>
          <w:rFonts w:cs="Tahoma"/>
          <w:b/>
          <w:bCs/>
          <w:szCs w:val="20"/>
        </w:rPr>
        <w:t>Úpravy XSD, DV a logických kontrol podání JMHZ ve vazbě na výsledky testů</w:t>
      </w:r>
    </w:p>
    <w:p w14:paraId="09F701C4" w14:textId="77777777" w:rsidR="0012505A" w:rsidRPr="0012505A" w:rsidRDefault="0012505A" w:rsidP="0012505A">
      <w:pPr>
        <w:jc w:val="both"/>
        <w:rPr>
          <w:rFonts w:cs="Tahoma"/>
          <w:szCs w:val="20"/>
        </w:rPr>
      </w:pPr>
      <w:r w:rsidRPr="0012505A">
        <w:rPr>
          <w:rFonts w:cs="Tahoma"/>
          <w:szCs w:val="20"/>
        </w:rPr>
        <w:t>Rozšíření číselníku atributu Typ kolektivní smlouvy</w:t>
      </w:r>
    </w:p>
    <w:p w14:paraId="640B724D" w14:textId="77777777" w:rsidR="0012505A" w:rsidRPr="0012505A" w:rsidRDefault="0012505A" w:rsidP="0012505A">
      <w:pPr>
        <w:jc w:val="both"/>
        <w:rPr>
          <w:rFonts w:cs="Tahoma"/>
          <w:szCs w:val="20"/>
        </w:rPr>
      </w:pPr>
      <w:r w:rsidRPr="0012505A">
        <w:rPr>
          <w:rFonts w:cs="Tahoma"/>
          <w:szCs w:val="20"/>
        </w:rPr>
        <w:t>Změna povinnosti atributu Započitatelný příjem pro účely nemocenského pojištění</w:t>
      </w:r>
    </w:p>
    <w:p w14:paraId="262CD35C" w14:textId="77777777" w:rsidR="0012505A" w:rsidRPr="0012505A" w:rsidRDefault="0012505A" w:rsidP="0012505A">
      <w:pPr>
        <w:jc w:val="both"/>
        <w:rPr>
          <w:rFonts w:cs="Tahoma"/>
          <w:szCs w:val="20"/>
        </w:rPr>
      </w:pPr>
      <w:r w:rsidRPr="0012505A">
        <w:rPr>
          <w:rFonts w:cs="Tahoma"/>
          <w:szCs w:val="20"/>
        </w:rPr>
        <w:t>Revize nastavených kontrol pro účely důchodových nároků</w:t>
      </w:r>
    </w:p>
    <w:p w14:paraId="5B2CECEF" w14:textId="20B52CAB" w:rsidR="004B7ED7" w:rsidRPr="0012505A" w:rsidRDefault="0012505A" w:rsidP="0012505A">
      <w:pPr>
        <w:jc w:val="both"/>
        <w:rPr>
          <w:rFonts w:cs="Tahoma"/>
          <w:szCs w:val="20"/>
        </w:rPr>
      </w:pPr>
      <w:r w:rsidRPr="0012505A">
        <w:rPr>
          <w:rFonts w:cs="Tahoma"/>
          <w:szCs w:val="20"/>
        </w:rPr>
        <w:t>Úprava externího XSD/DV, interního XSD/DV a logických kontrol podání JMHZ</w:t>
      </w:r>
    </w:p>
    <w:p w14:paraId="7B6AC936" w14:textId="77777777" w:rsidR="009A3ED4" w:rsidRPr="00432CC1" w:rsidRDefault="009A3ED4" w:rsidP="00314764">
      <w:pPr>
        <w:jc w:val="both"/>
        <w:rPr>
          <w:rFonts w:cs="Tahoma"/>
        </w:rPr>
      </w:pPr>
    </w:p>
    <w:p w14:paraId="682D6ADE" w14:textId="1FDC3A3F" w:rsidR="00D0181B" w:rsidRPr="00432CC1" w:rsidRDefault="005462B7" w:rsidP="00250877">
      <w:pPr>
        <w:jc w:val="both"/>
        <w:rPr>
          <w:rFonts w:cs="Tahoma"/>
          <w:b/>
        </w:rPr>
      </w:pPr>
      <w:r w:rsidRPr="00432CC1">
        <w:rPr>
          <w:rFonts w:cs="Tahoma"/>
          <w:b/>
        </w:rPr>
        <w:t xml:space="preserve">Akceptační kritéria </w:t>
      </w:r>
    </w:p>
    <w:p w14:paraId="157250F1"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byly předány Návrhy řešení ke všem požadovaným úpravám. </w:t>
      </w:r>
    </w:p>
    <w:p w14:paraId="5D97EFC9"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byla předána aktualizovaná provozní, instalační a uživatelská dokumentace na CD. Plně funkční upravená verze Subsystémů </w:t>
      </w:r>
      <w:r w:rsidRPr="00432CC1">
        <w:rPr>
          <w:rFonts w:eastAsia="Times New Roman" w:cs="Tahoma"/>
          <w:szCs w:val="20"/>
          <w:lang w:eastAsia="cs-CZ"/>
        </w:rPr>
        <w:t xml:space="preserve">ESB </w:t>
      </w:r>
      <w:proofErr w:type="spellStart"/>
      <w:r w:rsidRPr="00432CC1">
        <w:rPr>
          <w:rFonts w:eastAsia="Times New Roman" w:cs="Tahoma"/>
          <w:szCs w:val="20"/>
          <w:lang w:eastAsia="cs-CZ"/>
        </w:rPr>
        <w:t>Backend</w:t>
      </w:r>
      <w:proofErr w:type="spellEnd"/>
      <w:r w:rsidRPr="00432CC1">
        <w:rPr>
          <w:rFonts w:eastAsia="Times New Roman" w:cs="Tahoma"/>
          <w:szCs w:val="20"/>
          <w:lang w:eastAsia="cs-CZ"/>
        </w:rPr>
        <w:t xml:space="preserve"> a DIS</w:t>
      </w:r>
      <w:r w:rsidRPr="00432CC1">
        <w:rPr>
          <w:rFonts w:cs="Tahoma"/>
        </w:rPr>
        <w:t xml:space="preserve"> je nainstalovaná do produkčního prostředí Objednatele. Objednateli byly předány aktualizované zdrojové kódy a instalační balíčky na CD.</w:t>
      </w:r>
    </w:p>
    <w:p w14:paraId="28D6E1BD" w14:textId="77777777" w:rsidR="004B7ED7" w:rsidRPr="00432CC1" w:rsidRDefault="004B7ED7" w:rsidP="00E70FA3">
      <w:pPr>
        <w:pStyle w:val="Odstavecseseznamem"/>
        <w:numPr>
          <w:ilvl w:val="0"/>
          <w:numId w:val="15"/>
        </w:numPr>
        <w:jc w:val="both"/>
        <w:rPr>
          <w:rFonts w:cs="Tahoma"/>
        </w:rPr>
      </w:pPr>
      <w:r w:rsidRPr="00432CC1">
        <w:rPr>
          <w:rFonts w:cs="Tahoma"/>
        </w:rPr>
        <w:t xml:space="preserve">Byla poskytnuta zvýšená podpora po nasazení do produkčního prostředí v rozsahu 14 kalendářních dnů (2 týdnů) v souladu s čl. 7. odst. 7.3 Rámcové dohody a upravená verze Subsystémů ESB </w:t>
      </w:r>
      <w:proofErr w:type="spellStart"/>
      <w:r w:rsidRPr="00432CC1">
        <w:rPr>
          <w:rFonts w:cs="Tahoma"/>
        </w:rPr>
        <w:t>Backend</w:t>
      </w:r>
      <w:proofErr w:type="spellEnd"/>
      <w:r w:rsidRPr="00432CC1">
        <w:rPr>
          <w:rFonts w:cs="Tahoma"/>
        </w:rPr>
        <w:t xml:space="preserve"> a DIS je rutinně provozována v produkčním prostředí Objednatele.</w:t>
      </w:r>
    </w:p>
    <w:p w14:paraId="7D87153E" w14:textId="77777777" w:rsidR="00B45FD4" w:rsidRDefault="00B45FD4">
      <w:pPr>
        <w:rPr>
          <w:rFonts w:eastAsia="Times New Roman" w:cs="Tahoma"/>
          <w:b/>
          <w:lang w:eastAsia="x-none"/>
        </w:rPr>
      </w:pPr>
      <w:r>
        <w:br w:type="page"/>
      </w:r>
    </w:p>
    <w:p w14:paraId="47930B6D" w14:textId="27763975" w:rsidR="00D0181B" w:rsidRPr="00432CC1" w:rsidRDefault="00C92495">
      <w:pPr>
        <w:pStyle w:val="Nadpis1"/>
        <w:rPr>
          <w:lang w:val="cs-CZ"/>
        </w:rPr>
      </w:pPr>
      <w:r w:rsidRPr="00432CC1">
        <w:rPr>
          <w:lang w:val="cs-CZ"/>
        </w:rPr>
        <w:lastRenderedPageBreak/>
        <w:t>Specifikace ceny</w:t>
      </w:r>
    </w:p>
    <w:p w14:paraId="6F2A2691" w14:textId="77777777" w:rsidR="00D0181B" w:rsidRPr="00432CC1" w:rsidRDefault="00C92495">
      <w:pPr>
        <w:jc w:val="both"/>
        <w:rPr>
          <w:rFonts w:cs="Tahoma"/>
        </w:rPr>
      </w:pPr>
      <w:r w:rsidRPr="00432CC1">
        <w:rPr>
          <w:rFonts w:cs="Tahoma"/>
        </w:rPr>
        <w:t>Maximální cena Služeb je stanovena výpočtem, ve kterém jsou použity:</w:t>
      </w:r>
    </w:p>
    <w:p w14:paraId="3F167DF0" w14:textId="77777777" w:rsidR="00D0181B" w:rsidRPr="00432CC1" w:rsidRDefault="00D0181B">
      <w:pPr>
        <w:jc w:val="both"/>
        <w:rPr>
          <w:rFonts w:cs="Tahoma"/>
        </w:rPr>
      </w:pPr>
    </w:p>
    <w:p w14:paraId="5CEA445D" w14:textId="77777777" w:rsidR="00D0181B" w:rsidRPr="00432CC1" w:rsidRDefault="00C92495" w:rsidP="00E70FA3">
      <w:pPr>
        <w:pStyle w:val="Odstavecseseznamem"/>
        <w:numPr>
          <w:ilvl w:val="0"/>
          <w:numId w:val="4"/>
        </w:numPr>
        <w:jc w:val="both"/>
        <w:rPr>
          <w:rFonts w:cs="Tahoma"/>
        </w:rPr>
      </w:pPr>
      <w:r w:rsidRPr="00432CC1">
        <w:rPr>
          <w:rFonts w:cs="Tahoma"/>
        </w:rPr>
        <w:t>sazby za člověkoden (dále jen „</w:t>
      </w:r>
      <w:r w:rsidRPr="00432CC1">
        <w:rPr>
          <w:rFonts w:cs="Tahoma"/>
          <w:b/>
        </w:rPr>
        <w:t>ČD</w:t>
      </w:r>
      <w:r w:rsidRPr="00432CC1">
        <w:rPr>
          <w:rFonts w:cs="Tahoma"/>
        </w:rPr>
        <w:t>“) pracovníků (specialistů) Poskytovatele, kteří budou ustaveni do rolí, jež se budou podílet na poskytování Služeb tak, jak jsou uvedeny v Příloze č.</w:t>
      </w:r>
      <w:r w:rsidR="00A8668D" w:rsidRPr="00432CC1">
        <w:rPr>
          <w:rFonts w:cs="Tahoma"/>
          <w:szCs w:val="20"/>
        </w:rPr>
        <w:t> </w:t>
      </w:r>
      <w:r w:rsidR="00A8668D" w:rsidRPr="00432CC1">
        <w:rPr>
          <w:rFonts w:cs="Tahoma"/>
        </w:rPr>
        <w:t xml:space="preserve"> </w:t>
      </w:r>
      <w:r w:rsidRPr="00432CC1">
        <w:rPr>
          <w:rFonts w:cs="Tahoma"/>
        </w:rPr>
        <w:t xml:space="preserve">5 Rámcové dohody; </w:t>
      </w:r>
    </w:p>
    <w:p w14:paraId="224D9E5F" w14:textId="77777777" w:rsidR="00D0181B" w:rsidRPr="00432CC1" w:rsidRDefault="00C92495" w:rsidP="00E70FA3">
      <w:pPr>
        <w:pStyle w:val="Odstavecseseznamem"/>
        <w:numPr>
          <w:ilvl w:val="0"/>
          <w:numId w:val="4"/>
        </w:numPr>
        <w:jc w:val="both"/>
        <w:rPr>
          <w:rFonts w:cs="Tahoma"/>
        </w:rPr>
      </w:pPr>
      <w:r w:rsidRPr="00432CC1">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432CC1" w:rsidRDefault="00D0181B">
      <w:pPr>
        <w:rPr>
          <w:rFonts w:cs="Tahoma"/>
          <w:b/>
          <w:u w:val="single"/>
        </w:rPr>
      </w:pPr>
    </w:p>
    <w:p w14:paraId="12FE11B9" w14:textId="4E225857" w:rsidR="00EB300C" w:rsidRPr="00432CC1" w:rsidRDefault="00EB300C">
      <w:pPr>
        <w:rPr>
          <w:rFonts w:cs="Tahoma"/>
          <w:b/>
          <w:u w:val="single"/>
        </w:rPr>
      </w:pPr>
      <w:r w:rsidRPr="00432CC1">
        <w:rPr>
          <w:rFonts w:cs="Tahoma"/>
          <w:b/>
        </w:rPr>
        <w:t xml:space="preserve">Pracnost dílčího plnění </w:t>
      </w:r>
    </w:p>
    <w:p w14:paraId="37FA9856" w14:textId="77777777" w:rsidR="00B6383F" w:rsidRPr="00432CC1" w:rsidRDefault="00B6383F">
      <w:pPr>
        <w:rPr>
          <w:rFonts w:cs="Tahoma"/>
          <w:b/>
          <w:u w:val="single"/>
        </w:rPr>
      </w:pPr>
    </w:p>
    <w:tbl>
      <w:tblPr>
        <w:tblStyle w:val="Mkatabulky"/>
        <w:tblW w:w="9106" w:type="dxa"/>
        <w:tblLook w:val="04A0" w:firstRow="1" w:lastRow="0" w:firstColumn="1" w:lastColumn="0" w:noHBand="0" w:noVBand="1"/>
      </w:tblPr>
      <w:tblGrid>
        <w:gridCol w:w="5098"/>
        <w:gridCol w:w="1083"/>
        <w:gridCol w:w="1083"/>
        <w:gridCol w:w="1842"/>
      </w:tblGrid>
      <w:tr w:rsidR="005278F2" w:rsidRPr="00E83FC1" w14:paraId="74613617" w14:textId="77777777" w:rsidTr="00733802">
        <w:trPr>
          <w:trHeight w:val="240"/>
        </w:trPr>
        <w:tc>
          <w:tcPr>
            <w:tcW w:w="5098" w:type="dxa"/>
            <w:noWrap/>
            <w:vAlign w:val="center"/>
            <w:hideMark/>
          </w:tcPr>
          <w:p w14:paraId="3E2E4563" w14:textId="77777777" w:rsidR="005278F2" w:rsidRPr="00E83FC1" w:rsidRDefault="005278F2" w:rsidP="00B66E30">
            <w:pPr>
              <w:jc w:val="center"/>
              <w:rPr>
                <w:rFonts w:eastAsia="Times New Roman" w:cs="Tahoma"/>
                <w:b/>
                <w:bCs/>
                <w:color w:val="000000"/>
                <w:szCs w:val="20"/>
              </w:rPr>
            </w:pPr>
            <w:r w:rsidRPr="00E83FC1">
              <w:rPr>
                <w:rFonts w:eastAsia="Times New Roman" w:cs="Tahoma"/>
                <w:b/>
                <w:bCs/>
                <w:color w:val="000000"/>
                <w:szCs w:val="20"/>
              </w:rPr>
              <w:t>Role</w:t>
            </w:r>
          </w:p>
        </w:tc>
        <w:tc>
          <w:tcPr>
            <w:tcW w:w="1083" w:type="dxa"/>
          </w:tcPr>
          <w:p w14:paraId="1028BD49" w14:textId="77777777" w:rsidR="005278F2" w:rsidRPr="00E83FC1" w:rsidRDefault="005278F2" w:rsidP="00F44FC0">
            <w:pPr>
              <w:rPr>
                <w:rFonts w:cs="Tahoma"/>
                <w:b/>
                <w:bCs/>
                <w:color w:val="000000"/>
                <w:szCs w:val="20"/>
              </w:rPr>
            </w:pPr>
            <w:r w:rsidRPr="00E83FC1">
              <w:rPr>
                <w:rFonts w:cs="Tahoma"/>
                <w:b/>
                <w:bCs/>
                <w:color w:val="000000"/>
                <w:szCs w:val="20"/>
              </w:rPr>
              <w:t>Cena v Kč bez DPH/ČD</w:t>
            </w:r>
          </w:p>
        </w:tc>
        <w:tc>
          <w:tcPr>
            <w:tcW w:w="1083" w:type="dxa"/>
            <w:noWrap/>
            <w:vAlign w:val="center"/>
            <w:hideMark/>
          </w:tcPr>
          <w:p w14:paraId="05F25697"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ČD</w:t>
            </w:r>
          </w:p>
        </w:tc>
        <w:tc>
          <w:tcPr>
            <w:tcW w:w="1842" w:type="dxa"/>
            <w:noWrap/>
            <w:vAlign w:val="center"/>
            <w:hideMark/>
          </w:tcPr>
          <w:p w14:paraId="3CF093C1"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Kč bez DPH</w:t>
            </w:r>
          </w:p>
        </w:tc>
      </w:tr>
      <w:tr w:rsidR="00733802" w:rsidRPr="00E83FC1" w14:paraId="7AE9A57A" w14:textId="77777777" w:rsidTr="00733802">
        <w:trPr>
          <w:trHeight w:val="250"/>
        </w:trPr>
        <w:tc>
          <w:tcPr>
            <w:tcW w:w="5098" w:type="dxa"/>
            <w:vAlign w:val="bottom"/>
          </w:tcPr>
          <w:p w14:paraId="50650E89" w14:textId="77777777" w:rsidR="00733802" w:rsidRPr="00B66E30" w:rsidRDefault="00733802" w:rsidP="00733802">
            <w:pPr>
              <w:rPr>
                <w:rFonts w:eastAsia="Times New Roman" w:cs="Tahoma"/>
                <w:color w:val="000000"/>
                <w:szCs w:val="20"/>
              </w:rPr>
            </w:pPr>
            <w:r w:rsidRPr="00B66E30">
              <w:rPr>
                <w:rFonts w:cs="Tahoma"/>
                <w:color w:val="000000"/>
                <w:szCs w:val="20"/>
              </w:rPr>
              <w:t>1. Projektový manažer</w:t>
            </w:r>
          </w:p>
        </w:tc>
        <w:tc>
          <w:tcPr>
            <w:tcW w:w="1083" w:type="dxa"/>
          </w:tcPr>
          <w:p w14:paraId="4FEB731D" w14:textId="62F22767"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16ABF51B" w14:textId="42FBC974"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5DE6D0EB" w14:textId="10FAC796"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13157BC3" w14:textId="77777777" w:rsidTr="00733802">
        <w:trPr>
          <w:trHeight w:val="250"/>
        </w:trPr>
        <w:tc>
          <w:tcPr>
            <w:tcW w:w="5098" w:type="dxa"/>
            <w:vAlign w:val="bottom"/>
          </w:tcPr>
          <w:p w14:paraId="707E3EEA" w14:textId="77777777" w:rsidR="00733802" w:rsidRPr="00B66E30" w:rsidRDefault="00733802" w:rsidP="00733802">
            <w:pPr>
              <w:rPr>
                <w:rFonts w:eastAsia="Times New Roman" w:cs="Tahoma"/>
                <w:color w:val="000000"/>
                <w:szCs w:val="20"/>
              </w:rPr>
            </w:pPr>
            <w:r w:rsidRPr="00B66E30">
              <w:rPr>
                <w:rFonts w:cs="Tahoma"/>
                <w:color w:val="000000"/>
                <w:szCs w:val="20"/>
              </w:rPr>
              <w:t>2. Architekt integračních řešení realizovaných na platformě BizTalk</w:t>
            </w:r>
          </w:p>
        </w:tc>
        <w:tc>
          <w:tcPr>
            <w:tcW w:w="1083" w:type="dxa"/>
          </w:tcPr>
          <w:p w14:paraId="3640921E" w14:textId="3943E0F3"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66324D28" w14:textId="6364B619"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32C6E394" w14:textId="24783CBF"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7A68100E" w14:textId="77777777" w:rsidTr="00733802">
        <w:trPr>
          <w:trHeight w:val="500"/>
        </w:trPr>
        <w:tc>
          <w:tcPr>
            <w:tcW w:w="5098" w:type="dxa"/>
            <w:vAlign w:val="bottom"/>
          </w:tcPr>
          <w:p w14:paraId="3A3996E5" w14:textId="77777777" w:rsidR="00733802" w:rsidRPr="00B66E30" w:rsidRDefault="00733802" w:rsidP="00733802">
            <w:pPr>
              <w:rPr>
                <w:rFonts w:eastAsia="Times New Roman" w:cs="Tahoma"/>
                <w:color w:val="000000"/>
                <w:szCs w:val="20"/>
              </w:rPr>
            </w:pPr>
            <w:r w:rsidRPr="00B66E30">
              <w:rPr>
                <w:rFonts w:cs="Tahoma"/>
                <w:color w:val="000000"/>
                <w:szCs w:val="20"/>
              </w:rPr>
              <w:t>3. Specialista na implementaci integračních řešení realizovaných na platformě BizTalk</w:t>
            </w:r>
          </w:p>
        </w:tc>
        <w:tc>
          <w:tcPr>
            <w:tcW w:w="1083" w:type="dxa"/>
          </w:tcPr>
          <w:p w14:paraId="4E5EABBA" w14:textId="7BB1C77C"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20EEE4ED" w14:textId="153E0D27"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07D11039" w14:textId="4B0C1C89"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42567361" w14:textId="77777777" w:rsidTr="00733802">
        <w:trPr>
          <w:trHeight w:val="250"/>
        </w:trPr>
        <w:tc>
          <w:tcPr>
            <w:tcW w:w="5098" w:type="dxa"/>
            <w:vAlign w:val="bottom"/>
          </w:tcPr>
          <w:p w14:paraId="053CCF84" w14:textId="77777777" w:rsidR="00733802" w:rsidRPr="00B66E30" w:rsidRDefault="00733802" w:rsidP="00733802">
            <w:pPr>
              <w:rPr>
                <w:rFonts w:eastAsia="Times New Roman" w:cs="Tahoma"/>
                <w:color w:val="000000"/>
                <w:szCs w:val="20"/>
              </w:rPr>
            </w:pPr>
            <w:r w:rsidRPr="00B66E30">
              <w:rPr>
                <w:rFonts w:cs="Tahoma"/>
                <w:color w:val="000000"/>
                <w:szCs w:val="20"/>
              </w:rPr>
              <w:t>4. Specialista na vývoj řešení na platformě .NET</w:t>
            </w:r>
          </w:p>
        </w:tc>
        <w:tc>
          <w:tcPr>
            <w:tcW w:w="1083" w:type="dxa"/>
          </w:tcPr>
          <w:p w14:paraId="08F1BA1F" w14:textId="7D224983"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3C7DEF75" w14:textId="6087CE9D"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46583E2F" w14:textId="2D8797F2"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48105011" w14:textId="77777777" w:rsidTr="00733802">
        <w:trPr>
          <w:trHeight w:val="500"/>
        </w:trPr>
        <w:tc>
          <w:tcPr>
            <w:tcW w:w="5098" w:type="dxa"/>
            <w:vAlign w:val="bottom"/>
          </w:tcPr>
          <w:p w14:paraId="09953612" w14:textId="77777777" w:rsidR="00733802" w:rsidRPr="00B66E30" w:rsidRDefault="00733802" w:rsidP="00733802">
            <w:pPr>
              <w:rPr>
                <w:rFonts w:eastAsia="Times New Roman" w:cs="Tahoma"/>
                <w:color w:val="000000"/>
                <w:szCs w:val="20"/>
              </w:rPr>
            </w:pPr>
            <w:r w:rsidRPr="00B66E30">
              <w:rPr>
                <w:rFonts w:cs="Tahoma"/>
                <w:color w:val="000000"/>
                <w:szCs w:val="20"/>
              </w:rPr>
              <w:t>5. Specialista na testování integračních řešení realizovaných na platformě BizTalk</w:t>
            </w:r>
          </w:p>
        </w:tc>
        <w:tc>
          <w:tcPr>
            <w:tcW w:w="1083" w:type="dxa"/>
          </w:tcPr>
          <w:p w14:paraId="3C47FE3F" w14:textId="5271A5E0"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30F18916" w14:textId="1FF1234E"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3D24CE6F" w14:textId="4887DE10"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282B8C82" w14:textId="77777777" w:rsidTr="00733802">
        <w:trPr>
          <w:trHeight w:val="250"/>
        </w:trPr>
        <w:tc>
          <w:tcPr>
            <w:tcW w:w="5098" w:type="dxa"/>
            <w:vAlign w:val="bottom"/>
          </w:tcPr>
          <w:p w14:paraId="34DC6A8D" w14:textId="77777777" w:rsidR="00733802" w:rsidRPr="00B66E30" w:rsidRDefault="00733802" w:rsidP="00733802">
            <w:pPr>
              <w:rPr>
                <w:rFonts w:eastAsia="Times New Roman" w:cs="Tahoma"/>
                <w:color w:val="000000"/>
                <w:szCs w:val="20"/>
              </w:rPr>
            </w:pPr>
            <w:r w:rsidRPr="00B66E30">
              <w:rPr>
                <w:rFonts w:cs="Tahoma"/>
                <w:color w:val="000000"/>
                <w:szCs w:val="20"/>
              </w:rPr>
              <w:t>6. Specialista na provozní prostředí platformy BizTalk</w:t>
            </w:r>
          </w:p>
        </w:tc>
        <w:tc>
          <w:tcPr>
            <w:tcW w:w="1083" w:type="dxa"/>
          </w:tcPr>
          <w:p w14:paraId="06F07CEA" w14:textId="1C5B1618"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52F4E0BE" w14:textId="4B835C9C"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175EBAA8" w14:textId="15D3D265"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6EA51FE4" w14:textId="77777777" w:rsidTr="00733802">
        <w:trPr>
          <w:trHeight w:val="250"/>
        </w:trPr>
        <w:tc>
          <w:tcPr>
            <w:tcW w:w="5098" w:type="dxa"/>
            <w:vAlign w:val="bottom"/>
          </w:tcPr>
          <w:p w14:paraId="29BA2A06" w14:textId="77777777" w:rsidR="00733802" w:rsidRPr="00B66E30" w:rsidRDefault="00733802" w:rsidP="00733802">
            <w:pPr>
              <w:rPr>
                <w:rFonts w:eastAsia="Times New Roman" w:cs="Tahoma"/>
                <w:color w:val="000000"/>
                <w:szCs w:val="20"/>
              </w:rPr>
            </w:pPr>
            <w:r w:rsidRPr="00B66E30">
              <w:rPr>
                <w:rFonts w:cs="Tahoma"/>
                <w:color w:val="000000"/>
                <w:szCs w:val="20"/>
              </w:rPr>
              <w:t>7. Specialista pro databáze prostředí platformy BizTalk</w:t>
            </w:r>
          </w:p>
        </w:tc>
        <w:tc>
          <w:tcPr>
            <w:tcW w:w="1083" w:type="dxa"/>
          </w:tcPr>
          <w:p w14:paraId="65EAF701" w14:textId="4A2C5944"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0212BE81" w14:textId="43F16A53"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242305E0" w14:textId="4C3941AB"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181EE3C6" w14:textId="77777777" w:rsidTr="00733802">
        <w:trPr>
          <w:trHeight w:val="250"/>
        </w:trPr>
        <w:tc>
          <w:tcPr>
            <w:tcW w:w="5098" w:type="dxa"/>
            <w:vAlign w:val="bottom"/>
          </w:tcPr>
          <w:p w14:paraId="4FC5638A" w14:textId="77777777" w:rsidR="00733802" w:rsidRPr="00B66E30" w:rsidRDefault="00733802" w:rsidP="00733802">
            <w:pPr>
              <w:rPr>
                <w:rFonts w:eastAsia="Times New Roman" w:cs="Tahoma"/>
                <w:color w:val="000000"/>
                <w:szCs w:val="20"/>
              </w:rPr>
            </w:pPr>
            <w:r w:rsidRPr="00B66E30">
              <w:rPr>
                <w:rFonts w:cs="Tahoma"/>
                <w:color w:val="000000"/>
                <w:szCs w:val="20"/>
              </w:rPr>
              <w:t>8. Specialista pro bezpečnost IS</w:t>
            </w:r>
          </w:p>
        </w:tc>
        <w:tc>
          <w:tcPr>
            <w:tcW w:w="1083" w:type="dxa"/>
          </w:tcPr>
          <w:p w14:paraId="62888CC2" w14:textId="3D16451A"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2B8CD056" w14:textId="5F34735D"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54212F42" w14:textId="4B6EA8E6"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3BE7B59B" w14:textId="77777777" w:rsidTr="00733802">
        <w:trPr>
          <w:trHeight w:val="250"/>
        </w:trPr>
        <w:tc>
          <w:tcPr>
            <w:tcW w:w="5098" w:type="dxa"/>
            <w:vAlign w:val="bottom"/>
          </w:tcPr>
          <w:p w14:paraId="7414F2E0" w14:textId="77777777" w:rsidR="00733802" w:rsidRPr="00B66E30" w:rsidRDefault="00733802" w:rsidP="00733802">
            <w:pPr>
              <w:rPr>
                <w:rFonts w:eastAsia="Times New Roman" w:cs="Tahoma"/>
                <w:color w:val="000000"/>
                <w:szCs w:val="20"/>
              </w:rPr>
            </w:pPr>
            <w:r w:rsidRPr="00B66E30">
              <w:rPr>
                <w:rFonts w:cs="Tahoma"/>
                <w:color w:val="000000"/>
                <w:szCs w:val="20"/>
              </w:rPr>
              <w:t>9. Analytik pro integrační řešení</w:t>
            </w:r>
          </w:p>
        </w:tc>
        <w:tc>
          <w:tcPr>
            <w:tcW w:w="1083" w:type="dxa"/>
          </w:tcPr>
          <w:p w14:paraId="62B6744F" w14:textId="500E0584"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0C98DB23" w14:textId="37DE8CDA"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5F1B786C" w14:textId="4866E4E5"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387963B4" w14:textId="77777777" w:rsidTr="00733802">
        <w:trPr>
          <w:trHeight w:val="250"/>
        </w:trPr>
        <w:tc>
          <w:tcPr>
            <w:tcW w:w="5098" w:type="dxa"/>
            <w:vAlign w:val="bottom"/>
          </w:tcPr>
          <w:p w14:paraId="432EC424" w14:textId="77777777" w:rsidR="00733802" w:rsidRPr="00B66E30" w:rsidRDefault="00733802" w:rsidP="00733802">
            <w:pPr>
              <w:rPr>
                <w:rFonts w:eastAsia="Times New Roman" w:cs="Tahoma"/>
                <w:color w:val="000000"/>
                <w:szCs w:val="20"/>
              </w:rPr>
            </w:pPr>
            <w:r w:rsidRPr="00B66E30">
              <w:rPr>
                <w:rFonts w:cs="Tahoma"/>
                <w:color w:val="000000"/>
                <w:szCs w:val="20"/>
              </w:rPr>
              <w:t>10. Analytik pro příjem a zpracování elektronických podání</w:t>
            </w:r>
          </w:p>
        </w:tc>
        <w:tc>
          <w:tcPr>
            <w:tcW w:w="1083" w:type="dxa"/>
          </w:tcPr>
          <w:p w14:paraId="742761D5" w14:textId="404508E6"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25E11088" w14:textId="5B67A833"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4643F777" w14:textId="64EF3BC0"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6FF028C5" w14:textId="77777777" w:rsidTr="00733802">
        <w:trPr>
          <w:trHeight w:val="250"/>
        </w:trPr>
        <w:tc>
          <w:tcPr>
            <w:tcW w:w="5098" w:type="dxa"/>
            <w:vAlign w:val="bottom"/>
          </w:tcPr>
          <w:p w14:paraId="23F2B135" w14:textId="77777777" w:rsidR="00733802" w:rsidRPr="00B66E30" w:rsidRDefault="00733802" w:rsidP="00733802">
            <w:pPr>
              <w:rPr>
                <w:rFonts w:eastAsia="Times New Roman" w:cs="Tahoma"/>
                <w:color w:val="000000"/>
                <w:szCs w:val="20"/>
              </w:rPr>
            </w:pPr>
            <w:r w:rsidRPr="00B66E30">
              <w:rPr>
                <w:rFonts w:cs="Tahoma"/>
                <w:color w:val="000000"/>
                <w:szCs w:val="20"/>
              </w:rPr>
              <w:t>11. Specialista na serverové operační systémy Microsoft</w:t>
            </w:r>
          </w:p>
        </w:tc>
        <w:tc>
          <w:tcPr>
            <w:tcW w:w="1083" w:type="dxa"/>
          </w:tcPr>
          <w:p w14:paraId="3084F64D" w14:textId="6457016A"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77E9BCB7" w14:textId="20D6885F"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5CF9A307" w14:textId="0E8A9721"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206DE4CF" w14:textId="77777777" w:rsidTr="00733802">
        <w:trPr>
          <w:trHeight w:val="250"/>
        </w:trPr>
        <w:tc>
          <w:tcPr>
            <w:tcW w:w="5098" w:type="dxa"/>
            <w:vAlign w:val="bottom"/>
          </w:tcPr>
          <w:p w14:paraId="6B58F69D" w14:textId="77777777" w:rsidR="00733802" w:rsidRPr="00B66E30" w:rsidRDefault="00733802" w:rsidP="00733802">
            <w:pPr>
              <w:rPr>
                <w:rFonts w:eastAsia="Times New Roman" w:cs="Tahoma"/>
                <w:color w:val="000000"/>
                <w:szCs w:val="20"/>
              </w:rPr>
            </w:pPr>
            <w:r w:rsidRPr="00B66E30">
              <w:rPr>
                <w:rFonts w:cs="Tahoma"/>
                <w:color w:val="000000"/>
                <w:szCs w:val="20"/>
              </w:rPr>
              <w:t xml:space="preserve">12. Manažer </w:t>
            </w:r>
            <w:proofErr w:type="spellStart"/>
            <w:r w:rsidRPr="00B66E30">
              <w:rPr>
                <w:rFonts w:cs="Tahoma"/>
                <w:color w:val="000000"/>
                <w:szCs w:val="20"/>
              </w:rPr>
              <w:t>sevisní</w:t>
            </w:r>
            <w:proofErr w:type="spellEnd"/>
            <w:r w:rsidRPr="00B66E30">
              <w:rPr>
                <w:rFonts w:cs="Tahoma"/>
                <w:color w:val="000000"/>
                <w:szCs w:val="20"/>
              </w:rPr>
              <w:t xml:space="preserve"> podpory</w:t>
            </w:r>
          </w:p>
        </w:tc>
        <w:tc>
          <w:tcPr>
            <w:tcW w:w="1083" w:type="dxa"/>
          </w:tcPr>
          <w:p w14:paraId="4EF9D859" w14:textId="0110FCDD"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61EDBD26" w14:textId="1AFFE087"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787E4D71" w14:textId="740C2A01"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7B1A86DA" w14:textId="77777777" w:rsidTr="00733802">
        <w:trPr>
          <w:trHeight w:val="250"/>
        </w:trPr>
        <w:tc>
          <w:tcPr>
            <w:tcW w:w="5098" w:type="dxa"/>
            <w:vAlign w:val="bottom"/>
          </w:tcPr>
          <w:p w14:paraId="32EF9D4F" w14:textId="77777777" w:rsidR="00733802" w:rsidRPr="00B66E30" w:rsidRDefault="00733802" w:rsidP="00733802">
            <w:pPr>
              <w:rPr>
                <w:rFonts w:eastAsia="Times New Roman" w:cs="Tahoma"/>
                <w:color w:val="000000"/>
                <w:szCs w:val="20"/>
              </w:rPr>
            </w:pPr>
            <w:r w:rsidRPr="00B66E30">
              <w:rPr>
                <w:rFonts w:cs="Tahoma"/>
                <w:color w:val="000000"/>
                <w:szCs w:val="20"/>
              </w:rPr>
              <w:t xml:space="preserve">13.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2D72BDD0" w14:textId="2A8D66A8"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25E88D6F" w14:textId="1530904D"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6586AFFE" w14:textId="4EA3F0E0"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E83FC1" w14:paraId="736CCE6E" w14:textId="77777777" w:rsidTr="00733802">
        <w:trPr>
          <w:trHeight w:val="250"/>
        </w:trPr>
        <w:tc>
          <w:tcPr>
            <w:tcW w:w="5098" w:type="dxa"/>
            <w:vAlign w:val="bottom"/>
          </w:tcPr>
          <w:p w14:paraId="43B44265" w14:textId="77777777" w:rsidR="00733802" w:rsidRPr="00B66E30" w:rsidRDefault="00733802" w:rsidP="00733802">
            <w:pPr>
              <w:rPr>
                <w:rFonts w:eastAsia="Times New Roman" w:cs="Tahoma"/>
                <w:color w:val="000000"/>
                <w:szCs w:val="20"/>
              </w:rPr>
            </w:pPr>
            <w:r w:rsidRPr="00B66E30">
              <w:rPr>
                <w:rFonts w:cs="Tahoma"/>
                <w:color w:val="000000"/>
                <w:szCs w:val="20"/>
              </w:rPr>
              <w:t xml:space="preserve">14.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7563F76D" w14:textId="7F88188A" w:rsidR="00733802" w:rsidRPr="00B66E30" w:rsidRDefault="00733802" w:rsidP="00733802">
            <w:pPr>
              <w:jc w:val="right"/>
              <w:rPr>
                <w:rFonts w:cs="Tahoma"/>
                <w:color w:val="000000"/>
                <w:szCs w:val="20"/>
              </w:rPr>
            </w:pPr>
            <w:r w:rsidRPr="000971F2">
              <w:rPr>
                <w:rFonts w:cs="Tahoma"/>
                <w:i/>
                <w:iCs/>
                <w:color w:val="FFFFFF"/>
                <w:szCs w:val="20"/>
                <w:highlight w:val="black"/>
              </w:rPr>
              <w:t>neveřejný údaj</w:t>
            </w:r>
          </w:p>
        </w:tc>
        <w:tc>
          <w:tcPr>
            <w:tcW w:w="1083" w:type="dxa"/>
            <w:noWrap/>
          </w:tcPr>
          <w:p w14:paraId="17180F87" w14:textId="7AEC751E"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11187C7F" w14:textId="34990BB7"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r w:rsidR="00733802" w:rsidRPr="00B66E30" w14:paraId="6504260A" w14:textId="77777777" w:rsidTr="00733802">
        <w:trPr>
          <w:trHeight w:val="250"/>
        </w:trPr>
        <w:tc>
          <w:tcPr>
            <w:tcW w:w="5098" w:type="dxa"/>
            <w:noWrap/>
            <w:vAlign w:val="center"/>
            <w:hideMark/>
          </w:tcPr>
          <w:p w14:paraId="303837F1" w14:textId="77777777" w:rsidR="00733802" w:rsidRPr="00B66E30" w:rsidRDefault="00733802" w:rsidP="00733802">
            <w:pPr>
              <w:rPr>
                <w:rFonts w:eastAsia="Times New Roman" w:cs="Tahoma"/>
                <w:color w:val="000000"/>
                <w:szCs w:val="20"/>
              </w:rPr>
            </w:pPr>
            <w:r w:rsidRPr="00B66E30">
              <w:rPr>
                <w:rFonts w:cs="Tahoma"/>
                <w:szCs w:val="20"/>
              </w:rPr>
              <w:t>Celkem</w:t>
            </w:r>
          </w:p>
        </w:tc>
        <w:tc>
          <w:tcPr>
            <w:tcW w:w="1083" w:type="dxa"/>
            <w:vAlign w:val="center"/>
          </w:tcPr>
          <w:p w14:paraId="77C6D444" w14:textId="77777777" w:rsidR="00733802" w:rsidRPr="00B66E30" w:rsidRDefault="00733802" w:rsidP="00733802">
            <w:pPr>
              <w:jc w:val="right"/>
              <w:rPr>
                <w:rFonts w:cs="Tahoma"/>
                <w:color w:val="000000"/>
                <w:szCs w:val="20"/>
              </w:rPr>
            </w:pPr>
          </w:p>
        </w:tc>
        <w:tc>
          <w:tcPr>
            <w:tcW w:w="1083" w:type="dxa"/>
            <w:noWrap/>
          </w:tcPr>
          <w:p w14:paraId="21CA2BFE" w14:textId="67F8E905" w:rsidR="00733802" w:rsidRPr="00B66E30" w:rsidRDefault="00733802" w:rsidP="00733802">
            <w:pPr>
              <w:jc w:val="right"/>
              <w:rPr>
                <w:rFonts w:eastAsia="Times New Roman" w:cs="Tahoma"/>
                <w:color w:val="000000"/>
                <w:szCs w:val="20"/>
                <w:highlight w:val="yellow"/>
              </w:rPr>
            </w:pPr>
            <w:r w:rsidRPr="006F41DD">
              <w:rPr>
                <w:rFonts w:cs="Tahoma"/>
                <w:i/>
                <w:iCs/>
                <w:color w:val="FFFFFF"/>
                <w:szCs w:val="20"/>
                <w:highlight w:val="black"/>
              </w:rPr>
              <w:t>neveřejný údaj</w:t>
            </w:r>
          </w:p>
        </w:tc>
        <w:tc>
          <w:tcPr>
            <w:tcW w:w="1842" w:type="dxa"/>
            <w:noWrap/>
          </w:tcPr>
          <w:p w14:paraId="64066957" w14:textId="7078AE32" w:rsidR="00733802" w:rsidRPr="00B66E30" w:rsidRDefault="00733802" w:rsidP="00733802">
            <w:pPr>
              <w:jc w:val="right"/>
              <w:rPr>
                <w:rFonts w:eastAsia="Times New Roman" w:cs="Tahoma"/>
                <w:color w:val="000000"/>
                <w:szCs w:val="20"/>
                <w:highlight w:val="yellow"/>
              </w:rPr>
            </w:pPr>
            <w:r w:rsidRPr="00376733">
              <w:rPr>
                <w:rFonts w:cs="Tahoma"/>
                <w:i/>
                <w:iCs/>
                <w:color w:val="FFFFFF"/>
                <w:szCs w:val="20"/>
                <w:highlight w:val="black"/>
              </w:rPr>
              <w:t>neveřejný údaj</w:t>
            </w:r>
          </w:p>
        </w:tc>
      </w:tr>
    </w:tbl>
    <w:p w14:paraId="4CF5B8E8" w14:textId="77777777" w:rsidR="00D0181B" w:rsidRPr="00B66E30" w:rsidRDefault="00D0181B">
      <w:pPr>
        <w:rPr>
          <w:rFonts w:cs="Tahoma"/>
        </w:rPr>
      </w:pPr>
    </w:p>
    <w:p w14:paraId="09C36C29" w14:textId="0BFB3DE8" w:rsidR="007F373D" w:rsidRPr="00432CC1" w:rsidRDefault="00C92495" w:rsidP="007F373D">
      <w:pPr>
        <w:jc w:val="both"/>
        <w:rPr>
          <w:rFonts w:cs="Tahoma"/>
          <w:color w:val="000000"/>
          <w:szCs w:val="20"/>
        </w:rPr>
      </w:pPr>
      <w:r w:rsidRPr="00432CC1">
        <w:rPr>
          <w:rFonts w:eastAsia="Times New Roman" w:cs="Tahoma"/>
          <w:bCs/>
          <w:szCs w:val="20"/>
          <w:lang w:eastAsia="cs-CZ"/>
        </w:rPr>
        <w:t>Celková maximální cena za</w:t>
      </w:r>
      <w:r w:rsidR="00122452" w:rsidRPr="00432CC1">
        <w:rPr>
          <w:rFonts w:eastAsia="Times New Roman" w:cs="Tahoma"/>
          <w:bCs/>
          <w:szCs w:val="20"/>
          <w:lang w:eastAsia="cs-CZ"/>
        </w:rPr>
        <w:t xml:space="preserve"> provedení části dílčího plnění </w:t>
      </w:r>
      <w:r w:rsidR="0064772D" w:rsidRPr="00432CC1">
        <w:rPr>
          <w:rFonts w:eastAsia="Times New Roman" w:cs="Tahoma"/>
          <w:bCs/>
          <w:szCs w:val="20"/>
          <w:lang w:eastAsia="cs-CZ"/>
        </w:rPr>
        <w:t xml:space="preserve">činí </w:t>
      </w:r>
      <w:r w:rsidR="00D7464A" w:rsidRPr="00D7464A">
        <w:rPr>
          <w:rFonts w:cs="Tahoma"/>
          <w:b/>
          <w:szCs w:val="20"/>
        </w:rPr>
        <w:t>6</w:t>
      </w:r>
      <w:r w:rsidR="00D7464A">
        <w:rPr>
          <w:rFonts w:cs="Tahoma"/>
          <w:b/>
          <w:szCs w:val="20"/>
        </w:rPr>
        <w:t> </w:t>
      </w:r>
      <w:r w:rsidR="00D7464A" w:rsidRPr="00D7464A">
        <w:rPr>
          <w:rFonts w:cs="Tahoma"/>
          <w:b/>
          <w:szCs w:val="20"/>
        </w:rPr>
        <w:t>501</w:t>
      </w:r>
      <w:r w:rsidR="00D7464A">
        <w:rPr>
          <w:rFonts w:cs="Tahoma"/>
          <w:b/>
          <w:szCs w:val="20"/>
        </w:rPr>
        <w:t> </w:t>
      </w:r>
      <w:r w:rsidR="00D7464A" w:rsidRPr="00D7464A">
        <w:rPr>
          <w:rFonts w:cs="Tahoma"/>
          <w:b/>
          <w:szCs w:val="20"/>
        </w:rPr>
        <w:t>446,00</w:t>
      </w:r>
      <w:r w:rsidR="00D7464A">
        <w:rPr>
          <w:rFonts w:cs="Tahoma"/>
          <w:b/>
          <w:szCs w:val="20"/>
        </w:rPr>
        <w:t> </w:t>
      </w:r>
      <w:r w:rsidR="006E21E1" w:rsidRPr="00432CC1">
        <w:rPr>
          <w:rFonts w:cs="Tahoma"/>
          <w:b/>
          <w:bCs/>
          <w:color w:val="000000"/>
          <w:szCs w:val="20"/>
        </w:rPr>
        <w:t>Kč</w:t>
      </w:r>
      <w:r w:rsidR="00D7464A">
        <w:rPr>
          <w:rFonts w:cs="Tahoma"/>
          <w:b/>
          <w:bCs/>
          <w:color w:val="000000"/>
          <w:szCs w:val="20"/>
        </w:rPr>
        <w:t> </w:t>
      </w:r>
      <w:r w:rsidR="007F373D" w:rsidRPr="00432CC1">
        <w:rPr>
          <w:rFonts w:cs="Tahoma"/>
          <w:b/>
          <w:bCs/>
          <w:color w:val="000000"/>
          <w:szCs w:val="20"/>
        </w:rPr>
        <w:t>bez</w:t>
      </w:r>
      <w:r w:rsidR="00D7464A">
        <w:rPr>
          <w:rFonts w:cs="Tahoma"/>
          <w:b/>
          <w:bCs/>
          <w:color w:val="000000"/>
          <w:szCs w:val="20"/>
        </w:rPr>
        <w:t> </w:t>
      </w:r>
      <w:r w:rsidR="007F373D" w:rsidRPr="00432CC1">
        <w:rPr>
          <w:rFonts w:cs="Tahoma"/>
          <w:b/>
          <w:bCs/>
          <w:color w:val="000000"/>
          <w:szCs w:val="20"/>
        </w:rPr>
        <w:t>DPH</w:t>
      </w:r>
      <w:r w:rsidR="007F373D" w:rsidRPr="00432CC1">
        <w:rPr>
          <w:rFonts w:cs="Tahoma"/>
          <w:color w:val="000000"/>
          <w:szCs w:val="20"/>
        </w:rPr>
        <w:t>, tj.</w:t>
      </w:r>
      <w:r w:rsidR="00D7464A">
        <w:rPr>
          <w:rFonts w:cs="Tahoma"/>
          <w:color w:val="000000"/>
          <w:szCs w:val="20"/>
        </w:rPr>
        <w:t> </w:t>
      </w:r>
      <w:r w:rsidR="00D7464A" w:rsidRPr="00D7464A">
        <w:rPr>
          <w:rFonts w:cs="Tahoma"/>
          <w:b/>
          <w:bCs/>
          <w:color w:val="000000"/>
          <w:szCs w:val="20"/>
        </w:rPr>
        <w:t>7</w:t>
      </w:r>
      <w:r w:rsidR="00D7464A">
        <w:rPr>
          <w:rFonts w:cs="Tahoma"/>
          <w:b/>
          <w:bCs/>
          <w:color w:val="000000"/>
          <w:szCs w:val="20"/>
        </w:rPr>
        <w:t> </w:t>
      </w:r>
      <w:r w:rsidR="00D7464A" w:rsidRPr="00D7464A">
        <w:rPr>
          <w:rFonts w:cs="Tahoma"/>
          <w:b/>
          <w:bCs/>
          <w:color w:val="000000"/>
          <w:szCs w:val="20"/>
        </w:rPr>
        <w:t>866</w:t>
      </w:r>
      <w:r w:rsidR="00D7464A">
        <w:rPr>
          <w:rFonts w:cs="Tahoma"/>
          <w:b/>
          <w:bCs/>
          <w:color w:val="000000"/>
          <w:szCs w:val="20"/>
        </w:rPr>
        <w:t> </w:t>
      </w:r>
      <w:r w:rsidR="00D7464A" w:rsidRPr="00D7464A">
        <w:rPr>
          <w:rFonts w:cs="Tahoma"/>
          <w:b/>
          <w:bCs/>
          <w:color w:val="000000"/>
          <w:szCs w:val="20"/>
        </w:rPr>
        <w:t>749,66</w:t>
      </w:r>
      <w:r w:rsidR="00D7464A">
        <w:rPr>
          <w:rFonts w:cs="Tahoma"/>
          <w:b/>
          <w:bCs/>
          <w:color w:val="000000"/>
          <w:szCs w:val="20"/>
        </w:rPr>
        <w:t> </w:t>
      </w:r>
      <w:r w:rsidR="006E21E1" w:rsidRPr="00432CC1">
        <w:rPr>
          <w:rFonts w:cs="Tahoma"/>
          <w:b/>
          <w:bCs/>
          <w:color w:val="000000"/>
          <w:szCs w:val="20"/>
        </w:rPr>
        <w:t>Kč</w:t>
      </w:r>
      <w:r w:rsidR="00D7464A">
        <w:rPr>
          <w:rFonts w:cs="Tahoma"/>
          <w:b/>
          <w:bCs/>
          <w:color w:val="000000"/>
          <w:szCs w:val="20"/>
        </w:rPr>
        <w:t> </w:t>
      </w:r>
      <w:r w:rsidR="006E21E1" w:rsidRPr="00432CC1">
        <w:rPr>
          <w:rFonts w:cs="Tahoma"/>
          <w:b/>
          <w:bCs/>
          <w:color w:val="000000"/>
          <w:szCs w:val="20"/>
        </w:rPr>
        <w:t>vč.</w:t>
      </w:r>
      <w:r w:rsidR="00D7464A">
        <w:rPr>
          <w:rFonts w:cs="Tahoma"/>
          <w:b/>
          <w:bCs/>
          <w:color w:val="000000"/>
          <w:szCs w:val="20"/>
        </w:rPr>
        <w:t> </w:t>
      </w:r>
      <w:r w:rsidR="006E21E1" w:rsidRPr="00432CC1">
        <w:rPr>
          <w:rFonts w:cs="Tahoma"/>
          <w:b/>
          <w:bCs/>
          <w:color w:val="000000"/>
          <w:szCs w:val="20"/>
        </w:rPr>
        <w:t>DPH</w:t>
      </w:r>
      <w:r w:rsidR="0062464A" w:rsidRPr="00432CC1">
        <w:rPr>
          <w:rFonts w:cs="Tahoma"/>
          <w:color w:val="000000"/>
          <w:szCs w:val="20"/>
        </w:rPr>
        <w:t>.</w:t>
      </w:r>
    </w:p>
    <w:p w14:paraId="202061DA" w14:textId="77777777" w:rsidR="00D0181B" w:rsidRPr="00432CC1" w:rsidRDefault="00C92495">
      <w:pPr>
        <w:pStyle w:val="Nadpis1"/>
        <w:rPr>
          <w:lang w:val="cs-CZ"/>
        </w:rPr>
      </w:pPr>
      <w:r w:rsidRPr="00432CC1">
        <w:rPr>
          <w:lang w:val="cs-CZ"/>
        </w:rPr>
        <w:t>Harmonogram plnění</w:t>
      </w:r>
    </w:p>
    <w:p w14:paraId="16B412DA" w14:textId="08DB2631" w:rsidR="00D0181B" w:rsidRPr="00432CC1" w:rsidRDefault="00DB2B00">
      <w:pPr>
        <w:rPr>
          <w:rFonts w:cs="Tahoma"/>
          <w:b/>
        </w:rPr>
      </w:pPr>
      <w:r w:rsidRPr="00432CC1">
        <w:rPr>
          <w:rFonts w:cs="Tahoma"/>
          <w:b/>
        </w:rPr>
        <w:t xml:space="preserve">Harmonogram </w:t>
      </w:r>
    </w:p>
    <w:p w14:paraId="022F00D8" w14:textId="77777777" w:rsidR="000459A1" w:rsidRPr="00432CC1"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432CC1"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432CC1" w:rsidRDefault="002E362D" w:rsidP="0091326C">
            <w:pPr>
              <w:rPr>
                <w:rFonts w:eastAsia="Times New Roman" w:cs="Tahoma"/>
                <w:b/>
                <w:bCs/>
                <w:szCs w:val="20"/>
              </w:rPr>
            </w:pPr>
            <w:r w:rsidRPr="00432CC1">
              <w:rPr>
                <w:rFonts w:eastAsia="Times New Roman" w:cs="Tahoma"/>
                <w:b/>
                <w:bCs/>
                <w:szCs w:val="20"/>
              </w:rPr>
              <w:t>Fáze</w:t>
            </w:r>
          </w:p>
        </w:tc>
        <w:tc>
          <w:tcPr>
            <w:tcW w:w="6804" w:type="dxa"/>
            <w:shd w:val="clear" w:color="auto" w:fill="E7E6E6" w:themeFill="background2"/>
            <w:noWrap/>
            <w:hideMark/>
          </w:tcPr>
          <w:p w14:paraId="33E2DEDF" w14:textId="77777777" w:rsidR="002E362D" w:rsidRPr="00432CC1" w:rsidRDefault="002E362D" w:rsidP="0091326C">
            <w:pPr>
              <w:rPr>
                <w:rFonts w:eastAsia="Times New Roman" w:cs="Tahoma"/>
                <w:b/>
                <w:bCs/>
                <w:szCs w:val="20"/>
              </w:rPr>
            </w:pPr>
            <w:r w:rsidRPr="00432CC1">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432CC1" w:rsidRDefault="002E362D" w:rsidP="0091326C">
            <w:pPr>
              <w:rPr>
                <w:rFonts w:eastAsia="Times New Roman" w:cs="Tahoma"/>
                <w:b/>
                <w:bCs/>
                <w:szCs w:val="20"/>
              </w:rPr>
            </w:pPr>
            <w:r w:rsidRPr="00432CC1">
              <w:rPr>
                <w:rFonts w:eastAsia="Times New Roman" w:cs="Tahoma"/>
                <w:b/>
                <w:bCs/>
                <w:szCs w:val="20"/>
              </w:rPr>
              <w:t xml:space="preserve">Termín </w:t>
            </w:r>
          </w:p>
        </w:tc>
      </w:tr>
      <w:tr w:rsidR="007A0478" w:rsidRPr="00432CC1" w14:paraId="78462772" w14:textId="77777777" w:rsidTr="0091326C">
        <w:trPr>
          <w:trHeight w:val="284"/>
        </w:trPr>
        <w:tc>
          <w:tcPr>
            <w:tcW w:w="993" w:type="dxa"/>
            <w:tcBorders>
              <w:top w:val="nil"/>
            </w:tcBorders>
          </w:tcPr>
          <w:p w14:paraId="21CE4F1A" w14:textId="77777777" w:rsidR="007A0478" w:rsidRPr="00432CC1" w:rsidRDefault="007A0478" w:rsidP="007A0478">
            <w:pPr>
              <w:rPr>
                <w:rFonts w:cs="Tahoma"/>
              </w:rPr>
            </w:pPr>
            <w:r w:rsidRPr="00432CC1">
              <w:rPr>
                <w:rFonts w:cs="Tahoma"/>
              </w:rPr>
              <w:t>Fáze 1</w:t>
            </w:r>
          </w:p>
        </w:tc>
        <w:tc>
          <w:tcPr>
            <w:tcW w:w="6804" w:type="dxa"/>
          </w:tcPr>
          <w:p w14:paraId="02BD5C2F" w14:textId="77777777" w:rsidR="007A0478" w:rsidRPr="00432CC1" w:rsidRDefault="007A0478" w:rsidP="007A0478">
            <w:pPr>
              <w:rPr>
                <w:rFonts w:cs="Tahoma"/>
              </w:rPr>
            </w:pPr>
            <w:r w:rsidRPr="00432CC1">
              <w:rPr>
                <w:rFonts w:cs="Tahoma"/>
              </w:rPr>
              <w:t xml:space="preserve">Předání Návrhů řešení </w:t>
            </w:r>
          </w:p>
        </w:tc>
        <w:tc>
          <w:tcPr>
            <w:tcW w:w="1559" w:type="dxa"/>
            <w:vAlign w:val="center"/>
          </w:tcPr>
          <w:p w14:paraId="35863258" w14:textId="41C0EDCC" w:rsidR="007A0478" w:rsidRPr="00432CC1" w:rsidRDefault="007A0478" w:rsidP="007A0478">
            <w:pPr>
              <w:rPr>
                <w:rFonts w:cs="Tahoma"/>
                <w:color w:val="000000"/>
                <w:highlight w:val="yellow"/>
              </w:rPr>
            </w:pPr>
            <w:r w:rsidRPr="00432CC1">
              <w:rPr>
                <w:rStyle w:val="normaltextrun"/>
                <w:rFonts w:cs="Tahoma"/>
                <w:color w:val="000000"/>
                <w:szCs w:val="20"/>
              </w:rPr>
              <w:t xml:space="preserve">T + </w:t>
            </w:r>
            <w:r w:rsidR="002A6325">
              <w:rPr>
                <w:rStyle w:val="normaltextrun"/>
                <w:rFonts w:cs="Tahoma"/>
                <w:color w:val="000000"/>
                <w:szCs w:val="20"/>
              </w:rPr>
              <w:t>1</w:t>
            </w:r>
            <w:r w:rsidR="002A6325">
              <w:rPr>
                <w:rStyle w:val="normaltextrun"/>
                <w:color w:val="000000"/>
                <w:szCs w:val="20"/>
              </w:rPr>
              <w:t>5</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311165C" w14:textId="77777777" w:rsidTr="0091326C">
        <w:trPr>
          <w:trHeight w:val="507"/>
        </w:trPr>
        <w:tc>
          <w:tcPr>
            <w:tcW w:w="993" w:type="dxa"/>
          </w:tcPr>
          <w:p w14:paraId="36642A37" w14:textId="77777777" w:rsidR="007A0478" w:rsidRPr="00432CC1" w:rsidRDefault="007A0478" w:rsidP="007A0478">
            <w:pPr>
              <w:rPr>
                <w:rFonts w:eastAsia="Times New Roman" w:cs="Tahoma"/>
                <w:szCs w:val="20"/>
              </w:rPr>
            </w:pPr>
            <w:r w:rsidRPr="00432CC1">
              <w:rPr>
                <w:rFonts w:eastAsia="Times New Roman" w:cs="Tahoma"/>
                <w:szCs w:val="20"/>
              </w:rPr>
              <w:lastRenderedPageBreak/>
              <w:t>Fáze 2</w:t>
            </w:r>
          </w:p>
        </w:tc>
        <w:tc>
          <w:tcPr>
            <w:tcW w:w="6804" w:type="dxa"/>
            <w:hideMark/>
          </w:tcPr>
          <w:p w14:paraId="3BB445BD" w14:textId="77777777" w:rsidR="007A0478" w:rsidRPr="00432CC1" w:rsidRDefault="007A0478" w:rsidP="007A0478">
            <w:pPr>
              <w:rPr>
                <w:rFonts w:eastAsia="Times New Roman" w:cs="Tahoma"/>
              </w:rPr>
            </w:pPr>
            <w:r w:rsidRPr="00432CC1">
              <w:rPr>
                <w:rFonts w:cs="Tahoma"/>
              </w:rPr>
              <w:t>Předání aktualizované provozní, instalační a uživatelské dokumentace.</w:t>
            </w:r>
          </w:p>
          <w:p w14:paraId="0F071877" w14:textId="77777777" w:rsidR="007A0478" w:rsidRPr="00432CC1" w:rsidRDefault="007A0478" w:rsidP="007A0478">
            <w:pPr>
              <w:rPr>
                <w:rFonts w:eastAsia="Times New Roman" w:cs="Tahoma"/>
                <w:szCs w:val="20"/>
              </w:rPr>
            </w:pPr>
            <w:r w:rsidRPr="00432CC1">
              <w:rPr>
                <w:rFonts w:eastAsia="Times New Roman" w:cs="Tahoma"/>
                <w:szCs w:val="20"/>
              </w:rPr>
              <w:t xml:space="preserve">Nasazení upravené verze ESB </w:t>
            </w:r>
            <w:proofErr w:type="spellStart"/>
            <w:r w:rsidRPr="00432CC1">
              <w:rPr>
                <w:rFonts w:eastAsia="Times New Roman" w:cs="Tahoma"/>
                <w:szCs w:val="20"/>
              </w:rPr>
              <w:t>Backend</w:t>
            </w:r>
            <w:proofErr w:type="spellEnd"/>
            <w:r w:rsidRPr="00432CC1">
              <w:rPr>
                <w:rFonts w:eastAsia="Times New Roman" w:cs="Tahoma"/>
                <w:szCs w:val="20"/>
              </w:rPr>
              <w:t xml:space="preserve"> do produkčního prostředí včetně předání aktualizovaných zdrojových kódů a instalačních balíčků.</w:t>
            </w:r>
          </w:p>
          <w:p w14:paraId="0DE441A0" w14:textId="49D61502" w:rsidR="007A0478" w:rsidRPr="00432CC1" w:rsidRDefault="007A0478" w:rsidP="007A0478">
            <w:pPr>
              <w:rPr>
                <w:rFonts w:eastAsia="Times New Roman" w:cs="Tahoma"/>
                <w:szCs w:val="20"/>
              </w:rPr>
            </w:pPr>
          </w:p>
        </w:tc>
        <w:tc>
          <w:tcPr>
            <w:tcW w:w="1559" w:type="dxa"/>
            <w:vAlign w:val="center"/>
          </w:tcPr>
          <w:p w14:paraId="08B64210" w14:textId="7467E695" w:rsidR="007A0478" w:rsidRPr="00432CC1" w:rsidRDefault="007A0478" w:rsidP="007A0478">
            <w:pPr>
              <w:rPr>
                <w:rFonts w:eastAsia="Times New Roman" w:cs="Tahoma"/>
                <w:szCs w:val="20"/>
                <w:highlight w:val="yellow"/>
              </w:rPr>
            </w:pPr>
            <w:r w:rsidRPr="00432CC1">
              <w:rPr>
                <w:rStyle w:val="normaltextrun"/>
                <w:rFonts w:cs="Tahoma"/>
                <w:color w:val="000000"/>
                <w:szCs w:val="20"/>
              </w:rPr>
              <w:t xml:space="preserve">T + </w:t>
            </w:r>
            <w:r w:rsidR="002A6325">
              <w:rPr>
                <w:rStyle w:val="normaltextrun"/>
                <w:rFonts w:cs="Tahoma"/>
                <w:color w:val="000000"/>
                <w:szCs w:val="20"/>
              </w:rPr>
              <w:t>1</w:t>
            </w:r>
            <w:r w:rsidR="002A6325">
              <w:rPr>
                <w:rStyle w:val="normaltextrun"/>
                <w:color w:val="000000"/>
                <w:szCs w:val="20"/>
              </w:rPr>
              <w:t>6</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E0A523D" w14:textId="77777777" w:rsidTr="0091326C">
        <w:trPr>
          <w:trHeight w:val="60"/>
        </w:trPr>
        <w:tc>
          <w:tcPr>
            <w:tcW w:w="993" w:type="dxa"/>
          </w:tcPr>
          <w:p w14:paraId="5193AA40" w14:textId="77777777" w:rsidR="007A0478" w:rsidRPr="00432CC1" w:rsidRDefault="007A0478" w:rsidP="007A0478">
            <w:pPr>
              <w:rPr>
                <w:rFonts w:eastAsia="Times New Roman" w:cs="Tahoma"/>
                <w:szCs w:val="20"/>
              </w:rPr>
            </w:pPr>
            <w:r w:rsidRPr="00432CC1">
              <w:rPr>
                <w:rFonts w:eastAsia="Times New Roman" w:cs="Tahoma"/>
                <w:szCs w:val="20"/>
              </w:rPr>
              <w:t xml:space="preserve">Fáze </w:t>
            </w:r>
            <w:r w:rsidRPr="00432CC1">
              <w:rPr>
                <w:rFonts w:eastAsia="Times New Roman" w:cs="Tahoma"/>
              </w:rPr>
              <w:t>3</w:t>
            </w:r>
          </w:p>
        </w:tc>
        <w:tc>
          <w:tcPr>
            <w:tcW w:w="6804" w:type="dxa"/>
          </w:tcPr>
          <w:p w14:paraId="28F7497F" w14:textId="7AC0F728" w:rsidR="007A0478" w:rsidRPr="00432CC1" w:rsidRDefault="007A0478" w:rsidP="007A0478">
            <w:pPr>
              <w:rPr>
                <w:rFonts w:eastAsia="Times New Roman" w:cs="Tahoma"/>
                <w:szCs w:val="20"/>
              </w:rPr>
            </w:pPr>
            <w:r w:rsidRPr="00432CC1">
              <w:rPr>
                <w:rFonts w:cs="Tahoma"/>
                <w:color w:val="000000"/>
              </w:rPr>
              <w:t>Poskytování zvýšené podpory v délce 2 týdnu od nasazení do produkčního prostředí</w:t>
            </w:r>
            <w:r w:rsidRPr="00432CC1">
              <w:rPr>
                <w:rFonts w:eastAsia="Times New Roman" w:cs="Tahoma"/>
                <w:szCs w:val="20"/>
              </w:rPr>
              <w:t xml:space="preserve"> – konečný termín plnění.</w:t>
            </w:r>
          </w:p>
        </w:tc>
        <w:tc>
          <w:tcPr>
            <w:tcW w:w="1559" w:type="dxa"/>
            <w:vAlign w:val="center"/>
          </w:tcPr>
          <w:p w14:paraId="31CB445C" w14:textId="22393B68" w:rsidR="007A0478" w:rsidRPr="00432CC1" w:rsidRDefault="007A0478" w:rsidP="007A0478">
            <w:pPr>
              <w:rPr>
                <w:rFonts w:cs="Tahoma"/>
                <w:color w:val="000000"/>
                <w:szCs w:val="20"/>
                <w:highlight w:val="yellow"/>
              </w:rPr>
            </w:pPr>
            <w:r w:rsidRPr="00432CC1">
              <w:rPr>
                <w:rStyle w:val="normaltextrun"/>
                <w:rFonts w:cs="Tahoma"/>
                <w:color w:val="000000"/>
                <w:szCs w:val="20"/>
              </w:rPr>
              <w:t xml:space="preserve">T + </w:t>
            </w:r>
            <w:r w:rsidR="002A6325">
              <w:rPr>
                <w:rStyle w:val="normaltextrun"/>
                <w:rFonts w:cs="Tahoma"/>
                <w:color w:val="000000"/>
                <w:szCs w:val="20"/>
              </w:rPr>
              <w:t>1</w:t>
            </w:r>
            <w:r w:rsidR="002A6325">
              <w:rPr>
                <w:rStyle w:val="normaltextrun"/>
                <w:color w:val="000000"/>
                <w:szCs w:val="20"/>
              </w:rPr>
              <w:t>8</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25A923AD" w14:textId="77777777" w:rsidTr="0091326C">
        <w:trPr>
          <w:trHeight w:val="60"/>
        </w:trPr>
        <w:tc>
          <w:tcPr>
            <w:tcW w:w="993" w:type="dxa"/>
          </w:tcPr>
          <w:p w14:paraId="4D01DFAD" w14:textId="77777777" w:rsidR="007A0478" w:rsidRPr="00432CC1" w:rsidRDefault="007A0478" w:rsidP="007A0478">
            <w:pPr>
              <w:rPr>
                <w:rFonts w:eastAsia="Times New Roman" w:cs="Tahoma"/>
                <w:szCs w:val="20"/>
              </w:rPr>
            </w:pPr>
          </w:p>
        </w:tc>
        <w:tc>
          <w:tcPr>
            <w:tcW w:w="6804" w:type="dxa"/>
          </w:tcPr>
          <w:p w14:paraId="5BEED0CE" w14:textId="77777777" w:rsidR="007A0478" w:rsidRPr="00432CC1" w:rsidRDefault="007A0478" w:rsidP="007A0478">
            <w:pPr>
              <w:rPr>
                <w:rFonts w:eastAsia="Times New Roman" w:cs="Tahoma"/>
                <w:szCs w:val="20"/>
              </w:rPr>
            </w:pPr>
            <w:r w:rsidRPr="00432CC1">
              <w:rPr>
                <w:rFonts w:eastAsia="Times New Roman" w:cs="Tahoma"/>
                <w:szCs w:val="20"/>
              </w:rPr>
              <w:t>Fakturační milník</w:t>
            </w:r>
          </w:p>
        </w:tc>
        <w:tc>
          <w:tcPr>
            <w:tcW w:w="1559" w:type="dxa"/>
            <w:vAlign w:val="center"/>
          </w:tcPr>
          <w:p w14:paraId="73CD4A52" w14:textId="71A99C13" w:rsidR="007A0478" w:rsidRPr="00432CC1" w:rsidRDefault="007A0478" w:rsidP="007A0478">
            <w:pPr>
              <w:rPr>
                <w:rFonts w:eastAsia="Times New Roman" w:cs="Tahoma"/>
                <w:szCs w:val="20"/>
              </w:rPr>
            </w:pPr>
            <w:r w:rsidRPr="00432CC1">
              <w:rPr>
                <w:rStyle w:val="normaltextrun"/>
                <w:rFonts w:cs="Tahoma"/>
                <w:color w:val="000000"/>
                <w:szCs w:val="20"/>
              </w:rPr>
              <w:t xml:space="preserve">T + </w:t>
            </w:r>
            <w:r w:rsidR="002A6325">
              <w:rPr>
                <w:rStyle w:val="normaltextrun"/>
                <w:rFonts w:cs="Tahoma"/>
                <w:color w:val="000000"/>
                <w:szCs w:val="20"/>
              </w:rPr>
              <w:t>1</w:t>
            </w:r>
            <w:r w:rsidR="002A6325">
              <w:rPr>
                <w:rStyle w:val="normaltextrun"/>
                <w:color w:val="000000"/>
                <w:szCs w:val="20"/>
              </w:rPr>
              <w:t>9</w:t>
            </w:r>
            <w:r w:rsidRPr="00432CC1">
              <w:rPr>
                <w:rStyle w:val="normaltextrun"/>
                <w:rFonts w:cs="Tahoma"/>
                <w:color w:val="000000"/>
                <w:szCs w:val="20"/>
              </w:rPr>
              <w:t xml:space="preserve"> týdnů</w:t>
            </w:r>
            <w:r w:rsidRPr="00432CC1">
              <w:rPr>
                <w:rStyle w:val="eop"/>
                <w:rFonts w:cs="Tahoma"/>
                <w:color w:val="000000"/>
                <w:szCs w:val="20"/>
              </w:rPr>
              <w:t> </w:t>
            </w:r>
          </w:p>
        </w:tc>
      </w:tr>
    </w:tbl>
    <w:p w14:paraId="2AAB7FE8" w14:textId="77777777" w:rsidR="00BC34CD" w:rsidRPr="00432CC1" w:rsidRDefault="00BC34CD" w:rsidP="00BC34CD">
      <w:pPr>
        <w:spacing w:line="276" w:lineRule="auto"/>
        <w:ind w:right="-2"/>
        <w:jc w:val="both"/>
        <w:rPr>
          <w:rFonts w:cs="Tahoma"/>
          <w:b/>
        </w:rPr>
      </w:pPr>
    </w:p>
    <w:p w14:paraId="5A25FEF4" w14:textId="77777777" w:rsidR="00BC7655" w:rsidRPr="00432CC1" w:rsidRDefault="00BC7655" w:rsidP="00BC34CD">
      <w:pPr>
        <w:spacing w:line="276" w:lineRule="auto"/>
        <w:ind w:right="-2"/>
        <w:jc w:val="both"/>
        <w:rPr>
          <w:rFonts w:cs="Tahoma"/>
          <w:b/>
        </w:rPr>
      </w:pPr>
    </w:p>
    <w:bookmarkEnd w:id="3"/>
    <w:bookmarkEnd w:id="4"/>
    <w:bookmarkEnd w:id="5"/>
    <w:bookmarkEnd w:id="6"/>
    <w:bookmarkEnd w:id="7"/>
    <w:bookmarkEnd w:id="8"/>
    <w:bookmarkEnd w:id="9"/>
    <w:bookmarkEnd w:id="10"/>
    <w:bookmarkEnd w:id="11"/>
    <w:p w14:paraId="781234D3" w14:textId="77777777" w:rsidR="00D0181B" w:rsidRPr="00432CC1" w:rsidRDefault="00C92495">
      <w:pPr>
        <w:pStyle w:val="Nadpis1"/>
      </w:pPr>
      <w:r w:rsidRPr="00432CC1">
        <w:rPr>
          <w:lang w:val="cs-CZ"/>
        </w:rPr>
        <w:t>Místo plnění</w:t>
      </w:r>
    </w:p>
    <w:p w14:paraId="351AD332" w14:textId="77777777" w:rsidR="007B279D" w:rsidRPr="00432CC1" w:rsidRDefault="007B279D">
      <w:pPr>
        <w:rPr>
          <w:rFonts w:cs="Tahoma"/>
          <w:lang w:eastAsia="x-none"/>
        </w:rPr>
      </w:pPr>
    </w:p>
    <w:p w14:paraId="64013367" w14:textId="25BEF48E" w:rsidR="007B279D" w:rsidRPr="00432CC1" w:rsidRDefault="007B279D">
      <w:pPr>
        <w:rPr>
          <w:rFonts w:cs="Tahoma"/>
          <w:lang w:eastAsia="x-none"/>
        </w:rPr>
      </w:pPr>
      <w:r w:rsidRPr="00432CC1">
        <w:rPr>
          <w:rFonts w:cs="Tahoma"/>
          <w:lang w:eastAsia="x-none"/>
        </w:rPr>
        <w:t xml:space="preserve">Místem plnění je sídlo Objednatele na adrese </w:t>
      </w:r>
      <w:r w:rsidRPr="00432CC1">
        <w:rPr>
          <w:rFonts w:cs="Tahoma"/>
          <w:szCs w:val="20"/>
        </w:rPr>
        <w:t>Na Poříčním právu 376/</w:t>
      </w:r>
      <w:r w:rsidR="00D76E10">
        <w:rPr>
          <w:rFonts w:cs="Tahoma"/>
          <w:szCs w:val="20"/>
        </w:rPr>
        <w:t>1</w:t>
      </w:r>
      <w:r w:rsidRPr="00432CC1">
        <w:rPr>
          <w:rFonts w:cs="Tahoma"/>
          <w:lang w:eastAsia="x-none"/>
        </w:rPr>
        <w:t>, 128 00 Praha 2.</w:t>
      </w:r>
    </w:p>
    <w:p w14:paraId="1980A02C" w14:textId="77777777" w:rsidR="00D0181B" w:rsidRPr="00432CC1" w:rsidRDefault="00C92495">
      <w:pPr>
        <w:pStyle w:val="Nadpis1"/>
        <w:rPr>
          <w:lang w:val="cs-CZ"/>
        </w:rPr>
      </w:pPr>
      <w:r w:rsidRPr="00432CC1">
        <w:rPr>
          <w:lang w:val="cs-CZ"/>
        </w:rPr>
        <w:t xml:space="preserve">Součinnost Objednatele </w:t>
      </w:r>
    </w:p>
    <w:p w14:paraId="768D750C" w14:textId="0021A1FD" w:rsidR="00D0181B" w:rsidRPr="00432CC1" w:rsidRDefault="00C92495">
      <w:pPr>
        <w:jc w:val="both"/>
        <w:rPr>
          <w:rFonts w:cs="Tahoma"/>
        </w:rPr>
      </w:pPr>
      <w:r w:rsidRPr="00432CC1">
        <w:rPr>
          <w:rFonts w:cs="Tahoma"/>
        </w:rPr>
        <w:t>Nutným předpokladem pro řádné plnění dle této Smlouvy je zajištění součinnosti Objednatele v </w:t>
      </w:r>
      <w:r w:rsidR="002C3A97" w:rsidRPr="00432CC1">
        <w:rPr>
          <w:rFonts w:cs="Tahoma"/>
        </w:rPr>
        <w:t>souladu s</w:t>
      </w:r>
      <w:r w:rsidRPr="00432CC1">
        <w:rPr>
          <w:rFonts w:cs="Tahoma"/>
        </w:rPr>
        <w:t xml:space="preserve"> čl. 8 Přílohy č. 1 Rámcové dohody</w:t>
      </w:r>
      <w:r w:rsidR="00255EF2" w:rsidRPr="00432CC1">
        <w:rPr>
          <w:rFonts w:cs="Tahoma"/>
        </w:rPr>
        <w:t>.</w:t>
      </w:r>
    </w:p>
    <w:p w14:paraId="690C18C9" w14:textId="77777777" w:rsidR="00ED2F08" w:rsidRPr="00432CC1" w:rsidRDefault="00ED2F08">
      <w:pPr>
        <w:jc w:val="both"/>
        <w:rPr>
          <w:rFonts w:cs="Tahoma"/>
        </w:rPr>
      </w:pPr>
    </w:p>
    <w:p w14:paraId="4C090061" w14:textId="41E684B1" w:rsidR="00D0181B" w:rsidRPr="00432CC1" w:rsidRDefault="00C92495">
      <w:pPr>
        <w:pStyle w:val="Nadpis1"/>
        <w:rPr>
          <w:lang w:val="cs-CZ"/>
        </w:rPr>
      </w:pPr>
      <w:r w:rsidRPr="00432CC1">
        <w:rPr>
          <w:lang w:val="cs-CZ"/>
        </w:rPr>
        <w:t>Soulad se standardy</w:t>
      </w:r>
    </w:p>
    <w:p w14:paraId="1060707E" w14:textId="77777777" w:rsidR="00D0181B" w:rsidRPr="00432CC1" w:rsidRDefault="00D0181B">
      <w:pPr>
        <w:jc w:val="both"/>
        <w:rPr>
          <w:rFonts w:cs="Tahoma"/>
        </w:rPr>
      </w:pPr>
    </w:p>
    <w:p w14:paraId="5EC850C9" w14:textId="77777777" w:rsidR="00D0181B" w:rsidRPr="00432CC1" w:rsidRDefault="00C92495">
      <w:pPr>
        <w:ind w:right="-286"/>
        <w:jc w:val="both"/>
        <w:rPr>
          <w:rFonts w:cs="Tahoma"/>
        </w:rPr>
      </w:pPr>
      <w:r w:rsidRPr="00432CC1">
        <w:rPr>
          <w:rFonts w:cs="Tahoma"/>
        </w:rPr>
        <w:t>Služb</w:t>
      </w:r>
      <w:r w:rsidR="00E43D55" w:rsidRPr="00432CC1">
        <w:rPr>
          <w:rFonts w:cs="Tahoma"/>
        </w:rPr>
        <w:t>y</w:t>
      </w:r>
      <w:r w:rsidRPr="00432CC1">
        <w:rPr>
          <w:rFonts w:cs="Tahoma"/>
        </w:rPr>
        <w:t xml:space="preserve"> bud</w:t>
      </w:r>
      <w:r w:rsidR="00E43D55" w:rsidRPr="00432CC1">
        <w:rPr>
          <w:rFonts w:cs="Tahoma"/>
        </w:rPr>
        <w:t>ou</w:t>
      </w:r>
      <w:r w:rsidRPr="00432CC1">
        <w:rPr>
          <w:rFonts w:cs="Tahoma"/>
        </w:rPr>
        <w:t xml:space="preserve"> </w:t>
      </w:r>
      <w:r w:rsidR="00DC7816" w:rsidRPr="00432CC1">
        <w:rPr>
          <w:rFonts w:cs="Tahoma"/>
        </w:rPr>
        <w:t>poskytnuty</w:t>
      </w:r>
      <w:r w:rsidR="00E43D55" w:rsidRPr="00432CC1">
        <w:rPr>
          <w:rFonts w:cs="Tahoma"/>
        </w:rPr>
        <w:t xml:space="preserve"> </w:t>
      </w:r>
      <w:r w:rsidRPr="00432CC1">
        <w:rPr>
          <w:rFonts w:cs="Tahoma"/>
        </w:rPr>
        <w:t>dle p</w:t>
      </w:r>
      <w:r w:rsidR="00E43D55" w:rsidRPr="00432CC1">
        <w:rPr>
          <w:rFonts w:cs="Tahoma"/>
        </w:rPr>
        <w:t>l</w:t>
      </w:r>
      <w:r w:rsidRPr="00432CC1">
        <w:rPr>
          <w:rFonts w:cs="Tahoma"/>
        </w:rPr>
        <w:t>atných standardů Objednatele. Soupis platných standardů je uveden v následující tabulce:</w:t>
      </w:r>
    </w:p>
    <w:p w14:paraId="45D02601" w14:textId="77777777" w:rsidR="00D0181B" w:rsidRPr="00432CC1"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432CC1"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432CC1" w:rsidRDefault="00C92495">
            <w:pPr>
              <w:jc w:val="center"/>
              <w:rPr>
                <w:rFonts w:cs="Tahoma"/>
                <w:b/>
                <w:bCs/>
              </w:rPr>
            </w:pPr>
            <w:bookmarkStart w:id="12" w:name="RANGE!A1:G29"/>
            <w:r w:rsidRPr="00432CC1">
              <w:rPr>
                <w:rFonts w:cs="Tahoma"/>
                <w:b/>
                <w:bCs/>
              </w:rPr>
              <w:t>Číslo</w:t>
            </w:r>
            <w:bookmarkEnd w:id="12"/>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432CC1" w:rsidRDefault="00C92495">
            <w:pPr>
              <w:jc w:val="center"/>
              <w:rPr>
                <w:rFonts w:cs="Tahoma"/>
                <w:b/>
                <w:bCs/>
              </w:rPr>
            </w:pPr>
            <w:r w:rsidRPr="00432CC1">
              <w:rPr>
                <w:rFonts w:cs="Tahoma"/>
                <w:b/>
                <w:bCs/>
              </w:rPr>
              <w:t>Název</w:t>
            </w:r>
          </w:p>
          <w:p w14:paraId="5A7326C6" w14:textId="77777777" w:rsidR="00D0181B" w:rsidRPr="00432CC1" w:rsidRDefault="00C92495">
            <w:pPr>
              <w:jc w:val="center"/>
              <w:rPr>
                <w:rFonts w:cs="Tahoma"/>
                <w:b/>
                <w:bCs/>
              </w:rPr>
            </w:pPr>
            <w:r w:rsidRPr="00432CC1">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432CC1" w:rsidRDefault="00C92495">
            <w:pPr>
              <w:jc w:val="center"/>
              <w:rPr>
                <w:rFonts w:cs="Tahoma"/>
                <w:b/>
                <w:bCs/>
              </w:rPr>
            </w:pPr>
            <w:r w:rsidRPr="00432CC1">
              <w:rPr>
                <w:rFonts w:cs="Tahoma"/>
                <w:b/>
                <w:bCs/>
              </w:rPr>
              <w:t>Název</w:t>
            </w:r>
          </w:p>
          <w:p w14:paraId="2A616349" w14:textId="77777777" w:rsidR="00D0181B" w:rsidRPr="00432CC1" w:rsidRDefault="00C92495">
            <w:pPr>
              <w:jc w:val="center"/>
              <w:rPr>
                <w:rFonts w:cs="Tahoma"/>
                <w:b/>
                <w:bCs/>
              </w:rPr>
            </w:pPr>
            <w:r w:rsidRPr="00432CC1">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432CC1" w:rsidRDefault="00C92495">
            <w:pPr>
              <w:jc w:val="center"/>
              <w:rPr>
                <w:rFonts w:cs="Tahoma"/>
                <w:b/>
                <w:bCs/>
              </w:rPr>
            </w:pPr>
            <w:r w:rsidRPr="00432CC1">
              <w:rPr>
                <w:rFonts w:cs="Tahoma"/>
                <w:b/>
                <w:bCs/>
              </w:rPr>
              <w:t>Verze</w:t>
            </w:r>
          </w:p>
        </w:tc>
      </w:tr>
      <w:tr w:rsidR="001C0DD9" w:rsidRPr="00432CC1"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432CC1" w:rsidRDefault="001C0DD9" w:rsidP="001C0DD9">
            <w:pPr>
              <w:rPr>
                <w:rFonts w:cs="Tahoma"/>
              </w:rPr>
            </w:pPr>
            <w:r w:rsidRPr="00432CC1">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432CC1" w:rsidRDefault="001C0DD9" w:rsidP="001C0DD9">
            <w:pPr>
              <w:rPr>
                <w:rFonts w:cs="Tahoma"/>
              </w:rPr>
            </w:pPr>
            <w:r w:rsidRPr="00432CC1">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432CC1" w:rsidRDefault="001C0DD9" w:rsidP="001C0DD9">
            <w:pPr>
              <w:jc w:val="center"/>
              <w:rPr>
                <w:rFonts w:cs="Tahoma"/>
                <w:b/>
              </w:rPr>
            </w:pPr>
            <w:r w:rsidRPr="00432CC1">
              <w:rPr>
                <w:rFonts w:cs="Tahoma"/>
                <w:b/>
              </w:rPr>
              <w:t>0.98</w:t>
            </w:r>
          </w:p>
        </w:tc>
      </w:tr>
      <w:tr w:rsidR="001C0DD9" w:rsidRPr="00432CC1"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432CC1" w:rsidRDefault="001C0DD9" w:rsidP="001C0DD9">
            <w:pPr>
              <w:rPr>
                <w:rFonts w:cs="Tahoma"/>
              </w:rPr>
            </w:pPr>
            <w:r w:rsidRPr="00432CC1">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432CC1" w:rsidRDefault="001C0DD9" w:rsidP="001C0DD9">
            <w:pPr>
              <w:rPr>
                <w:rFonts w:cs="Tahoma"/>
              </w:rPr>
            </w:pPr>
            <w:r w:rsidRPr="00432CC1">
              <w:rPr>
                <w:rFonts w:cs="Tahoma"/>
              </w:rPr>
              <w:t xml:space="preserve">Standard připojení k </w:t>
            </w:r>
            <w:proofErr w:type="gramStart"/>
            <w:r w:rsidRPr="00432CC1">
              <w:rPr>
                <w:rFonts w:cs="Tahoma"/>
              </w:rPr>
              <w:t>Internetu</w:t>
            </w:r>
            <w:proofErr w:type="gramEnd"/>
          </w:p>
        </w:tc>
        <w:tc>
          <w:tcPr>
            <w:tcW w:w="992" w:type="dxa"/>
            <w:tcBorders>
              <w:top w:val="nil"/>
              <w:left w:val="nil"/>
              <w:bottom w:val="single" w:sz="4" w:space="0" w:color="auto"/>
              <w:right w:val="single" w:sz="8" w:space="0" w:color="auto"/>
            </w:tcBorders>
            <w:vAlign w:val="center"/>
          </w:tcPr>
          <w:p w14:paraId="05F5D7F3" w14:textId="7B922460" w:rsidR="001C0DD9" w:rsidRPr="00432CC1" w:rsidRDefault="001C0DD9" w:rsidP="001C0DD9">
            <w:pPr>
              <w:jc w:val="center"/>
              <w:rPr>
                <w:rFonts w:cs="Tahoma"/>
                <w:b/>
              </w:rPr>
            </w:pPr>
            <w:r w:rsidRPr="00432CC1">
              <w:rPr>
                <w:rFonts w:cs="Tahoma"/>
                <w:b/>
              </w:rPr>
              <w:t>1.12</w:t>
            </w:r>
          </w:p>
        </w:tc>
      </w:tr>
      <w:tr w:rsidR="001C0DD9" w:rsidRPr="00432CC1"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432CC1" w:rsidRDefault="001C0DD9" w:rsidP="001C0DD9">
            <w:pPr>
              <w:rPr>
                <w:rFonts w:cs="Tahoma"/>
              </w:rPr>
            </w:pPr>
            <w:r w:rsidRPr="00432CC1">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432CC1" w:rsidRDefault="001C0DD9" w:rsidP="001C0DD9">
            <w:pPr>
              <w:rPr>
                <w:rFonts w:cs="Tahoma"/>
              </w:rPr>
            </w:pPr>
            <w:r w:rsidRPr="00432CC1">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432CC1" w:rsidRDefault="001C0DD9" w:rsidP="001C0DD9">
            <w:pPr>
              <w:jc w:val="center"/>
              <w:rPr>
                <w:rFonts w:cs="Tahoma"/>
                <w:b/>
              </w:rPr>
            </w:pPr>
            <w:r w:rsidRPr="00432CC1">
              <w:rPr>
                <w:rFonts w:cs="Tahoma"/>
                <w:b/>
              </w:rPr>
              <w:t>1.01</w:t>
            </w:r>
          </w:p>
        </w:tc>
      </w:tr>
      <w:tr w:rsidR="001C0DD9" w:rsidRPr="00432CC1"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432CC1" w:rsidRDefault="001C0DD9" w:rsidP="001C0DD9">
            <w:pPr>
              <w:rPr>
                <w:rFonts w:cs="Tahoma"/>
              </w:rPr>
            </w:pPr>
            <w:r w:rsidRPr="00432CC1">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432CC1" w:rsidRDefault="001C0DD9" w:rsidP="001C0DD9">
            <w:pPr>
              <w:rPr>
                <w:rFonts w:cs="Tahoma"/>
              </w:rPr>
            </w:pPr>
            <w:r w:rsidRPr="00432CC1">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432CC1" w:rsidRDefault="001C0DD9" w:rsidP="001C0DD9">
            <w:pPr>
              <w:jc w:val="center"/>
              <w:rPr>
                <w:rFonts w:cs="Tahoma"/>
                <w:b/>
              </w:rPr>
            </w:pPr>
            <w:r w:rsidRPr="00432CC1">
              <w:rPr>
                <w:rFonts w:cs="Tahoma"/>
                <w:b/>
              </w:rPr>
              <w:t>2.05</w:t>
            </w:r>
          </w:p>
        </w:tc>
      </w:tr>
      <w:tr w:rsidR="001C0DD9" w:rsidRPr="00432CC1"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432CC1" w:rsidRDefault="001C0DD9" w:rsidP="001C0DD9">
            <w:pPr>
              <w:rPr>
                <w:rFonts w:cs="Tahoma"/>
              </w:rPr>
            </w:pPr>
            <w:r w:rsidRPr="00432CC1">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432CC1" w:rsidRDefault="001C0DD9" w:rsidP="001C0DD9">
            <w:pPr>
              <w:rPr>
                <w:rFonts w:cs="Tahoma"/>
              </w:rPr>
            </w:pPr>
            <w:r w:rsidRPr="00432CC1">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432CC1" w:rsidRDefault="001C0DD9" w:rsidP="001C0DD9">
            <w:pPr>
              <w:jc w:val="center"/>
              <w:rPr>
                <w:rFonts w:cs="Tahoma"/>
                <w:b/>
              </w:rPr>
            </w:pPr>
            <w:r w:rsidRPr="00432CC1">
              <w:rPr>
                <w:rFonts w:cs="Tahoma"/>
                <w:b/>
              </w:rPr>
              <w:t>1.11</w:t>
            </w:r>
          </w:p>
        </w:tc>
      </w:tr>
      <w:tr w:rsidR="001C0DD9" w:rsidRPr="00432CC1"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432CC1" w:rsidRDefault="001C0DD9" w:rsidP="001C0DD9">
            <w:pPr>
              <w:rPr>
                <w:rFonts w:cs="Tahoma"/>
              </w:rPr>
            </w:pPr>
            <w:r w:rsidRPr="00432CC1">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432CC1" w:rsidRDefault="001C0DD9" w:rsidP="001C0DD9">
            <w:pPr>
              <w:rPr>
                <w:rFonts w:cs="Tahoma"/>
              </w:rPr>
            </w:pPr>
            <w:r w:rsidRPr="00432CC1">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432CC1" w:rsidRDefault="001C0DD9" w:rsidP="001C0DD9">
            <w:pPr>
              <w:jc w:val="center"/>
              <w:rPr>
                <w:rFonts w:cs="Tahoma"/>
                <w:b/>
              </w:rPr>
            </w:pPr>
            <w:r w:rsidRPr="00432CC1">
              <w:rPr>
                <w:rFonts w:cs="Tahoma"/>
                <w:b/>
              </w:rPr>
              <w:t>3.10</w:t>
            </w:r>
          </w:p>
        </w:tc>
      </w:tr>
      <w:tr w:rsidR="001C0DD9" w:rsidRPr="00432CC1"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432CC1" w:rsidRDefault="001C0DD9" w:rsidP="001C0DD9">
            <w:pPr>
              <w:rPr>
                <w:rFonts w:cs="Tahoma"/>
              </w:rPr>
            </w:pPr>
            <w:r w:rsidRPr="00432CC1">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432CC1" w:rsidRDefault="001C0DD9" w:rsidP="001C0DD9">
            <w:pPr>
              <w:rPr>
                <w:rFonts w:cs="Tahoma"/>
              </w:rPr>
            </w:pPr>
            <w:r w:rsidRPr="00432CC1">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432CC1" w:rsidRDefault="001C0DD9" w:rsidP="001C0DD9">
            <w:pPr>
              <w:jc w:val="center"/>
              <w:rPr>
                <w:rFonts w:cs="Tahoma"/>
                <w:b/>
              </w:rPr>
            </w:pPr>
            <w:r w:rsidRPr="00432CC1">
              <w:rPr>
                <w:rFonts w:cs="Tahoma"/>
                <w:b/>
              </w:rPr>
              <w:t>1_0_21</w:t>
            </w:r>
          </w:p>
        </w:tc>
      </w:tr>
      <w:tr w:rsidR="001C0DD9" w:rsidRPr="00432CC1"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432CC1" w:rsidRDefault="001C0DD9" w:rsidP="001C0DD9">
            <w:pPr>
              <w:rPr>
                <w:rFonts w:cs="Tahoma"/>
              </w:rPr>
            </w:pPr>
            <w:r w:rsidRPr="00432CC1">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432CC1" w:rsidRDefault="001C0DD9" w:rsidP="001C0DD9">
            <w:pPr>
              <w:rPr>
                <w:rFonts w:cs="Tahoma"/>
              </w:rPr>
            </w:pPr>
            <w:r w:rsidRPr="00432CC1">
              <w:rPr>
                <w:rFonts w:cs="Tahoma"/>
              </w:rPr>
              <w:t xml:space="preserve">Standard </w:t>
            </w:r>
            <w:proofErr w:type="spellStart"/>
            <w:r w:rsidRPr="00432CC1">
              <w:rPr>
                <w:rFonts w:cs="Tahoma"/>
              </w:rPr>
              <w:t>Release</w:t>
            </w:r>
            <w:proofErr w:type="spellEnd"/>
            <w:r w:rsidRPr="00432CC1">
              <w:rPr>
                <w:rFonts w:cs="Tahoma"/>
              </w:rPr>
              <w:t xml:space="preserve"> managementu</w:t>
            </w:r>
          </w:p>
        </w:tc>
        <w:tc>
          <w:tcPr>
            <w:tcW w:w="992" w:type="dxa"/>
            <w:tcBorders>
              <w:top w:val="nil"/>
              <w:left w:val="nil"/>
              <w:bottom w:val="single" w:sz="4" w:space="0" w:color="auto"/>
              <w:right w:val="single" w:sz="8" w:space="0" w:color="auto"/>
            </w:tcBorders>
            <w:vAlign w:val="center"/>
          </w:tcPr>
          <w:p w14:paraId="05F8E63D" w14:textId="129C1ED3" w:rsidR="001C0DD9" w:rsidRPr="00432CC1" w:rsidRDefault="001C0DD9" w:rsidP="001C0DD9">
            <w:pPr>
              <w:jc w:val="center"/>
              <w:rPr>
                <w:rFonts w:cs="Tahoma"/>
                <w:b/>
              </w:rPr>
            </w:pPr>
            <w:r w:rsidRPr="00432CC1">
              <w:rPr>
                <w:rFonts w:cs="Tahoma"/>
                <w:b/>
              </w:rPr>
              <w:t>1_2_7</w:t>
            </w:r>
          </w:p>
        </w:tc>
      </w:tr>
      <w:tr w:rsidR="001C0DD9" w:rsidRPr="00432CC1"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432CC1" w:rsidRDefault="001C0DD9" w:rsidP="001C0DD9">
            <w:pPr>
              <w:rPr>
                <w:rFonts w:cs="Tahoma"/>
              </w:rPr>
            </w:pPr>
            <w:r w:rsidRPr="00432CC1">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432CC1" w:rsidRDefault="001C0DD9" w:rsidP="001C0DD9">
            <w:pPr>
              <w:rPr>
                <w:rFonts w:cs="Tahoma"/>
              </w:rPr>
            </w:pPr>
            <w:r w:rsidRPr="00432CC1">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432CC1" w:rsidRDefault="001C0DD9" w:rsidP="001C0DD9">
            <w:pPr>
              <w:jc w:val="center"/>
              <w:rPr>
                <w:rFonts w:cs="Tahoma"/>
                <w:b/>
              </w:rPr>
            </w:pPr>
            <w:r w:rsidRPr="00432CC1">
              <w:rPr>
                <w:rFonts w:cs="Tahoma"/>
                <w:b/>
              </w:rPr>
              <w:t>2.2</w:t>
            </w:r>
          </w:p>
        </w:tc>
      </w:tr>
      <w:tr w:rsidR="001C0DD9" w:rsidRPr="00432CC1"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432CC1" w:rsidRDefault="001C0DD9" w:rsidP="001C0DD9">
            <w:pPr>
              <w:rPr>
                <w:rFonts w:cs="Tahoma"/>
              </w:rPr>
            </w:pPr>
            <w:r w:rsidRPr="00432CC1">
              <w:rPr>
                <w:rFonts w:cs="Tahoma"/>
              </w:rPr>
              <w:t>Standard Programátorské konvence .NET - 2.</w:t>
            </w:r>
            <w:proofErr w:type="gramStart"/>
            <w:r w:rsidRPr="00432CC1">
              <w:rPr>
                <w:rFonts w:cs="Tahoma"/>
              </w:rPr>
              <w:t>0 - 4</w:t>
            </w:r>
            <w:proofErr w:type="gramEnd"/>
            <w:r w:rsidRPr="00432CC1">
              <w:rPr>
                <w:rFonts w:cs="Tahoma"/>
              </w:rPr>
              <w:t>.7.2, 6, 8.pdf</w:t>
            </w:r>
          </w:p>
        </w:tc>
        <w:tc>
          <w:tcPr>
            <w:tcW w:w="4111" w:type="dxa"/>
            <w:tcBorders>
              <w:top w:val="nil"/>
              <w:left w:val="nil"/>
              <w:bottom w:val="single" w:sz="4" w:space="0" w:color="auto"/>
              <w:right w:val="single" w:sz="4" w:space="0" w:color="auto"/>
            </w:tcBorders>
          </w:tcPr>
          <w:p w14:paraId="5DEA1023" w14:textId="5ED05920" w:rsidR="001C0DD9" w:rsidRPr="00432CC1" w:rsidRDefault="001C0DD9" w:rsidP="001C0DD9">
            <w:pPr>
              <w:rPr>
                <w:rFonts w:cs="Tahoma"/>
              </w:rPr>
            </w:pPr>
            <w:r w:rsidRPr="00432CC1">
              <w:rPr>
                <w:rFonts w:cs="Tahoma"/>
              </w:rPr>
              <w:t>Standard Programátorské konvence .NET - 2.</w:t>
            </w:r>
            <w:proofErr w:type="gramStart"/>
            <w:r w:rsidRPr="00432CC1">
              <w:rPr>
                <w:rFonts w:cs="Tahoma"/>
              </w:rPr>
              <w:t>0 - 4</w:t>
            </w:r>
            <w:proofErr w:type="gramEnd"/>
            <w:r w:rsidRPr="00432CC1">
              <w:rPr>
                <w:rFonts w:cs="Tahoma"/>
              </w:rPr>
              <w:t>.7.2, 6, 8</w:t>
            </w:r>
          </w:p>
        </w:tc>
        <w:tc>
          <w:tcPr>
            <w:tcW w:w="992" w:type="dxa"/>
            <w:tcBorders>
              <w:top w:val="nil"/>
              <w:left w:val="nil"/>
              <w:bottom w:val="single" w:sz="4" w:space="0" w:color="auto"/>
              <w:right w:val="single" w:sz="8" w:space="0" w:color="auto"/>
            </w:tcBorders>
          </w:tcPr>
          <w:p w14:paraId="3E441FDF" w14:textId="77777777" w:rsidR="001C0DD9" w:rsidRPr="00432CC1" w:rsidRDefault="001C0DD9" w:rsidP="001C0DD9">
            <w:pPr>
              <w:jc w:val="center"/>
              <w:rPr>
                <w:rFonts w:cs="Tahoma"/>
                <w:b/>
              </w:rPr>
            </w:pPr>
          </w:p>
          <w:p w14:paraId="7779F510" w14:textId="5687792A" w:rsidR="001C0DD9" w:rsidRPr="00432CC1" w:rsidRDefault="001C0DD9" w:rsidP="001C0DD9">
            <w:pPr>
              <w:jc w:val="center"/>
              <w:rPr>
                <w:rFonts w:cs="Tahoma"/>
                <w:b/>
              </w:rPr>
            </w:pPr>
            <w:r w:rsidRPr="00432CC1">
              <w:rPr>
                <w:rFonts w:cs="Tahoma"/>
                <w:b/>
              </w:rPr>
              <w:t>1.1</w:t>
            </w:r>
          </w:p>
        </w:tc>
      </w:tr>
      <w:tr w:rsidR="001C0DD9" w:rsidRPr="00432CC1"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432CC1" w:rsidRDefault="001C0DD9" w:rsidP="001C0DD9">
            <w:pPr>
              <w:rPr>
                <w:rFonts w:cs="Tahoma"/>
              </w:rPr>
            </w:pPr>
            <w:r w:rsidRPr="00432CC1">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432CC1" w:rsidRDefault="001C0DD9" w:rsidP="001C0DD9">
            <w:pPr>
              <w:rPr>
                <w:rFonts w:cs="Tahoma"/>
              </w:rPr>
            </w:pPr>
            <w:r w:rsidRPr="00432CC1">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432CC1" w:rsidRDefault="001C0DD9" w:rsidP="001C0DD9">
            <w:pPr>
              <w:jc w:val="center"/>
              <w:rPr>
                <w:rFonts w:cs="Tahoma"/>
                <w:b/>
              </w:rPr>
            </w:pPr>
            <w:r w:rsidRPr="00432CC1">
              <w:rPr>
                <w:rFonts w:cs="Tahoma"/>
                <w:b/>
              </w:rPr>
              <w:t>3.00</w:t>
            </w:r>
          </w:p>
        </w:tc>
      </w:tr>
      <w:tr w:rsidR="001C0DD9" w:rsidRPr="00432CC1"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432CC1" w:rsidRDefault="001C0DD9" w:rsidP="001C0DD9">
            <w:pPr>
              <w:rPr>
                <w:rFonts w:cs="Tahoma"/>
              </w:rPr>
            </w:pPr>
            <w:r w:rsidRPr="00432CC1">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432CC1" w:rsidRDefault="001C0DD9" w:rsidP="001C0DD9">
            <w:pPr>
              <w:rPr>
                <w:rFonts w:cs="Tahoma"/>
              </w:rPr>
            </w:pPr>
            <w:r w:rsidRPr="00432CC1">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432CC1" w:rsidRDefault="001C0DD9" w:rsidP="001C0DD9">
            <w:pPr>
              <w:jc w:val="center"/>
              <w:rPr>
                <w:rFonts w:cs="Tahoma"/>
                <w:b/>
              </w:rPr>
            </w:pPr>
            <w:r w:rsidRPr="00432CC1">
              <w:rPr>
                <w:rFonts w:cs="Tahoma"/>
                <w:b/>
              </w:rPr>
              <w:t>9.06</w:t>
            </w:r>
          </w:p>
        </w:tc>
      </w:tr>
      <w:tr w:rsidR="001C0DD9" w:rsidRPr="00432CC1"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432CC1" w:rsidRDefault="001C0DD9" w:rsidP="001C0DD9">
            <w:pPr>
              <w:rPr>
                <w:rFonts w:cs="Tahoma"/>
              </w:rPr>
            </w:pPr>
            <w:r w:rsidRPr="00432CC1">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432CC1" w:rsidRDefault="001C0DD9" w:rsidP="001C0DD9">
            <w:pPr>
              <w:rPr>
                <w:rFonts w:cs="Tahoma"/>
              </w:rPr>
            </w:pPr>
            <w:r w:rsidRPr="00432CC1">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432CC1" w:rsidRDefault="001C0DD9" w:rsidP="001C0DD9">
            <w:pPr>
              <w:jc w:val="center"/>
              <w:rPr>
                <w:rFonts w:cs="Tahoma"/>
                <w:b/>
              </w:rPr>
            </w:pPr>
            <w:r w:rsidRPr="00432CC1">
              <w:rPr>
                <w:rFonts w:cs="Tahoma"/>
                <w:b/>
              </w:rPr>
              <w:t>0.5</w:t>
            </w:r>
          </w:p>
        </w:tc>
      </w:tr>
      <w:tr w:rsidR="001C0DD9" w:rsidRPr="00432CC1"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432CC1" w:rsidRDefault="001C0DD9" w:rsidP="001C0DD9">
            <w:pPr>
              <w:rPr>
                <w:rFonts w:cs="Tahoma"/>
              </w:rPr>
            </w:pPr>
            <w:r w:rsidRPr="00432CC1">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432CC1" w:rsidRDefault="001C0DD9" w:rsidP="001C0DD9">
            <w:pPr>
              <w:rPr>
                <w:rFonts w:cs="Tahoma"/>
              </w:rPr>
            </w:pPr>
            <w:r w:rsidRPr="00432CC1">
              <w:rPr>
                <w:rFonts w:cs="Tahoma"/>
              </w:rPr>
              <w:t xml:space="preserve">API ROZHRANÍ SYSTÉMU </w:t>
            </w:r>
            <w:proofErr w:type="gramStart"/>
            <w:r w:rsidRPr="00432CC1">
              <w:rPr>
                <w:rFonts w:cs="Tahoma"/>
              </w:rPr>
              <w:t>DMA:  WS</w:t>
            </w:r>
            <w:proofErr w:type="gramEnd"/>
            <w:r w:rsidRPr="00432CC1">
              <w:rPr>
                <w:rFonts w:cs="Tahoma"/>
              </w:rPr>
              <w:t>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432CC1" w:rsidRDefault="001C0DD9" w:rsidP="001C0DD9">
            <w:pPr>
              <w:jc w:val="center"/>
              <w:rPr>
                <w:rFonts w:cs="Tahoma"/>
                <w:b/>
              </w:rPr>
            </w:pPr>
            <w:r w:rsidRPr="00432CC1">
              <w:rPr>
                <w:rFonts w:cs="Tahoma"/>
                <w:b/>
              </w:rPr>
              <w:t>4.3.3</w:t>
            </w:r>
          </w:p>
        </w:tc>
      </w:tr>
      <w:tr w:rsidR="001C0DD9" w:rsidRPr="00432CC1"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432CC1" w:rsidRDefault="001C0DD9" w:rsidP="001C0DD9">
            <w:pPr>
              <w:rPr>
                <w:rFonts w:cs="Tahoma"/>
              </w:rPr>
            </w:pPr>
            <w:r w:rsidRPr="00432CC1">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432CC1" w:rsidRDefault="001C0DD9" w:rsidP="001C0DD9">
            <w:pPr>
              <w:rPr>
                <w:rFonts w:cs="Tahoma"/>
              </w:rPr>
            </w:pPr>
            <w:r w:rsidRPr="00432CC1">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432CC1" w:rsidRDefault="001C0DD9" w:rsidP="001C0DD9">
            <w:pPr>
              <w:jc w:val="center"/>
              <w:rPr>
                <w:rFonts w:cs="Tahoma"/>
                <w:b/>
              </w:rPr>
            </w:pPr>
            <w:r w:rsidRPr="00432CC1">
              <w:rPr>
                <w:rFonts w:cs="Tahoma"/>
                <w:b/>
              </w:rPr>
              <w:t>1.13</w:t>
            </w:r>
          </w:p>
        </w:tc>
      </w:tr>
      <w:tr w:rsidR="001C0DD9" w:rsidRPr="00432CC1"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432CC1" w:rsidRDefault="001C0DD9" w:rsidP="001C0DD9">
            <w:pPr>
              <w:rPr>
                <w:rFonts w:cs="Tahoma"/>
              </w:rPr>
            </w:pPr>
            <w:r w:rsidRPr="00432CC1">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432CC1" w:rsidRDefault="001C0DD9" w:rsidP="001C0DD9">
            <w:pPr>
              <w:rPr>
                <w:rFonts w:cs="Tahoma"/>
              </w:rPr>
            </w:pPr>
            <w:r w:rsidRPr="00432CC1">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432CC1" w:rsidRDefault="001C0DD9" w:rsidP="001C0DD9">
            <w:pPr>
              <w:jc w:val="center"/>
              <w:rPr>
                <w:rFonts w:cs="Tahoma"/>
                <w:b/>
              </w:rPr>
            </w:pPr>
            <w:r w:rsidRPr="00432CC1">
              <w:rPr>
                <w:rFonts w:cs="Tahoma"/>
                <w:b/>
              </w:rPr>
              <w:t>0.6</w:t>
            </w:r>
          </w:p>
        </w:tc>
      </w:tr>
      <w:tr w:rsidR="001C0DD9" w:rsidRPr="00432CC1"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432CC1" w:rsidRDefault="001C0DD9" w:rsidP="001C0DD9">
            <w:pPr>
              <w:rPr>
                <w:rFonts w:cs="Tahoma"/>
              </w:rPr>
            </w:pPr>
            <w:r w:rsidRPr="00432CC1">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432CC1" w:rsidRDefault="001C0DD9" w:rsidP="001C0DD9">
            <w:pPr>
              <w:rPr>
                <w:rFonts w:cs="Tahoma"/>
              </w:rPr>
            </w:pPr>
            <w:r w:rsidRPr="00432CC1">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432CC1" w:rsidRDefault="001C0DD9" w:rsidP="001C0DD9">
            <w:pPr>
              <w:jc w:val="center"/>
              <w:rPr>
                <w:rFonts w:cs="Tahoma"/>
                <w:b/>
              </w:rPr>
            </w:pPr>
            <w:r w:rsidRPr="00432CC1">
              <w:rPr>
                <w:rFonts w:cs="Tahoma"/>
                <w:b/>
              </w:rPr>
              <w:t>2.0</w:t>
            </w:r>
          </w:p>
        </w:tc>
      </w:tr>
      <w:tr w:rsidR="001C0DD9" w:rsidRPr="00432CC1"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432CC1" w:rsidRDefault="001C0DD9" w:rsidP="001C0DD9">
            <w:pPr>
              <w:rPr>
                <w:rFonts w:cs="Tahoma"/>
              </w:rPr>
            </w:pPr>
            <w:r w:rsidRPr="00432CC1">
              <w:rPr>
                <w:rFonts w:cs="Tahoma"/>
              </w:rPr>
              <w:t xml:space="preserve">Standard Komunikace SD s </w:t>
            </w:r>
            <w:proofErr w:type="spellStart"/>
            <w:r w:rsidRPr="00432CC1">
              <w:rPr>
                <w:rFonts w:cs="Tahoma"/>
              </w:rPr>
              <w:t>exter</w:t>
            </w:r>
            <w:proofErr w:type="spellEnd"/>
            <w:r w:rsidRPr="00432CC1">
              <w:rPr>
                <w:rFonts w:cs="Tahoma"/>
              </w:rPr>
              <w:t xml:space="preserve"> </w:t>
            </w:r>
            <w:proofErr w:type="spellStart"/>
            <w:r w:rsidRPr="00432CC1">
              <w:rPr>
                <w:rFonts w:cs="Tahoma"/>
              </w:rPr>
              <w:t>firm</w:t>
            </w:r>
            <w:proofErr w:type="spellEnd"/>
            <w:r w:rsidRPr="00432CC1">
              <w:rPr>
                <w:rFonts w:cs="Tahoma"/>
              </w:rPr>
              <w:t xml:space="preserve">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432CC1" w:rsidRDefault="001C0DD9" w:rsidP="001C0DD9">
            <w:pPr>
              <w:rPr>
                <w:rFonts w:cs="Tahoma"/>
              </w:rPr>
            </w:pPr>
            <w:r w:rsidRPr="00432CC1">
              <w:rPr>
                <w:rFonts w:cs="Tahoma"/>
              </w:rPr>
              <w:t xml:space="preserve">Standard komunikace </w:t>
            </w:r>
            <w:proofErr w:type="spellStart"/>
            <w:r w:rsidRPr="00432CC1">
              <w:rPr>
                <w:rFonts w:cs="Tahoma"/>
              </w:rPr>
              <w:t>Servicedesku</w:t>
            </w:r>
            <w:proofErr w:type="spellEnd"/>
          </w:p>
          <w:p w14:paraId="4D9695EE" w14:textId="2C4BB6B7" w:rsidR="001C0DD9" w:rsidRPr="00432CC1" w:rsidRDefault="001C0DD9" w:rsidP="001C0DD9">
            <w:pPr>
              <w:rPr>
                <w:rFonts w:cs="Tahoma"/>
              </w:rPr>
            </w:pPr>
            <w:r w:rsidRPr="00432CC1">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432CC1" w:rsidRDefault="001C0DD9" w:rsidP="001C0DD9">
            <w:pPr>
              <w:jc w:val="center"/>
              <w:rPr>
                <w:rFonts w:cs="Tahoma"/>
                <w:b/>
              </w:rPr>
            </w:pPr>
            <w:r w:rsidRPr="00432CC1">
              <w:rPr>
                <w:rFonts w:cs="Tahoma"/>
                <w:b/>
              </w:rPr>
              <w:t>1.00</w:t>
            </w:r>
          </w:p>
        </w:tc>
      </w:tr>
      <w:tr w:rsidR="001C0DD9" w:rsidRPr="00432CC1"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432CC1" w:rsidRDefault="001C0DD9" w:rsidP="001C0DD9">
            <w:pPr>
              <w:jc w:val="both"/>
              <w:rPr>
                <w:rFonts w:cs="Tahoma"/>
              </w:rPr>
            </w:pPr>
            <w:proofErr w:type="spellStart"/>
            <w:r w:rsidRPr="00432CC1">
              <w:rPr>
                <w:rFonts w:cs="Tahoma"/>
              </w:rPr>
              <w:t>Std</w:t>
            </w:r>
            <w:proofErr w:type="spellEnd"/>
            <w:r w:rsidRPr="00432CC1">
              <w:rPr>
                <w:rFonts w:cs="Tahoma"/>
              </w:rPr>
              <w:t xml:space="preserve">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432CC1" w:rsidRDefault="001C0DD9" w:rsidP="001C0DD9">
            <w:pPr>
              <w:rPr>
                <w:rFonts w:cs="Tahoma"/>
              </w:rPr>
            </w:pPr>
            <w:r w:rsidRPr="00432CC1">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432CC1" w:rsidRDefault="001C0DD9" w:rsidP="001C0DD9">
            <w:pPr>
              <w:jc w:val="center"/>
              <w:rPr>
                <w:rFonts w:cs="Tahoma"/>
                <w:b/>
              </w:rPr>
            </w:pPr>
            <w:r w:rsidRPr="00432CC1">
              <w:rPr>
                <w:rFonts w:cs="Tahoma"/>
                <w:b/>
              </w:rPr>
              <w:t>4.00</w:t>
            </w:r>
          </w:p>
        </w:tc>
      </w:tr>
      <w:tr w:rsidR="001C0DD9" w:rsidRPr="00432CC1"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432CC1" w:rsidRDefault="001C0DD9" w:rsidP="001C0DD9">
            <w:pPr>
              <w:rPr>
                <w:rFonts w:cs="Tahoma"/>
              </w:rPr>
            </w:pPr>
            <w:proofErr w:type="spellStart"/>
            <w:r w:rsidRPr="00432CC1">
              <w:rPr>
                <w:rFonts w:cs="Tahoma"/>
              </w:rPr>
              <w:t>Std</w:t>
            </w:r>
            <w:proofErr w:type="spellEnd"/>
            <w:r w:rsidRPr="00432CC1">
              <w:rPr>
                <w:rFonts w:cs="Tahoma"/>
              </w:rPr>
              <w:t xml:space="preserve">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432CC1" w:rsidRDefault="001C0DD9" w:rsidP="001C0DD9">
            <w:pPr>
              <w:rPr>
                <w:rFonts w:cs="Tahoma"/>
              </w:rPr>
            </w:pPr>
            <w:r w:rsidRPr="00432CC1">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432CC1" w:rsidRDefault="001C0DD9" w:rsidP="001C0DD9">
            <w:pPr>
              <w:jc w:val="center"/>
              <w:rPr>
                <w:rFonts w:cs="Tahoma"/>
                <w:b/>
              </w:rPr>
            </w:pPr>
            <w:r w:rsidRPr="00432CC1">
              <w:rPr>
                <w:rFonts w:cs="Tahoma"/>
                <w:b/>
              </w:rPr>
              <w:t>0.01</w:t>
            </w:r>
          </w:p>
        </w:tc>
      </w:tr>
      <w:tr w:rsidR="001C0DD9" w:rsidRPr="00432CC1"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432CC1" w:rsidRDefault="001C0DD9" w:rsidP="001C0DD9">
            <w:pPr>
              <w:rPr>
                <w:rFonts w:cs="Tahoma"/>
              </w:rPr>
            </w:pPr>
            <w:r w:rsidRPr="00432CC1">
              <w:rPr>
                <w:rFonts w:cs="Tahoma"/>
              </w:rPr>
              <w:t xml:space="preserve">Standard požadavků na formu a obsah </w:t>
            </w:r>
            <w:proofErr w:type="gramStart"/>
            <w:r w:rsidRPr="00432CC1">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432CC1" w:rsidRDefault="001C0DD9" w:rsidP="001C0DD9">
            <w:pPr>
              <w:rPr>
                <w:rFonts w:cs="Tahoma"/>
              </w:rPr>
            </w:pPr>
            <w:r w:rsidRPr="00432CC1">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432CC1" w:rsidRDefault="001C0DD9" w:rsidP="001C0DD9">
            <w:pPr>
              <w:jc w:val="center"/>
              <w:rPr>
                <w:rFonts w:cs="Tahoma"/>
                <w:b/>
              </w:rPr>
            </w:pPr>
            <w:r w:rsidRPr="00432CC1">
              <w:rPr>
                <w:rFonts w:cs="Tahoma"/>
                <w:b/>
              </w:rPr>
              <w:t>1.10</w:t>
            </w:r>
          </w:p>
        </w:tc>
      </w:tr>
      <w:tr w:rsidR="001C0DD9" w:rsidRPr="00432CC1"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432CC1" w:rsidRDefault="001C0DD9" w:rsidP="001C0DD9">
            <w:pPr>
              <w:rPr>
                <w:rFonts w:cs="Tahoma"/>
              </w:rPr>
            </w:pPr>
            <w:r w:rsidRPr="00432CC1">
              <w:rPr>
                <w:rFonts w:cs="Tahoma"/>
              </w:rPr>
              <w:t xml:space="preserve">Standard pro uživatelské rozhraní klient web </w:t>
            </w:r>
            <w:proofErr w:type="spellStart"/>
            <w:r w:rsidRPr="00432CC1">
              <w:rPr>
                <w:rFonts w:cs="Tahoma"/>
              </w:rPr>
              <w:t>apl</w:t>
            </w:r>
            <w:proofErr w:type="spellEnd"/>
            <w:r w:rsidRPr="00432CC1">
              <w:rPr>
                <w:rFonts w:cs="Tahoma"/>
              </w:rPr>
              <w:t xml:space="preserve">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432CC1" w:rsidRDefault="001C0DD9" w:rsidP="001C0DD9">
            <w:pPr>
              <w:rPr>
                <w:rFonts w:cs="Tahoma"/>
              </w:rPr>
            </w:pPr>
            <w:r w:rsidRPr="00432CC1">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432CC1" w:rsidRDefault="001C0DD9" w:rsidP="001C0DD9">
            <w:pPr>
              <w:jc w:val="center"/>
              <w:rPr>
                <w:rFonts w:cs="Tahoma"/>
                <w:b/>
              </w:rPr>
            </w:pPr>
            <w:r w:rsidRPr="00432CC1">
              <w:rPr>
                <w:rFonts w:cs="Tahoma"/>
                <w:b/>
              </w:rPr>
              <w:t>1.10</w:t>
            </w:r>
          </w:p>
        </w:tc>
      </w:tr>
      <w:tr w:rsidR="001C0DD9" w:rsidRPr="00432CC1"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432CC1"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432CC1" w:rsidRDefault="001C0DD9" w:rsidP="001C0DD9">
            <w:pPr>
              <w:rPr>
                <w:rFonts w:cs="Tahoma"/>
              </w:rPr>
            </w:pPr>
            <w:r w:rsidRPr="00432CC1">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432CC1" w:rsidRDefault="001C0DD9" w:rsidP="001C0DD9">
            <w:pPr>
              <w:rPr>
                <w:rFonts w:cs="Tahoma"/>
              </w:rPr>
            </w:pPr>
            <w:r w:rsidRPr="00432CC1">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432CC1" w:rsidRDefault="001C0DD9" w:rsidP="001C0DD9">
            <w:pPr>
              <w:jc w:val="center"/>
              <w:rPr>
                <w:rFonts w:cs="Tahoma"/>
                <w:b/>
              </w:rPr>
            </w:pPr>
            <w:r w:rsidRPr="00432CC1">
              <w:rPr>
                <w:rFonts w:cs="Tahoma"/>
                <w:b/>
              </w:rPr>
              <w:t>1.00</w:t>
            </w:r>
          </w:p>
        </w:tc>
      </w:tr>
      <w:tr w:rsidR="001C0DD9" w:rsidRPr="00432CC1"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432CC1" w:rsidRDefault="001C0DD9" w:rsidP="001C0DD9">
            <w:pPr>
              <w:jc w:val="center"/>
              <w:rPr>
                <w:rFonts w:cs="Tahoma"/>
              </w:rPr>
            </w:pPr>
            <w:r w:rsidRPr="00432CC1">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432CC1" w:rsidRDefault="001C0DD9" w:rsidP="001C0DD9">
            <w:pPr>
              <w:rPr>
                <w:rFonts w:cs="Tahoma"/>
              </w:rPr>
            </w:pPr>
            <w:r w:rsidRPr="00432CC1">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432CC1" w:rsidRDefault="001C0DD9" w:rsidP="001C0DD9">
            <w:pPr>
              <w:rPr>
                <w:rFonts w:cs="Tahoma"/>
              </w:rPr>
            </w:pPr>
            <w:r w:rsidRPr="00432CC1">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432CC1" w:rsidRDefault="001C0DD9" w:rsidP="001C0DD9">
            <w:pPr>
              <w:jc w:val="center"/>
              <w:rPr>
                <w:rFonts w:cs="Tahoma"/>
                <w:b/>
              </w:rPr>
            </w:pPr>
            <w:r w:rsidRPr="00432CC1">
              <w:rPr>
                <w:rFonts w:cs="Tahoma"/>
                <w:b/>
              </w:rPr>
              <w:t>0.4</w:t>
            </w:r>
          </w:p>
        </w:tc>
      </w:tr>
      <w:tr w:rsidR="001C0DD9" w:rsidRPr="00432CC1"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432CC1" w:rsidRDefault="001C0DD9" w:rsidP="001C0DD9">
            <w:pPr>
              <w:jc w:val="center"/>
              <w:rPr>
                <w:rFonts w:cs="Tahoma"/>
              </w:rPr>
            </w:pPr>
            <w:r w:rsidRPr="00432CC1">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432CC1" w:rsidRDefault="001C0DD9" w:rsidP="001C0DD9">
            <w:pPr>
              <w:rPr>
                <w:rFonts w:cs="Tahoma"/>
              </w:rPr>
            </w:pPr>
            <w:r w:rsidRPr="00432CC1">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432CC1" w:rsidRDefault="001C0DD9" w:rsidP="001C0DD9">
            <w:pPr>
              <w:rPr>
                <w:rFonts w:cs="Tahoma"/>
              </w:rPr>
            </w:pPr>
            <w:r w:rsidRPr="00432CC1">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432CC1" w:rsidRDefault="001C0DD9" w:rsidP="001C0DD9">
            <w:pPr>
              <w:jc w:val="center"/>
              <w:rPr>
                <w:rFonts w:cs="Tahoma"/>
                <w:b/>
              </w:rPr>
            </w:pPr>
            <w:r w:rsidRPr="00432CC1">
              <w:rPr>
                <w:rFonts w:cs="Tahoma"/>
                <w:b/>
              </w:rPr>
              <w:t>0.2</w:t>
            </w:r>
          </w:p>
        </w:tc>
      </w:tr>
      <w:tr w:rsidR="001C0DD9" w:rsidRPr="00432CC1"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432CC1" w:rsidRDefault="001C0DD9" w:rsidP="001C0DD9">
            <w:pPr>
              <w:jc w:val="center"/>
              <w:rPr>
                <w:rFonts w:cs="Tahoma"/>
              </w:rPr>
            </w:pPr>
            <w:r w:rsidRPr="00432CC1">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432CC1" w:rsidRDefault="001C0DD9" w:rsidP="001C0DD9">
            <w:pPr>
              <w:rPr>
                <w:rFonts w:cs="Tahoma"/>
              </w:rPr>
            </w:pPr>
            <w:r w:rsidRPr="00432CC1">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432CC1" w:rsidRDefault="001C0DD9" w:rsidP="001C0DD9">
            <w:pPr>
              <w:rPr>
                <w:rFonts w:cs="Tahoma"/>
              </w:rPr>
            </w:pPr>
            <w:r w:rsidRPr="00432CC1">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432CC1" w:rsidRDefault="001C0DD9" w:rsidP="001C0DD9">
            <w:pPr>
              <w:jc w:val="center"/>
              <w:rPr>
                <w:rFonts w:cs="Tahoma"/>
                <w:b/>
              </w:rPr>
            </w:pPr>
            <w:r w:rsidRPr="00432CC1">
              <w:rPr>
                <w:rFonts w:cs="Tahoma"/>
                <w:b/>
              </w:rPr>
              <w:t>0.4</w:t>
            </w:r>
          </w:p>
        </w:tc>
      </w:tr>
      <w:tr w:rsidR="001C0DD9" w:rsidRPr="00432CC1"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432CC1" w:rsidRDefault="001C0DD9" w:rsidP="001C0DD9">
            <w:pPr>
              <w:jc w:val="center"/>
              <w:rPr>
                <w:rFonts w:cs="Tahoma"/>
              </w:rPr>
            </w:pPr>
            <w:r w:rsidRPr="00432CC1">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432CC1" w:rsidRDefault="001C0DD9" w:rsidP="001C0DD9">
            <w:pPr>
              <w:rPr>
                <w:rFonts w:cs="Tahoma"/>
              </w:rPr>
            </w:pPr>
            <w:r w:rsidRPr="00432CC1">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432CC1" w:rsidRDefault="001C0DD9" w:rsidP="001C0DD9">
            <w:pPr>
              <w:rPr>
                <w:rFonts w:cs="Tahoma"/>
              </w:rPr>
            </w:pPr>
            <w:r w:rsidRPr="00432CC1">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432CC1" w:rsidRDefault="001C0DD9" w:rsidP="001C0DD9">
            <w:pPr>
              <w:jc w:val="center"/>
              <w:rPr>
                <w:rFonts w:cs="Tahoma"/>
                <w:b/>
              </w:rPr>
            </w:pPr>
            <w:r w:rsidRPr="00432CC1">
              <w:rPr>
                <w:rFonts w:cs="Tahoma"/>
                <w:b/>
              </w:rPr>
              <w:t>0.5</w:t>
            </w:r>
          </w:p>
        </w:tc>
      </w:tr>
    </w:tbl>
    <w:p w14:paraId="156B16C2" w14:textId="77777777" w:rsidR="00D0181B" w:rsidRPr="00432CC1" w:rsidRDefault="00D0181B">
      <w:pPr>
        <w:rPr>
          <w:rFonts w:cs="Tahoma"/>
        </w:rPr>
      </w:pPr>
    </w:p>
    <w:sectPr w:rsidR="00D0181B" w:rsidRPr="00432CC1">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0E42" w14:textId="77777777" w:rsidR="0062555F" w:rsidRDefault="0062555F">
      <w:r>
        <w:separator/>
      </w:r>
    </w:p>
  </w:endnote>
  <w:endnote w:type="continuationSeparator" w:id="0">
    <w:p w14:paraId="729B0AE9" w14:textId="77777777" w:rsidR="0062555F" w:rsidRDefault="0062555F">
      <w:r>
        <w:continuationSeparator/>
      </w:r>
    </w:p>
  </w:endnote>
  <w:endnote w:type="continuationNotice" w:id="1">
    <w:p w14:paraId="7E886882" w14:textId="77777777" w:rsidR="0062555F" w:rsidRDefault="00625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B80C" w14:textId="77777777" w:rsidR="0062555F" w:rsidRDefault="0062555F">
      <w:r>
        <w:separator/>
      </w:r>
    </w:p>
  </w:footnote>
  <w:footnote w:type="continuationSeparator" w:id="0">
    <w:p w14:paraId="5987B28F" w14:textId="77777777" w:rsidR="0062555F" w:rsidRDefault="0062555F">
      <w:r>
        <w:continuationSeparator/>
      </w:r>
    </w:p>
  </w:footnote>
  <w:footnote w:type="continuationNotice" w:id="1">
    <w:p w14:paraId="54C48810" w14:textId="77777777" w:rsidR="0062555F" w:rsidRDefault="00625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63A6F5E1"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F5B32"/>
    <w:multiLevelType w:val="hybridMultilevel"/>
    <w:tmpl w:val="B4688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5B2FC8"/>
    <w:multiLevelType w:val="hybridMultilevel"/>
    <w:tmpl w:val="6ED0B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510033"/>
    <w:multiLevelType w:val="hybridMultilevel"/>
    <w:tmpl w:val="9D566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0144396">
    <w:abstractNumId w:val="5"/>
  </w:num>
  <w:num w:numId="2" w16cid:durableId="1065684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11"/>
  </w:num>
  <w:num w:numId="5" w16cid:durableId="467741809">
    <w:abstractNumId w:val="12"/>
  </w:num>
  <w:num w:numId="6" w16cid:durableId="197283601">
    <w:abstractNumId w:val="3"/>
  </w:num>
  <w:num w:numId="7" w16cid:durableId="1101951521">
    <w:abstractNumId w:val="15"/>
  </w:num>
  <w:num w:numId="8" w16cid:durableId="1313214248">
    <w:abstractNumId w:val="4"/>
  </w:num>
  <w:num w:numId="9" w16cid:durableId="527841066">
    <w:abstractNumId w:val="0"/>
  </w:num>
  <w:num w:numId="10" w16cid:durableId="2083062855">
    <w:abstractNumId w:val="10"/>
  </w:num>
  <w:num w:numId="11" w16cid:durableId="1749032847">
    <w:abstractNumId w:val="16"/>
  </w:num>
  <w:num w:numId="12" w16cid:durableId="708796695">
    <w:abstractNumId w:val="13"/>
  </w:num>
  <w:num w:numId="13" w16cid:durableId="1778669385">
    <w:abstractNumId w:val="8"/>
  </w:num>
  <w:num w:numId="14" w16cid:durableId="7996345">
    <w:abstractNumId w:val="1"/>
  </w:num>
  <w:num w:numId="15" w16cid:durableId="605843666">
    <w:abstractNumId w:val="14"/>
  </w:num>
  <w:num w:numId="16" w16cid:durableId="567151658">
    <w:abstractNumId w:val="9"/>
  </w:num>
  <w:num w:numId="17" w16cid:durableId="14036515">
    <w:abstractNumId w:val="6"/>
  </w:num>
  <w:num w:numId="18" w16cid:durableId="621771508">
    <w:abstractNumId w:val="7"/>
  </w:num>
  <w:num w:numId="19" w16cid:durableId="1167089406">
    <w:abstractNumId w:val="2"/>
  </w:num>
  <w:num w:numId="20" w16cid:durableId="479806324">
    <w:abstractNumId w:val="5"/>
  </w:num>
  <w:num w:numId="21" w16cid:durableId="81148066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16E70"/>
    <w:rsid w:val="00030774"/>
    <w:rsid w:val="000331C7"/>
    <w:rsid w:val="00033248"/>
    <w:rsid w:val="00041304"/>
    <w:rsid w:val="00042C63"/>
    <w:rsid w:val="000459A1"/>
    <w:rsid w:val="00047F7D"/>
    <w:rsid w:val="000552F6"/>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5C2E"/>
    <w:rsid w:val="000B32DA"/>
    <w:rsid w:val="000B6F52"/>
    <w:rsid w:val="000C3A91"/>
    <w:rsid w:val="000D36F9"/>
    <w:rsid w:val="000D6B1B"/>
    <w:rsid w:val="000E5028"/>
    <w:rsid w:val="000F607E"/>
    <w:rsid w:val="000F6C77"/>
    <w:rsid w:val="000F6EAA"/>
    <w:rsid w:val="0010132F"/>
    <w:rsid w:val="00104562"/>
    <w:rsid w:val="00105F41"/>
    <w:rsid w:val="001148F4"/>
    <w:rsid w:val="00122452"/>
    <w:rsid w:val="00122898"/>
    <w:rsid w:val="0012505A"/>
    <w:rsid w:val="00125099"/>
    <w:rsid w:val="001309B2"/>
    <w:rsid w:val="00130FF9"/>
    <w:rsid w:val="00131386"/>
    <w:rsid w:val="00131ABB"/>
    <w:rsid w:val="00131C2D"/>
    <w:rsid w:val="00132190"/>
    <w:rsid w:val="00136005"/>
    <w:rsid w:val="00141F15"/>
    <w:rsid w:val="00143729"/>
    <w:rsid w:val="00146209"/>
    <w:rsid w:val="001543E7"/>
    <w:rsid w:val="0016460D"/>
    <w:rsid w:val="001742F5"/>
    <w:rsid w:val="0017576A"/>
    <w:rsid w:val="00176D41"/>
    <w:rsid w:val="00180DD6"/>
    <w:rsid w:val="00181DC1"/>
    <w:rsid w:val="00183467"/>
    <w:rsid w:val="00184F06"/>
    <w:rsid w:val="00193709"/>
    <w:rsid w:val="001963D2"/>
    <w:rsid w:val="001973E6"/>
    <w:rsid w:val="001A34A7"/>
    <w:rsid w:val="001A34E6"/>
    <w:rsid w:val="001A4B2C"/>
    <w:rsid w:val="001A5846"/>
    <w:rsid w:val="001B06CD"/>
    <w:rsid w:val="001B136A"/>
    <w:rsid w:val="001B17A5"/>
    <w:rsid w:val="001B2AEB"/>
    <w:rsid w:val="001B3CB6"/>
    <w:rsid w:val="001B3F3A"/>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EF2"/>
    <w:rsid w:val="0026041F"/>
    <w:rsid w:val="00261300"/>
    <w:rsid w:val="00262085"/>
    <w:rsid w:val="0026662C"/>
    <w:rsid w:val="00266878"/>
    <w:rsid w:val="00273AF6"/>
    <w:rsid w:val="0028031B"/>
    <w:rsid w:val="00284F18"/>
    <w:rsid w:val="00290636"/>
    <w:rsid w:val="002A1FC4"/>
    <w:rsid w:val="002A2F56"/>
    <w:rsid w:val="002A6325"/>
    <w:rsid w:val="002B4566"/>
    <w:rsid w:val="002C0073"/>
    <w:rsid w:val="002C23F4"/>
    <w:rsid w:val="002C3A97"/>
    <w:rsid w:val="002C6E09"/>
    <w:rsid w:val="002D3908"/>
    <w:rsid w:val="002D61A3"/>
    <w:rsid w:val="002E362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502A8"/>
    <w:rsid w:val="00354396"/>
    <w:rsid w:val="00354F0B"/>
    <w:rsid w:val="00356452"/>
    <w:rsid w:val="003605D8"/>
    <w:rsid w:val="003618FD"/>
    <w:rsid w:val="00364570"/>
    <w:rsid w:val="003718B8"/>
    <w:rsid w:val="00372F57"/>
    <w:rsid w:val="00374D0C"/>
    <w:rsid w:val="003818DF"/>
    <w:rsid w:val="0038219D"/>
    <w:rsid w:val="003857C9"/>
    <w:rsid w:val="00393BE6"/>
    <w:rsid w:val="003958E9"/>
    <w:rsid w:val="00396FC2"/>
    <w:rsid w:val="003A17B1"/>
    <w:rsid w:val="003A36A2"/>
    <w:rsid w:val="003B2DB0"/>
    <w:rsid w:val="003B57B6"/>
    <w:rsid w:val="003C0774"/>
    <w:rsid w:val="003C13E1"/>
    <w:rsid w:val="003C32EE"/>
    <w:rsid w:val="003C37D8"/>
    <w:rsid w:val="003C6956"/>
    <w:rsid w:val="003D0090"/>
    <w:rsid w:val="003D43C8"/>
    <w:rsid w:val="003D602B"/>
    <w:rsid w:val="003E019F"/>
    <w:rsid w:val="003E23A2"/>
    <w:rsid w:val="003F2B41"/>
    <w:rsid w:val="003F551D"/>
    <w:rsid w:val="003F68D3"/>
    <w:rsid w:val="00405458"/>
    <w:rsid w:val="00410E12"/>
    <w:rsid w:val="0042478B"/>
    <w:rsid w:val="00430F22"/>
    <w:rsid w:val="00432A1A"/>
    <w:rsid w:val="00432CC1"/>
    <w:rsid w:val="004353EA"/>
    <w:rsid w:val="0044406A"/>
    <w:rsid w:val="00444DD2"/>
    <w:rsid w:val="0046143A"/>
    <w:rsid w:val="0047082F"/>
    <w:rsid w:val="004724B8"/>
    <w:rsid w:val="00473677"/>
    <w:rsid w:val="00482588"/>
    <w:rsid w:val="00482F0C"/>
    <w:rsid w:val="00485951"/>
    <w:rsid w:val="00492E0B"/>
    <w:rsid w:val="004A3AB1"/>
    <w:rsid w:val="004A4062"/>
    <w:rsid w:val="004A4EBB"/>
    <w:rsid w:val="004B2BD2"/>
    <w:rsid w:val="004B4BF4"/>
    <w:rsid w:val="004B7ED7"/>
    <w:rsid w:val="004C245D"/>
    <w:rsid w:val="004C2EC7"/>
    <w:rsid w:val="004C3760"/>
    <w:rsid w:val="004C5673"/>
    <w:rsid w:val="004C6AD2"/>
    <w:rsid w:val="004D1953"/>
    <w:rsid w:val="004D511A"/>
    <w:rsid w:val="00500188"/>
    <w:rsid w:val="005070AC"/>
    <w:rsid w:val="005075C1"/>
    <w:rsid w:val="00511392"/>
    <w:rsid w:val="00513D9F"/>
    <w:rsid w:val="00520418"/>
    <w:rsid w:val="00520476"/>
    <w:rsid w:val="00525111"/>
    <w:rsid w:val="00525ECB"/>
    <w:rsid w:val="005260EB"/>
    <w:rsid w:val="00526353"/>
    <w:rsid w:val="0052734F"/>
    <w:rsid w:val="005278F2"/>
    <w:rsid w:val="005306A7"/>
    <w:rsid w:val="005326E8"/>
    <w:rsid w:val="005348A1"/>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B109C"/>
    <w:rsid w:val="005C4327"/>
    <w:rsid w:val="005D08AB"/>
    <w:rsid w:val="005D2489"/>
    <w:rsid w:val="005D7489"/>
    <w:rsid w:val="005E0105"/>
    <w:rsid w:val="005E2DEB"/>
    <w:rsid w:val="005E5E5F"/>
    <w:rsid w:val="005E69C4"/>
    <w:rsid w:val="005F13BF"/>
    <w:rsid w:val="005F2896"/>
    <w:rsid w:val="005F6619"/>
    <w:rsid w:val="005F6E9E"/>
    <w:rsid w:val="006017E7"/>
    <w:rsid w:val="00602FD9"/>
    <w:rsid w:val="0060364F"/>
    <w:rsid w:val="00604194"/>
    <w:rsid w:val="00605D9C"/>
    <w:rsid w:val="006177B8"/>
    <w:rsid w:val="00622144"/>
    <w:rsid w:val="0062464A"/>
    <w:rsid w:val="00624DCF"/>
    <w:rsid w:val="0062555F"/>
    <w:rsid w:val="00630B0F"/>
    <w:rsid w:val="00631107"/>
    <w:rsid w:val="00631866"/>
    <w:rsid w:val="00631AF1"/>
    <w:rsid w:val="006322D1"/>
    <w:rsid w:val="00633160"/>
    <w:rsid w:val="006374E2"/>
    <w:rsid w:val="00641608"/>
    <w:rsid w:val="0064364F"/>
    <w:rsid w:val="00645EE6"/>
    <w:rsid w:val="0064772D"/>
    <w:rsid w:val="00650548"/>
    <w:rsid w:val="00653719"/>
    <w:rsid w:val="00653A6B"/>
    <w:rsid w:val="00664EB5"/>
    <w:rsid w:val="00665082"/>
    <w:rsid w:val="00676D02"/>
    <w:rsid w:val="00681F5D"/>
    <w:rsid w:val="006834B1"/>
    <w:rsid w:val="00684608"/>
    <w:rsid w:val="00686EFA"/>
    <w:rsid w:val="006955E7"/>
    <w:rsid w:val="00695D05"/>
    <w:rsid w:val="006A1A9F"/>
    <w:rsid w:val="006B7631"/>
    <w:rsid w:val="006C212A"/>
    <w:rsid w:val="006C23AA"/>
    <w:rsid w:val="006C2FC0"/>
    <w:rsid w:val="006D0479"/>
    <w:rsid w:val="006D7157"/>
    <w:rsid w:val="006E17DD"/>
    <w:rsid w:val="006E21E1"/>
    <w:rsid w:val="006E3FA7"/>
    <w:rsid w:val="006E5CE7"/>
    <w:rsid w:val="006E6D6A"/>
    <w:rsid w:val="006F2707"/>
    <w:rsid w:val="006F32A6"/>
    <w:rsid w:val="006F5A81"/>
    <w:rsid w:val="007023B3"/>
    <w:rsid w:val="007116DC"/>
    <w:rsid w:val="00711818"/>
    <w:rsid w:val="00712CCC"/>
    <w:rsid w:val="00715CF3"/>
    <w:rsid w:val="00720204"/>
    <w:rsid w:val="00721C60"/>
    <w:rsid w:val="007232D6"/>
    <w:rsid w:val="00733802"/>
    <w:rsid w:val="00736262"/>
    <w:rsid w:val="007375D5"/>
    <w:rsid w:val="007410CF"/>
    <w:rsid w:val="00750CC3"/>
    <w:rsid w:val="00751DEE"/>
    <w:rsid w:val="00753DF8"/>
    <w:rsid w:val="0075682E"/>
    <w:rsid w:val="007572D8"/>
    <w:rsid w:val="007600DD"/>
    <w:rsid w:val="0077356E"/>
    <w:rsid w:val="00773963"/>
    <w:rsid w:val="00775063"/>
    <w:rsid w:val="007809CD"/>
    <w:rsid w:val="0078384B"/>
    <w:rsid w:val="0078475B"/>
    <w:rsid w:val="007879E8"/>
    <w:rsid w:val="00787AD1"/>
    <w:rsid w:val="00792BE5"/>
    <w:rsid w:val="00794DDC"/>
    <w:rsid w:val="007A0478"/>
    <w:rsid w:val="007A3F5F"/>
    <w:rsid w:val="007A5DD2"/>
    <w:rsid w:val="007A6853"/>
    <w:rsid w:val="007B0455"/>
    <w:rsid w:val="007B140E"/>
    <w:rsid w:val="007B279D"/>
    <w:rsid w:val="007B7B2A"/>
    <w:rsid w:val="007C216A"/>
    <w:rsid w:val="007C2A31"/>
    <w:rsid w:val="007D3E89"/>
    <w:rsid w:val="007E09F0"/>
    <w:rsid w:val="007F373D"/>
    <w:rsid w:val="007F45D5"/>
    <w:rsid w:val="007F5DCE"/>
    <w:rsid w:val="007F7113"/>
    <w:rsid w:val="00804B38"/>
    <w:rsid w:val="00813178"/>
    <w:rsid w:val="00815DA3"/>
    <w:rsid w:val="00820AA1"/>
    <w:rsid w:val="00826D1E"/>
    <w:rsid w:val="00834995"/>
    <w:rsid w:val="008368C1"/>
    <w:rsid w:val="00841404"/>
    <w:rsid w:val="008445DA"/>
    <w:rsid w:val="00844DC0"/>
    <w:rsid w:val="00844FB6"/>
    <w:rsid w:val="0084534F"/>
    <w:rsid w:val="00850C7A"/>
    <w:rsid w:val="008571DF"/>
    <w:rsid w:val="00857AEE"/>
    <w:rsid w:val="00863110"/>
    <w:rsid w:val="0087169E"/>
    <w:rsid w:val="0087443D"/>
    <w:rsid w:val="00882A72"/>
    <w:rsid w:val="008833A8"/>
    <w:rsid w:val="0088354F"/>
    <w:rsid w:val="00887693"/>
    <w:rsid w:val="0088789A"/>
    <w:rsid w:val="00896970"/>
    <w:rsid w:val="0089720B"/>
    <w:rsid w:val="008A33F0"/>
    <w:rsid w:val="008A5618"/>
    <w:rsid w:val="008B014D"/>
    <w:rsid w:val="008B1CD6"/>
    <w:rsid w:val="008B58A1"/>
    <w:rsid w:val="008B795B"/>
    <w:rsid w:val="008C0DE8"/>
    <w:rsid w:val="008C2380"/>
    <w:rsid w:val="008D1B4B"/>
    <w:rsid w:val="008D1D8B"/>
    <w:rsid w:val="008D2AE2"/>
    <w:rsid w:val="008D2C61"/>
    <w:rsid w:val="008D4D1F"/>
    <w:rsid w:val="008E3A3D"/>
    <w:rsid w:val="008F4E37"/>
    <w:rsid w:val="00905986"/>
    <w:rsid w:val="0091003C"/>
    <w:rsid w:val="00912DC6"/>
    <w:rsid w:val="0091326C"/>
    <w:rsid w:val="009163E6"/>
    <w:rsid w:val="009166FE"/>
    <w:rsid w:val="00917ED3"/>
    <w:rsid w:val="00924383"/>
    <w:rsid w:val="009251A4"/>
    <w:rsid w:val="00926A5A"/>
    <w:rsid w:val="00930664"/>
    <w:rsid w:val="0093099F"/>
    <w:rsid w:val="0093756E"/>
    <w:rsid w:val="00940FE9"/>
    <w:rsid w:val="009440B6"/>
    <w:rsid w:val="00946F5D"/>
    <w:rsid w:val="00954449"/>
    <w:rsid w:val="00964428"/>
    <w:rsid w:val="009734D6"/>
    <w:rsid w:val="00981E71"/>
    <w:rsid w:val="009820C8"/>
    <w:rsid w:val="00982287"/>
    <w:rsid w:val="0098426B"/>
    <w:rsid w:val="0098525D"/>
    <w:rsid w:val="0099058D"/>
    <w:rsid w:val="009916BD"/>
    <w:rsid w:val="00991726"/>
    <w:rsid w:val="00991B1C"/>
    <w:rsid w:val="0099721F"/>
    <w:rsid w:val="00997243"/>
    <w:rsid w:val="009A3ED4"/>
    <w:rsid w:val="009A4121"/>
    <w:rsid w:val="009B3D63"/>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7715"/>
    <w:rsid w:val="00A30094"/>
    <w:rsid w:val="00A30271"/>
    <w:rsid w:val="00A31849"/>
    <w:rsid w:val="00A42249"/>
    <w:rsid w:val="00A43BCF"/>
    <w:rsid w:val="00A47229"/>
    <w:rsid w:val="00A5075E"/>
    <w:rsid w:val="00A50C3B"/>
    <w:rsid w:val="00A52DF6"/>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5A0E"/>
    <w:rsid w:val="00AB6B39"/>
    <w:rsid w:val="00AB7577"/>
    <w:rsid w:val="00AC0C86"/>
    <w:rsid w:val="00AC1750"/>
    <w:rsid w:val="00AC5387"/>
    <w:rsid w:val="00AC53F6"/>
    <w:rsid w:val="00AC5ECC"/>
    <w:rsid w:val="00AD692F"/>
    <w:rsid w:val="00AE0579"/>
    <w:rsid w:val="00AE3100"/>
    <w:rsid w:val="00AE52B3"/>
    <w:rsid w:val="00AF5240"/>
    <w:rsid w:val="00AF61DB"/>
    <w:rsid w:val="00B010FA"/>
    <w:rsid w:val="00B05F3A"/>
    <w:rsid w:val="00B20FCE"/>
    <w:rsid w:val="00B3116D"/>
    <w:rsid w:val="00B31BBA"/>
    <w:rsid w:val="00B3691F"/>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402"/>
    <w:rsid w:val="00B66E30"/>
    <w:rsid w:val="00B95F36"/>
    <w:rsid w:val="00BA3631"/>
    <w:rsid w:val="00BA5971"/>
    <w:rsid w:val="00BB30AE"/>
    <w:rsid w:val="00BB6B15"/>
    <w:rsid w:val="00BC33D6"/>
    <w:rsid w:val="00BC34CD"/>
    <w:rsid w:val="00BC462A"/>
    <w:rsid w:val="00BC4B17"/>
    <w:rsid w:val="00BC5552"/>
    <w:rsid w:val="00BC7655"/>
    <w:rsid w:val="00BD2E65"/>
    <w:rsid w:val="00BD6E00"/>
    <w:rsid w:val="00BD7552"/>
    <w:rsid w:val="00BE5CB8"/>
    <w:rsid w:val="00BF0FD8"/>
    <w:rsid w:val="00BF5A39"/>
    <w:rsid w:val="00BF6318"/>
    <w:rsid w:val="00C01B18"/>
    <w:rsid w:val="00C07CE5"/>
    <w:rsid w:val="00C07CEA"/>
    <w:rsid w:val="00C159B5"/>
    <w:rsid w:val="00C17FD1"/>
    <w:rsid w:val="00C20617"/>
    <w:rsid w:val="00C2082F"/>
    <w:rsid w:val="00C261B9"/>
    <w:rsid w:val="00C3370E"/>
    <w:rsid w:val="00C4165E"/>
    <w:rsid w:val="00C41CE0"/>
    <w:rsid w:val="00C450C4"/>
    <w:rsid w:val="00C60E2E"/>
    <w:rsid w:val="00C614C7"/>
    <w:rsid w:val="00C61E91"/>
    <w:rsid w:val="00C64999"/>
    <w:rsid w:val="00C669F2"/>
    <w:rsid w:val="00C7020B"/>
    <w:rsid w:val="00C7399F"/>
    <w:rsid w:val="00C7427F"/>
    <w:rsid w:val="00C85C7F"/>
    <w:rsid w:val="00C86CB5"/>
    <w:rsid w:val="00C90470"/>
    <w:rsid w:val="00C914F8"/>
    <w:rsid w:val="00C92495"/>
    <w:rsid w:val="00C93049"/>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1386"/>
    <w:rsid w:val="00CD751F"/>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543D4"/>
    <w:rsid w:val="00D667C4"/>
    <w:rsid w:val="00D7464A"/>
    <w:rsid w:val="00D750B3"/>
    <w:rsid w:val="00D76E10"/>
    <w:rsid w:val="00D921E7"/>
    <w:rsid w:val="00D93284"/>
    <w:rsid w:val="00D94BB1"/>
    <w:rsid w:val="00D94E34"/>
    <w:rsid w:val="00D95AB3"/>
    <w:rsid w:val="00D95C67"/>
    <w:rsid w:val="00DA321B"/>
    <w:rsid w:val="00DA3BE6"/>
    <w:rsid w:val="00DA7ED7"/>
    <w:rsid w:val="00DB0AC6"/>
    <w:rsid w:val="00DB1137"/>
    <w:rsid w:val="00DB2170"/>
    <w:rsid w:val="00DB2B00"/>
    <w:rsid w:val="00DB2EFB"/>
    <w:rsid w:val="00DB5630"/>
    <w:rsid w:val="00DB65E6"/>
    <w:rsid w:val="00DC6E56"/>
    <w:rsid w:val="00DC6ECE"/>
    <w:rsid w:val="00DC7816"/>
    <w:rsid w:val="00DD277A"/>
    <w:rsid w:val="00DD30C1"/>
    <w:rsid w:val="00DD3DC5"/>
    <w:rsid w:val="00DD6354"/>
    <w:rsid w:val="00DD6C6C"/>
    <w:rsid w:val="00DE1303"/>
    <w:rsid w:val="00DE2B33"/>
    <w:rsid w:val="00DF2C4D"/>
    <w:rsid w:val="00DF42F9"/>
    <w:rsid w:val="00DF606F"/>
    <w:rsid w:val="00DF6FF9"/>
    <w:rsid w:val="00E025ED"/>
    <w:rsid w:val="00E047E1"/>
    <w:rsid w:val="00E05545"/>
    <w:rsid w:val="00E1165C"/>
    <w:rsid w:val="00E146AC"/>
    <w:rsid w:val="00E15CCC"/>
    <w:rsid w:val="00E17D7D"/>
    <w:rsid w:val="00E211E8"/>
    <w:rsid w:val="00E255AD"/>
    <w:rsid w:val="00E30C1D"/>
    <w:rsid w:val="00E35501"/>
    <w:rsid w:val="00E43D55"/>
    <w:rsid w:val="00E477C9"/>
    <w:rsid w:val="00E507AC"/>
    <w:rsid w:val="00E54E77"/>
    <w:rsid w:val="00E551C6"/>
    <w:rsid w:val="00E575C4"/>
    <w:rsid w:val="00E60816"/>
    <w:rsid w:val="00E6207D"/>
    <w:rsid w:val="00E64F50"/>
    <w:rsid w:val="00E67CE8"/>
    <w:rsid w:val="00E70DC5"/>
    <w:rsid w:val="00E70FA3"/>
    <w:rsid w:val="00E7151F"/>
    <w:rsid w:val="00E725DE"/>
    <w:rsid w:val="00E727CD"/>
    <w:rsid w:val="00E73924"/>
    <w:rsid w:val="00E7402B"/>
    <w:rsid w:val="00E75190"/>
    <w:rsid w:val="00E75F3D"/>
    <w:rsid w:val="00E762F8"/>
    <w:rsid w:val="00E76F8E"/>
    <w:rsid w:val="00E77686"/>
    <w:rsid w:val="00E8279E"/>
    <w:rsid w:val="00E830FA"/>
    <w:rsid w:val="00E84642"/>
    <w:rsid w:val="00E85585"/>
    <w:rsid w:val="00E91CE6"/>
    <w:rsid w:val="00E94F85"/>
    <w:rsid w:val="00E96E31"/>
    <w:rsid w:val="00EA4924"/>
    <w:rsid w:val="00EB032C"/>
    <w:rsid w:val="00EB300C"/>
    <w:rsid w:val="00EB30E6"/>
    <w:rsid w:val="00EB414C"/>
    <w:rsid w:val="00EB4FCA"/>
    <w:rsid w:val="00EB5700"/>
    <w:rsid w:val="00EB715E"/>
    <w:rsid w:val="00EC2933"/>
    <w:rsid w:val="00EC2D8C"/>
    <w:rsid w:val="00EC5FFB"/>
    <w:rsid w:val="00ED19F1"/>
    <w:rsid w:val="00ED2F08"/>
    <w:rsid w:val="00ED5FC0"/>
    <w:rsid w:val="00ED6F59"/>
    <w:rsid w:val="00EE1093"/>
    <w:rsid w:val="00EE1807"/>
    <w:rsid w:val="00EE2E57"/>
    <w:rsid w:val="00EE2F7B"/>
    <w:rsid w:val="00EE77C0"/>
    <w:rsid w:val="00EF2B58"/>
    <w:rsid w:val="00EF3A87"/>
    <w:rsid w:val="00EF684C"/>
    <w:rsid w:val="00F05B38"/>
    <w:rsid w:val="00F12008"/>
    <w:rsid w:val="00F22583"/>
    <w:rsid w:val="00F225FD"/>
    <w:rsid w:val="00F22AD0"/>
    <w:rsid w:val="00F23A5E"/>
    <w:rsid w:val="00F24821"/>
    <w:rsid w:val="00F255B4"/>
    <w:rsid w:val="00F273CB"/>
    <w:rsid w:val="00F305AD"/>
    <w:rsid w:val="00F31778"/>
    <w:rsid w:val="00F328F3"/>
    <w:rsid w:val="00F4118D"/>
    <w:rsid w:val="00F438C7"/>
    <w:rsid w:val="00F45154"/>
    <w:rsid w:val="00F45252"/>
    <w:rsid w:val="00F45508"/>
    <w:rsid w:val="00F45E90"/>
    <w:rsid w:val="00F46C3C"/>
    <w:rsid w:val="00F50D5A"/>
    <w:rsid w:val="00F55E83"/>
    <w:rsid w:val="00F606EB"/>
    <w:rsid w:val="00F63F99"/>
    <w:rsid w:val="00F660B3"/>
    <w:rsid w:val="00F705DF"/>
    <w:rsid w:val="00F74AD9"/>
    <w:rsid w:val="00F774BD"/>
    <w:rsid w:val="00F81D70"/>
    <w:rsid w:val="00F845D1"/>
    <w:rsid w:val="00F84A37"/>
    <w:rsid w:val="00F8567C"/>
    <w:rsid w:val="00F86AB7"/>
    <w:rsid w:val="00F90100"/>
    <w:rsid w:val="00F95995"/>
    <w:rsid w:val="00FA0C20"/>
    <w:rsid w:val="00FA301C"/>
    <w:rsid w:val="00FA4169"/>
    <w:rsid w:val="00FB28EF"/>
    <w:rsid w:val="00FB2CEF"/>
    <w:rsid w:val="00FC1C56"/>
    <w:rsid w:val="00FC36AD"/>
    <w:rsid w:val="00FC5D0E"/>
    <w:rsid w:val="00FC6ABA"/>
    <w:rsid w:val="00FD02CE"/>
    <w:rsid w:val="00FE555E"/>
    <w:rsid w:val="00FE5B1B"/>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3.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4.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2877</Words>
  <Characters>16975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4</cp:revision>
  <cp:lastPrinted>2023-06-08T08:28:00Z</cp:lastPrinted>
  <dcterms:created xsi:type="dcterms:W3CDTF">2025-12-18T11:20:00Z</dcterms:created>
  <dcterms:modified xsi:type="dcterms:W3CDTF">2026-01-09T07:39:00Z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