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6015" w14:textId="77777777" w:rsidR="00261AAA" w:rsidRPr="00635F53" w:rsidRDefault="00261AAA" w:rsidP="00261AAA">
      <w:pPr>
        <w:pStyle w:val="Nadpis1"/>
        <w:spacing w:after="240"/>
        <w:rPr>
          <w:noProof/>
        </w:rPr>
      </w:pPr>
      <w:r>
        <w:rPr>
          <w:noProof/>
        </w:rPr>
        <w:t xml:space="preserve">smlouva </w:t>
      </w:r>
      <w:r>
        <w:rPr>
          <w:noProof/>
        </w:rPr>
        <w:br/>
        <w:t>o spolupráci</w:t>
      </w:r>
    </w:p>
    <w:p w14:paraId="1836127C" w14:textId="3ED42FAB" w:rsidR="00261AAA" w:rsidRPr="00261AAA" w:rsidRDefault="00261AAA" w:rsidP="00261AAA">
      <w:pPr>
        <w:rPr>
          <w:rFonts w:ascii="Atyp BL Display Semibold" w:hAnsi="Atyp BL Display Semibold"/>
          <w:sz w:val="26"/>
          <w:szCs w:val="26"/>
        </w:rPr>
      </w:pPr>
      <w:r w:rsidRPr="00261AAA">
        <w:rPr>
          <w:rFonts w:ascii="Atyp BL Display Semibold" w:hAnsi="Atyp BL Display Semibold"/>
          <w:sz w:val="26"/>
          <w:szCs w:val="26"/>
        </w:rPr>
        <w:t>uzavřená</w:t>
      </w:r>
      <w:r w:rsidRPr="000A1F75">
        <w:rPr>
          <w:rFonts w:ascii="Atyp BL Display Semibold" w:hAnsi="Atyp BL Display Semibold"/>
          <w:sz w:val="26"/>
          <w:szCs w:val="26"/>
        </w:rPr>
        <w:t xml:space="preserve"> podle</w:t>
      </w:r>
      <w:r w:rsidRPr="00261AAA">
        <w:rPr>
          <w:rFonts w:ascii="Atyp BL Display Semibold" w:hAnsi="Atyp BL Display Semibold"/>
          <w:sz w:val="26"/>
          <w:szCs w:val="26"/>
        </w:rPr>
        <w:t xml:space="preserve"> ustanovení § 1746 odst. 2 zákona č. 89/2012 Sb., </w:t>
      </w:r>
      <w:r w:rsidR="002D38AE">
        <w:rPr>
          <w:rFonts w:ascii="Atyp BL Display Semibold" w:hAnsi="Atyp BL Display Semibold"/>
          <w:sz w:val="26"/>
          <w:szCs w:val="26"/>
        </w:rPr>
        <w:t xml:space="preserve">   </w:t>
      </w:r>
      <w:r w:rsidRPr="00261AAA">
        <w:rPr>
          <w:rFonts w:ascii="Atyp BL Display Semibold" w:hAnsi="Atyp BL Display Semibold"/>
          <w:sz w:val="26"/>
          <w:szCs w:val="26"/>
        </w:rPr>
        <w:t>občanský zákoník, v platném znění</w:t>
      </w:r>
    </w:p>
    <w:p w14:paraId="6D6FD238" w14:textId="77777777" w:rsidR="00261AAA" w:rsidRDefault="00261AAA" w:rsidP="00261AAA">
      <w:pPr>
        <w:rPr>
          <w:rFonts w:ascii="Crabath Text Medium" w:hAnsi="Crabath Text Medium"/>
        </w:rPr>
      </w:pPr>
    </w:p>
    <w:p w14:paraId="75E0B0DE" w14:textId="77777777" w:rsidR="00261AAA" w:rsidRDefault="00261AAA" w:rsidP="00261AAA">
      <w:pPr>
        <w:rPr>
          <w:rFonts w:ascii="Crabath Text Medium" w:hAnsi="Crabath Text Medium"/>
        </w:rPr>
      </w:pPr>
    </w:p>
    <w:p w14:paraId="5AC6EAD8" w14:textId="77777777" w:rsidR="00261AAA" w:rsidRPr="00F505DD" w:rsidRDefault="00261AAA" w:rsidP="00261AAA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1C2C3823" w14:textId="77777777" w:rsidR="00261AAA" w:rsidRPr="00F505DD" w:rsidRDefault="00261AAA" w:rsidP="00261AAA">
      <w:pPr>
        <w:ind w:left="720" w:hanging="720"/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Prague City Tourism a.s.</w:t>
      </w:r>
    </w:p>
    <w:p w14:paraId="67725E1F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2991A913" w14:textId="77777777" w:rsidR="00261AAA" w:rsidRPr="00F505DD" w:rsidRDefault="00261AAA" w:rsidP="00261AAA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54100143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050D4C7F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2936257C" w14:textId="5391517C" w:rsidR="00261AAA" w:rsidRDefault="00261AAA" w:rsidP="00FA1052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</w:r>
    </w:p>
    <w:p w14:paraId="7D27A53E" w14:textId="08EFF584" w:rsidR="00FA1052" w:rsidRPr="00F505DD" w:rsidRDefault="00FA1052" w:rsidP="00FA1052">
      <w:pPr>
        <w:spacing w:after="0"/>
        <w:ind w:left="720" w:hanging="720"/>
      </w:pPr>
      <w:r>
        <w:tab/>
      </w:r>
      <w:r>
        <w:tab/>
      </w:r>
      <w:r>
        <w:tab/>
      </w:r>
    </w:p>
    <w:p w14:paraId="0BA175C2" w14:textId="77777777" w:rsidR="00261AAA" w:rsidRPr="00D822A3" w:rsidRDefault="00261AAA" w:rsidP="00261AAA">
      <w:pPr>
        <w:spacing w:after="40" w:line="240" w:lineRule="auto"/>
      </w:pPr>
      <w:r>
        <w:t>dále jen „</w:t>
      </w:r>
      <w:r w:rsidRPr="00B3664C">
        <w:rPr>
          <w:b/>
        </w:rPr>
        <w:t>PCT</w:t>
      </w:r>
      <w:r>
        <w:t>“</w:t>
      </w:r>
    </w:p>
    <w:p w14:paraId="6BC77913" w14:textId="77777777" w:rsidR="00261AAA" w:rsidRPr="001033B5" w:rsidRDefault="00261AAA" w:rsidP="00261AAA"/>
    <w:p w14:paraId="7EDB1357" w14:textId="77777777" w:rsidR="00261AAA" w:rsidRPr="00F505DD" w:rsidRDefault="00261AAA" w:rsidP="00261AAA">
      <w:pPr>
        <w:spacing w:after="360"/>
      </w:pPr>
      <w:r w:rsidRPr="00F505DD">
        <w:t xml:space="preserve">a </w:t>
      </w:r>
    </w:p>
    <w:p w14:paraId="7F48D6A8" w14:textId="0C33145D" w:rsidR="00CD0603" w:rsidRPr="006875D4" w:rsidRDefault="0003467F" w:rsidP="00CD0603">
      <w:pPr>
        <w:pStyle w:val="Nadpis2"/>
        <w:numPr>
          <w:ilvl w:val="0"/>
          <w:numId w:val="0"/>
        </w:numPr>
        <w:spacing w:after="200"/>
        <w:rPr>
          <w:rFonts w:ascii="Crabath Text Medium" w:hAnsi="Crabath Text Medium"/>
          <w:sz w:val="20"/>
          <w:szCs w:val="20"/>
        </w:rPr>
      </w:pPr>
      <w:r>
        <w:rPr>
          <w:rFonts w:ascii="Crabath Text Medium" w:hAnsi="Crabath Text Medium"/>
          <w:sz w:val="20"/>
          <w:szCs w:val="20"/>
        </w:rPr>
        <w:t>Museum Kampa – Nadace Jana a Medy Mládkových</w:t>
      </w:r>
    </w:p>
    <w:p w14:paraId="285FD462" w14:textId="51D56495" w:rsidR="00CD0603" w:rsidRDefault="00CD0603" w:rsidP="00CD0603">
      <w:pPr>
        <w:spacing w:after="0"/>
      </w:pPr>
      <w:r w:rsidRPr="0062023B">
        <w:rPr>
          <w:rFonts w:ascii="Crabath Text Medium" w:hAnsi="Crabath Text Medium"/>
        </w:rPr>
        <w:t>se sídlem:</w:t>
      </w:r>
      <w:r>
        <w:tab/>
      </w:r>
      <w:r>
        <w:tab/>
      </w:r>
      <w:r w:rsidR="00B55FCC">
        <w:t>U Sovových mlýnů 503/2, Praha 1</w:t>
      </w:r>
    </w:p>
    <w:p w14:paraId="175AB6E3" w14:textId="4F39CAAF" w:rsidR="00EA12BA" w:rsidRDefault="00EA12BA" w:rsidP="00CD0603">
      <w:pPr>
        <w:spacing w:after="0"/>
      </w:pPr>
      <w:r>
        <w:tab/>
      </w:r>
      <w:r>
        <w:tab/>
      </w:r>
      <w:r>
        <w:tab/>
        <w:t>zapsaná v </w:t>
      </w:r>
      <w:r w:rsidR="00BF1138">
        <w:t>nadačním</w:t>
      </w:r>
      <w:r>
        <w:t xml:space="preserve"> rej</w:t>
      </w:r>
      <w:r w:rsidR="00E54460">
        <w:t>s</w:t>
      </w:r>
      <w:r>
        <w:t>tříku vedeném Městským soudem v Praze</w:t>
      </w:r>
    </w:p>
    <w:p w14:paraId="4DFB5A70" w14:textId="1131B872" w:rsidR="00EA12BA" w:rsidRPr="00705AFD" w:rsidRDefault="00EA12BA" w:rsidP="00CD0603">
      <w:pPr>
        <w:spacing w:after="0"/>
      </w:pPr>
      <w:r>
        <w:tab/>
      </w:r>
      <w:r>
        <w:tab/>
      </w:r>
      <w:r>
        <w:tab/>
        <w:t xml:space="preserve">pod </w:t>
      </w:r>
      <w:proofErr w:type="spellStart"/>
      <w:r>
        <w:t>sp</w:t>
      </w:r>
      <w:proofErr w:type="spellEnd"/>
      <w:r>
        <w:t>.</w:t>
      </w:r>
      <w:r w:rsidR="00D3788B">
        <w:t xml:space="preserve"> </w:t>
      </w:r>
      <w:r>
        <w:t xml:space="preserve">zn. </w:t>
      </w:r>
      <w:r w:rsidR="008E43A2">
        <w:t>N 142</w:t>
      </w:r>
    </w:p>
    <w:p w14:paraId="7F63760F" w14:textId="00A9E84D" w:rsidR="00CD0603" w:rsidRPr="00705AFD" w:rsidRDefault="00CD0603" w:rsidP="00CD0603">
      <w:pPr>
        <w:spacing w:after="0"/>
      </w:pPr>
      <w:r w:rsidRPr="0062023B">
        <w:rPr>
          <w:rFonts w:ascii="Crabath Text Medium" w:hAnsi="Crabath Text Medium"/>
        </w:rPr>
        <w:t>IČO:</w:t>
      </w:r>
      <w:r w:rsidRPr="00705AFD">
        <w:tab/>
      </w:r>
      <w:r w:rsidRPr="00705AFD">
        <w:tab/>
      </w:r>
      <w:r>
        <w:tab/>
      </w:r>
      <w:r w:rsidR="00EB53EC">
        <w:t>49370499</w:t>
      </w:r>
    </w:p>
    <w:p w14:paraId="25B52213" w14:textId="5AD38BAD" w:rsidR="00CD0603" w:rsidRDefault="00CD0603" w:rsidP="00CD0603">
      <w:pPr>
        <w:spacing w:after="0"/>
      </w:pPr>
      <w:r w:rsidRPr="0062023B">
        <w:rPr>
          <w:rFonts w:ascii="Crabath Text Medium" w:hAnsi="Crabath Text Medium"/>
        </w:rPr>
        <w:t>DIČ:</w:t>
      </w:r>
      <w:r w:rsidRPr="00705AFD">
        <w:tab/>
      </w:r>
      <w:r w:rsidRPr="00705AFD">
        <w:tab/>
      </w:r>
      <w:r>
        <w:tab/>
      </w:r>
      <w:r w:rsidR="00EB53EC">
        <w:t>CZ493</w:t>
      </w:r>
      <w:r w:rsidR="003606B4">
        <w:t>70499</w:t>
      </w:r>
    </w:p>
    <w:p w14:paraId="30E8F9DC" w14:textId="155F8FAE" w:rsidR="00CD0603" w:rsidRDefault="00CD0603" w:rsidP="00CD0603">
      <w:r w:rsidRPr="00AE7905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</w:r>
    </w:p>
    <w:p w14:paraId="5133FD0B" w14:textId="1B4C6907" w:rsidR="00261AAA" w:rsidRDefault="00261AAA" w:rsidP="00261AAA">
      <w:r>
        <w:t>dále jen „</w:t>
      </w:r>
      <w:r>
        <w:rPr>
          <w:rFonts w:ascii="Crabath Text Medium" w:hAnsi="Crabath Text Medium"/>
        </w:rPr>
        <w:t>Partner</w:t>
      </w:r>
      <w:r>
        <w:t>“</w:t>
      </w:r>
    </w:p>
    <w:p w14:paraId="527F7A25" w14:textId="28D08556" w:rsidR="00261AAA" w:rsidRDefault="00261AAA" w:rsidP="00261AAA">
      <w:r>
        <w:t>PCT</w:t>
      </w:r>
      <w:r w:rsidRPr="006F5E19">
        <w:t xml:space="preserve"> a </w:t>
      </w:r>
      <w:r>
        <w:t>Partner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strana“</w:t>
      </w:r>
    </w:p>
    <w:p w14:paraId="4C32754F" w14:textId="77777777" w:rsidR="00261AAA" w:rsidRDefault="00261AAA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01942EE8" w14:textId="6A299BCD" w:rsidR="00261AAA" w:rsidRDefault="008E43A2" w:rsidP="00BA71AC">
      <w:pPr>
        <w:pStyle w:val="Nadpis2"/>
        <w:numPr>
          <w:ilvl w:val="0"/>
          <w:numId w:val="0"/>
        </w:numPr>
        <w:spacing w:before="0" w:after="100"/>
        <w:ind w:firstLine="357"/>
      </w:pPr>
      <w:r>
        <w:lastRenderedPageBreak/>
        <w:t>p</w:t>
      </w:r>
      <w:r w:rsidR="00261AAA">
        <w:t>reambule</w:t>
      </w:r>
    </w:p>
    <w:p w14:paraId="2CD836FA" w14:textId="652E6FD1" w:rsidR="00261AAA" w:rsidRDefault="00261AAA" w:rsidP="00BA71AC">
      <w:pPr>
        <w:ind w:left="357"/>
      </w:pPr>
      <w:r>
        <w:t xml:space="preserve">Vzhledem ke skutečnosti, že (a) </w:t>
      </w:r>
      <w:r w:rsidRPr="00CD71FF">
        <w:t>P</w:t>
      </w:r>
      <w:r>
        <w:t>CT</w:t>
      </w:r>
      <w:r w:rsidRPr="00CD71FF">
        <w:t xml:space="preserve"> je oficiální organizací destinačního managementu </w:t>
      </w:r>
      <w:r>
        <w:t>hlavního města Prahy</w:t>
      </w:r>
      <w:r w:rsidRPr="00CD71FF">
        <w:t xml:space="preserve">, </w:t>
      </w:r>
      <w:r w:rsidR="003C5D60" w:rsidRPr="00CD71FF">
        <w:t xml:space="preserve">kdy </w:t>
      </w:r>
      <w:r w:rsidR="003C5D60">
        <w:t>hlavní město Praha</w:t>
      </w:r>
      <w:r w:rsidR="003C5D60" w:rsidRPr="00CD71FF">
        <w:t xml:space="preserve"> je jediným akcionářem P</w:t>
      </w:r>
      <w:r w:rsidR="003C5D60">
        <w:t>CT a hlavním posláním</w:t>
      </w:r>
      <w:r w:rsidR="00880203">
        <w:t xml:space="preserve"> PCT </w:t>
      </w:r>
      <w:r w:rsidR="00496BA6" w:rsidRPr="009B26F6">
        <w:t>je péče o rozvoj domácího a příjezdového cestovního ruchu v české metropoli a rozvoj udržitelného cestovního ruchu v</w:t>
      </w:r>
      <w:r w:rsidR="008F39B6">
        <w:t> </w:t>
      </w:r>
      <w:r w:rsidR="00496BA6" w:rsidRPr="009B26F6">
        <w:t>Praze</w:t>
      </w:r>
      <w:r w:rsidRPr="00CD71FF">
        <w:t>;</w:t>
      </w:r>
      <w:r>
        <w:t xml:space="preserve"> (b) PCT </w:t>
      </w:r>
      <w:r w:rsidRPr="00005CA7">
        <w:t xml:space="preserve">naplňuje závaznou Koncepci příjezdového cestovního ruchu hlavního města Prahy, kdy obsah této koncepce klade </w:t>
      </w:r>
      <w:r>
        <w:t xml:space="preserve">mimo jiné </w:t>
      </w:r>
      <w:r w:rsidRPr="00005CA7">
        <w:t>důraz na kvalitu zajiš</w:t>
      </w:r>
      <w:r w:rsidRPr="00005CA7">
        <w:rPr>
          <w:rFonts w:ascii="Calibri" w:hAnsi="Calibri" w:cs="Calibri"/>
        </w:rPr>
        <w:t>ť</w:t>
      </w:r>
      <w:r w:rsidRPr="00005CA7">
        <w:t>ovan</w:t>
      </w:r>
      <w:r w:rsidRPr="00005CA7">
        <w:rPr>
          <w:rFonts w:cs="Crabath Text Light"/>
        </w:rPr>
        <w:t>ý</w:t>
      </w:r>
      <w:r w:rsidRPr="00005CA7">
        <w:t>ch slu</w:t>
      </w:r>
      <w:r w:rsidRPr="00005CA7">
        <w:rPr>
          <w:rFonts w:cs="Crabath Text Light"/>
        </w:rPr>
        <w:t>ž</w:t>
      </w:r>
      <w:r w:rsidRPr="00005CA7">
        <w:t xml:space="preserve">eb; (c) Partner </w:t>
      </w:r>
      <w:r w:rsidR="006A28F2">
        <w:t>provozuje</w:t>
      </w:r>
      <w:r w:rsidR="00131EBD">
        <w:t xml:space="preserve"> </w:t>
      </w:r>
      <w:r w:rsidR="00883870" w:rsidRPr="00883870">
        <w:t>Muse</w:t>
      </w:r>
      <w:r w:rsidR="00883870">
        <w:t>um</w:t>
      </w:r>
      <w:r w:rsidR="00883870" w:rsidRPr="00883870">
        <w:t xml:space="preserve"> Kampa </w:t>
      </w:r>
      <w:r w:rsidR="00883870">
        <w:t xml:space="preserve">jehož posláním </w:t>
      </w:r>
      <w:r w:rsidR="00883870" w:rsidRPr="00883870">
        <w:t xml:space="preserve">je </w:t>
      </w:r>
      <w:r w:rsidR="00805563">
        <w:t xml:space="preserve">zejména </w:t>
      </w:r>
      <w:r w:rsidR="00883870" w:rsidRPr="00883870">
        <w:t>pečovat o sbírku výtvarných děl moderních umělců a zprostředkovat svědectví o nelehké době, v níž toto umění vznikalo a jež by neměla být zapomenuta</w:t>
      </w:r>
      <w:r w:rsidR="003B20D2">
        <w:t xml:space="preserve"> (dále jen „</w:t>
      </w:r>
      <w:r w:rsidR="003B20D2">
        <w:rPr>
          <w:rFonts w:ascii="Crabath Text Medium" w:hAnsi="Crabath Text Medium"/>
        </w:rPr>
        <w:t>Museum Kampa</w:t>
      </w:r>
      <w:r w:rsidR="003B20D2">
        <w:t>“);</w:t>
      </w:r>
      <w:r w:rsidR="005E70B9">
        <w:t xml:space="preserve"> (d)</w:t>
      </w:r>
      <w:r w:rsidR="00883870" w:rsidRPr="00883870">
        <w:t xml:space="preserve"> </w:t>
      </w:r>
      <w:r w:rsidR="00F535EF">
        <w:t>Partner</w:t>
      </w:r>
      <w:r w:rsidR="00F535EF" w:rsidRPr="00883870">
        <w:t xml:space="preserve"> </w:t>
      </w:r>
      <w:r w:rsidR="00883870" w:rsidRPr="00883870">
        <w:t xml:space="preserve">rovněž </w:t>
      </w:r>
      <w:r w:rsidR="00825B5E">
        <w:t>v Mu</w:t>
      </w:r>
      <w:r w:rsidR="00035D94">
        <w:t>s</w:t>
      </w:r>
      <w:r w:rsidR="00825B5E">
        <w:t xml:space="preserve">eu Kampa </w:t>
      </w:r>
      <w:r w:rsidR="00883870" w:rsidRPr="00883870">
        <w:t>pořádá řadu krátkodobých výstav prezentujících veřejnosti středoevropské moderní výtvarníky</w:t>
      </w:r>
      <w:r w:rsidR="005E70B9">
        <w:t>;</w:t>
      </w:r>
      <w:r w:rsidR="003B20D2">
        <w:t xml:space="preserve"> </w:t>
      </w:r>
      <w:r>
        <w:t>(</w:t>
      </w:r>
      <w:r w:rsidR="005E70B9">
        <w:t>e</w:t>
      </w:r>
      <w:r>
        <w:t xml:space="preserve">) smluvní strany mají zájem na vzájemné </w:t>
      </w:r>
      <w:r w:rsidRPr="00005CA7">
        <w:t xml:space="preserve">spolupráci </w:t>
      </w:r>
      <w:r>
        <w:t xml:space="preserve">při zajišťování </w:t>
      </w:r>
      <w:r w:rsidR="0062216A">
        <w:t xml:space="preserve">vycházek </w:t>
      </w:r>
      <w:r w:rsidR="00A62720">
        <w:t>pro veřejnost</w:t>
      </w:r>
      <w:r w:rsidR="00A62720" w:rsidRPr="00A62720">
        <w:t xml:space="preserve"> věnovan</w:t>
      </w:r>
      <w:r w:rsidR="00A62720">
        <w:t>ých</w:t>
      </w:r>
      <w:r w:rsidR="00A62720" w:rsidRPr="00A62720">
        <w:t xml:space="preserve"> inspirativní osobnosti Medy Mládkové</w:t>
      </w:r>
      <w:r w:rsidR="00A62720">
        <w:t xml:space="preserve">, </w:t>
      </w:r>
      <w:r w:rsidR="00A62720" w:rsidRPr="00A62720">
        <w:t>mecenášk</w:t>
      </w:r>
      <w:r w:rsidR="00A62720">
        <w:t>y</w:t>
      </w:r>
      <w:r w:rsidR="00A62720" w:rsidRPr="00A62720">
        <w:t xml:space="preserve"> české kulturní scény</w:t>
      </w:r>
      <w:r w:rsidR="002E04D4">
        <w:t>, kdy s</w:t>
      </w:r>
      <w:r w:rsidR="00D407E7">
        <w:t xml:space="preserve">oučástí vycházek budou </w:t>
      </w:r>
      <w:r w:rsidR="00A62720" w:rsidRPr="00A62720">
        <w:t>prohlídk</w:t>
      </w:r>
      <w:r w:rsidR="00D407E7">
        <w:t>y</w:t>
      </w:r>
      <w:r w:rsidR="00A62720" w:rsidRPr="00A62720">
        <w:t xml:space="preserve"> Musea Kampa </w:t>
      </w:r>
      <w:r w:rsidR="00D407E7">
        <w:t xml:space="preserve">a </w:t>
      </w:r>
      <w:r w:rsidR="00A62720" w:rsidRPr="00A62720">
        <w:t>sbírk</w:t>
      </w:r>
      <w:r w:rsidR="00D407E7">
        <w:t>a</w:t>
      </w:r>
      <w:r w:rsidR="00A62720" w:rsidRPr="00A62720">
        <w:t xml:space="preserve"> ikonických děl Františka Kupky</w:t>
      </w:r>
      <w:r>
        <w:t xml:space="preserve">; </w:t>
      </w:r>
      <w:r w:rsidRPr="00CD71FF">
        <w:t xml:space="preserve">sjednávají </w:t>
      </w:r>
      <w:r w:rsidR="002E04D4">
        <w:t>s</w:t>
      </w:r>
      <w:r w:rsidRPr="00CD71FF">
        <w:t xml:space="preserve">mluvní strany tuto Smlouvu o </w:t>
      </w:r>
      <w:r>
        <w:t xml:space="preserve">spolupráci </w:t>
      </w:r>
      <w:r w:rsidRPr="00CD71FF">
        <w:t>(dále jen „</w:t>
      </w:r>
      <w:r w:rsidRPr="00CD71FF">
        <w:rPr>
          <w:b/>
          <w:bCs/>
        </w:rPr>
        <w:t>Smlouva</w:t>
      </w:r>
      <w:r w:rsidRPr="00CD71FF">
        <w:t>“)</w:t>
      </w:r>
      <w:r>
        <w:t>.</w:t>
      </w:r>
    </w:p>
    <w:p w14:paraId="7DC1CD3D" w14:textId="71C86D8B" w:rsidR="00261AAA" w:rsidRPr="00ED03D3" w:rsidRDefault="00FA1052" w:rsidP="00BA71AC">
      <w:pPr>
        <w:pStyle w:val="Nadpis2"/>
        <w:numPr>
          <w:ilvl w:val="0"/>
          <w:numId w:val="3"/>
        </w:numPr>
        <w:spacing w:before="0" w:after="100"/>
        <w:ind w:left="357" w:hanging="357"/>
      </w:pPr>
      <w:r>
        <w:t>p</w:t>
      </w:r>
      <w:r w:rsidR="00261AAA" w:rsidRPr="00ED03D3">
        <w:t>ředmět smlouvy</w:t>
      </w:r>
    </w:p>
    <w:p w14:paraId="0EEBA040" w14:textId="60AC0D5A" w:rsidR="00261AAA" w:rsidRDefault="00261AAA" w:rsidP="00BA71AC">
      <w:pPr>
        <w:ind w:left="357"/>
      </w:pPr>
      <w:r w:rsidRPr="00ED03D3">
        <w:t xml:space="preserve">Předmětem této </w:t>
      </w:r>
      <w:r>
        <w:t xml:space="preserve">Smlouvy je úprava vzájemných práv a povinností smluvních stran </w:t>
      </w:r>
      <w:r w:rsidR="006F19E3">
        <w:t xml:space="preserve">v souvislosti se zahrnutím </w:t>
      </w:r>
      <w:r w:rsidR="006F19E3" w:rsidRPr="00464806">
        <w:t xml:space="preserve">prohlídek </w:t>
      </w:r>
      <w:r w:rsidR="00407322">
        <w:t>Musea</w:t>
      </w:r>
      <w:r w:rsidR="00A81745">
        <w:t xml:space="preserve"> Kampa</w:t>
      </w:r>
      <w:r w:rsidR="006F19E3" w:rsidRPr="00464806">
        <w:t xml:space="preserve"> mezi produkty PCT nabízené konečným </w:t>
      </w:r>
      <w:r w:rsidR="006F19E3" w:rsidRPr="00CA0417">
        <w:t>zákazníkům. Jedná se o možnost prohlíd</w:t>
      </w:r>
      <w:r w:rsidR="003D33BB" w:rsidRPr="00CA0417">
        <w:t>ky</w:t>
      </w:r>
      <w:r w:rsidR="006F19E3" w:rsidRPr="00CA0417">
        <w:t xml:space="preserve"> interiérových </w:t>
      </w:r>
      <w:r w:rsidR="00DE7A41">
        <w:t xml:space="preserve">výstavních </w:t>
      </w:r>
      <w:r w:rsidR="006F19E3" w:rsidRPr="00CA0417">
        <w:t xml:space="preserve">prostor </w:t>
      </w:r>
      <w:r w:rsidR="00DE7A41">
        <w:t xml:space="preserve">Musea Kampa </w:t>
      </w:r>
      <w:r w:rsidR="006F19E3" w:rsidRPr="00CA0417">
        <w:t xml:space="preserve">pro skupiny zájemců </w:t>
      </w:r>
      <w:r w:rsidR="006F19E3" w:rsidRPr="00142415">
        <w:t xml:space="preserve">o maximální velikosti </w:t>
      </w:r>
      <w:r w:rsidR="00A43C91" w:rsidRPr="00142415">
        <w:t>2</w:t>
      </w:r>
      <w:r w:rsidR="00640CAA">
        <w:t>0</w:t>
      </w:r>
      <w:r w:rsidR="00CA0417" w:rsidRPr="00142415">
        <w:t xml:space="preserve"> </w:t>
      </w:r>
      <w:r w:rsidR="006F19E3" w:rsidRPr="00142415">
        <w:t>osob</w:t>
      </w:r>
      <w:r w:rsidR="003D33BB" w:rsidRPr="00142415">
        <w:t xml:space="preserve"> </w:t>
      </w:r>
      <w:r w:rsidR="004766C2">
        <w:t xml:space="preserve">(+ průvodce) </w:t>
      </w:r>
      <w:r w:rsidR="003D33BB" w:rsidRPr="00CA0417">
        <w:t>realizované v souladu s podmínkami sjednanými v této Smlouvě</w:t>
      </w:r>
      <w:r w:rsidRPr="00CA0417">
        <w:t xml:space="preserve"> (</w:t>
      </w:r>
      <w:r w:rsidR="00194C6B" w:rsidRPr="00CA0417">
        <w:t>prohlídky</w:t>
      </w:r>
      <w:r w:rsidR="00194C6B">
        <w:t xml:space="preserve"> </w:t>
      </w:r>
      <w:r w:rsidR="00035D94">
        <w:t>Musea Kampa</w:t>
      </w:r>
      <w:r w:rsidR="00194C6B">
        <w:t xml:space="preserve"> </w:t>
      </w:r>
      <w:r>
        <w:t>dále jen „</w:t>
      </w:r>
      <w:r>
        <w:rPr>
          <w:b/>
          <w:bCs/>
        </w:rPr>
        <w:t>Pro</w:t>
      </w:r>
      <w:r w:rsidR="00564995">
        <w:rPr>
          <w:b/>
          <w:bCs/>
        </w:rPr>
        <w:t>hlídk</w:t>
      </w:r>
      <w:r w:rsidR="00194C6B">
        <w:rPr>
          <w:b/>
          <w:bCs/>
        </w:rPr>
        <w:t>y</w:t>
      </w:r>
      <w:r>
        <w:t>“</w:t>
      </w:r>
      <w:r w:rsidR="00194C6B">
        <w:t xml:space="preserve"> a/nebo „</w:t>
      </w:r>
      <w:r w:rsidR="00194C6B" w:rsidRPr="00AC50A1">
        <w:rPr>
          <w:rFonts w:ascii="Crabath Text Medium" w:hAnsi="Crabath Text Medium"/>
        </w:rPr>
        <w:t>Prohlíd</w:t>
      </w:r>
      <w:r w:rsidR="00AC50A1" w:rsidRPr="00AC50A1">
        <w:rPr>
          <w:rFonts w:ascii="Crabath Text Medium" w:hAnsi="Crabath Text Medium"/>
        </w:rPr>
        <w:t>ka</w:t>
      </w:r>
      <w:r w:rsidR="00194C6B">
        <w:t>“</w:t>
      </w:r>
      <w:r>
        <w:t xml:space="preserve">). </w:t>
      </w:r>
    </w:p>
    <w:p w14:paraId="006F7585" w14:textId="3A224A55" w:rsidR="00261AAA" w:rsidRPr="00ED03D3" w:rsidRDefault="00FA1052" w:rsidP="00BA71AC">
      <w:pPr>
        <w:pStyle w:val="Nadpis2"/>
        <w:numPr>
          <w:ilvl w:val="0"/>
          <w:numId w:val="3"/>
        </w:numPr>
        <w:spacing w:before="0" w:after="100"/>
        <w:ind w:left="357" w:hanging="357"/>
      </w:pPr>
      <w:r>
        <w:t>s</w:t>
      </w:r>
      <w:r w:rsidR="00261AAA" w:rsidRPr="00E424F4">
        <w:t xml:space="preserve">pecifikace </w:t>
      </w:r>
      <w:r>
        <w:t>p</w:t>
      </w:r>
      <w:r w:rsidR="00261AAA">
        <w:t>ro</w:t>
      </w:r>
      <w:r w:rsidR="003D33BB">
        <w:t>hlíd</w:t>
      </w:r>
      <w:r w:rsidR="00194C6B">
        <w:t>ek</w:t>
      </w:r>
    </w:p>
    <w:p w14:paraId="71E95A7B" w14:textId="4D63C447" w:rsidR="001802EE" w:rsidRPr="00A71FBB" w:rsidRDefault="001278FB" w:rsidP="00285895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 xml:space="preserve">Prohlídky </w:t>
      </w:r>
      <w:r w:rsidR="00D6037E">
        <w:t xml:space="preserve">budou realizovány </w:t>
      </w:r>
      <w:r w:rsidR="00F1083D">
        <w:t>v</w:t>
      </w:r>
      <w:r w:rsidR="00656168">
        <w:t> předem písemnou formou odsouhlasených</w:t>
      </w:r>
      <w:r w:rsidR="00F1083D">
        <w:t> </w:t>
      </w:r>
      <w:r w:rsidR="00656168">
        <w:t>termín</w:t>
      </w:r>
      <w:r w:rsidR="00D84409">
        <w:t>ech</w:t>
      </w:r>
      <w:r w:rsidR="00035D94">
        <w:t>,</w:t>
      </w:r>
      <w:r w:rsidR="00D84409">
        <w:t xml:space="preserve"> </w:t>
      </w:r>
      <w:r w:rsidR="00D2570B" w:rsidRPr="00397C25">
        <w:t xml:space="preserve">kdy </w:t>
      </w:r>
      <w:r w:rsidR="001B176D">
        <w:t>konkrétní</w:t>
      </w:r>
      <w:r w:rsidR="00D2570B" w:rsidRPr="00397C25">
        <w:t xml:space="preserve"> termíny budou vždy smluvními stranami upřesněny</w:t>
      </w:r>
      <w:r w:rsidR="001802EE" w:rsidRPr="00397C25">
        <w:t>,</w:t>
      </w:r>
      <w:r w:rsidR="00D2570B" w:rsidRPr="00397C25">
        <w:t xml:space="preserve"> a to nejpozději </w:t>
      </w:r>
      <w:r w:rsidR="003429C5">
        <w:t>do konce čtvr</w:t>
      </w:r>
      <w:r w:rsidR="00B6079A">
        <w:t>t</w:t>
      </w:r>
      <w:r w:rsidR="003429C5">
        <w:t xml:space="preserve">letí, které předchází </w:t>
      </w:r>
      <w:r w:rsidR="00142D79">
        <w:t>čtvrtletí</w:t>
      </w:r>
      <w:r w:rsidR="001F6785">
        <w:t>, ve kterém se prohlídky mají konat, nedohodnou-li se smluvní strany jinak</w:t>
      </w:r>
      <w:r w:rsidR="00D2570B" w:rsidRPr="00397C25">
        <w:t>.</w:t>
      </w:r>
      <w:r w:rsidR="000E18BC">
        <w:t xml:space="preserve"> </w:t>
      </w:r>
      <w:r w:rsidR="00366705">
        <w:t>PCT poskytne pro konkrétní sjednané Prohlídky i</w:t>
      </w:r>
      <w:r w:rsidR="004448D2" w:rsidRPr="004448D2">
        <w:t xml:space="preserve"> seznam průvodců</w:t>
      </w:r>
      <w:r w:rsidR="00BF17A5">
        <w:t>, kteří se daných Prohlíd</w:t>
      </w:r>
      <w:r w:rsidR="00966AA0">
        <w:t>ek</w:t>
      </w:r>
      <w:r w:rsidR="00BF17A5">
        <w:t xml:space="preserve"> zúčastní</w:t>
      </w:r>
      <w:r w:rsidR="00966AA0">
        <w:t>,</w:t>
      </w:r>
      <w:r w:rsidR="009E43F7">
        <w:t xml:space="preserve"> a to</w:t>
      </w:r>
      <w:r w:rsidR="004448D2" w:rsidRPr="004448D2">
        <w:t xml:space="preserve"> </w:t>
      </w:r>
      <w:r w:rsidR="009E43F7">
        <w:t>včetně</w:t>
      </w:r>
      <w:r w:rsidR="004448D2" w:rsidRPr="004448D2">
        <w:t xml:space="preserve"> telefonick</w:t>
      </w:r>
      <w:r w:rsidR="009E43F7">
        <w:t>ého</w:t>
      </w:r>
      <w:r w:rsidR="004448D2" w:rsidRPr="004448D2">
        <w:t xml:space="preserve"> kontakt</w:t>
      </w:r>
      <w:r w:rsidR="009E43F7">
        <w:t>u</w:t>
      </w:r>
      <w:r w:rsidR="004448D2" w:rsidRPr="004448D2">
        <w:t xml:space="preserve"> a e-mail</w:t>
      </w:r>
      <w:r w:rsidR="00BF17A5">
        <w:t>u</w:t>
      </w:r>
      <w:r w:rsidR="002518C7">
        <w:t>.</w:t>
      </w:r>
    </w:p>
    <w:p w14:paraId="02A328C7" w14:textId="167A650B" w:rsidR="00A71FBB" w:rsidRPr="00397C25" w:rsidRDefault="000B25D2" w:rsidP="001802EE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B25D2">
        <w:rPr>
          <w:rFonts w:cs="Arial"/>
          <w:szCs w:val="20"/>
        </w:rPr>
        <w:t xml:space="preserve">PCT bere na vědomí, že </w:t>
      </w:r>
      <w:r>
        <w:rPr>
          <w:rFonts w:cs="Arial"/>
          <w:szCs w:val="20"/>
        </w:rPr>
        <w:t>P</w:t>
      </w:r>
      <w:r w:rsidRPr="000B25D2">
        <w:rPr>
          <w:rFonts w:cs="Arial"/>
          <w:szCs w:val="20"/>
        </w:rPr>
        <w:t>rohlídky není možné konat v průběhu akcí konaných v</w:t>
      </w:r>
      <w:r w:rsidR="007952D8">
        <w:rPr>
          <w:rFonts w:cs="Arial"/>
          <w:szCs w:val="20"/>
        </w:rPr>
        <w:t> Museu Kampa</w:t>
      </w:r>
      <w:r w:rsidRPr="000B25D2">
        <w:rPr>
          <w:rFonts w:cs="Arial"/>
          <w:szCs w:val="20"/>
        </w:rPr>
        <w:t>, rozhodne-li tak Partner. Partner si vyhrazuje možnost prohlídku zrušit, případném zrušení se zavazuje PCT neprodleně informovat. V případě zrušení se zúčastněné strany zavazují jednat o možném náhradním termínu za termín zrušený</w:t>
      </w:r>
      <w:r>
        <w:rPr>
          <w:rFonts w:cs="Arial"/>
          <w:szCs w:val="20"/>
        </w:rPr>
        <w:t>.</w:t>
      </w:r>
    </w:p>
    <w:p w14:paraId="597C6538" w14:textId="52C98E4A" w:rsidR="00AC50A1" w:rsidRPr="00397C25" w:rsidRDefault="00AC50A1" w:rsidP="001802EE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397C25">
        <w:t>Prohlídky budou v</w:t>
      </w:r>
      <w:r w:rsidR="002A7FD6">
        <w:t> </w:t>
      </w:r>
      <w:r w:rsidRPr="00397C25">
        <w:t>předpokládané</w:t>
      </w:r>
      <w:r w:rsidR="002A7FD6">
        <w:t xml:space="preserve"> maximální</w:t>
      </w:r>
      <w:r w:rsidRPr="00397C25">
        <w:t xml:space="preserve"> </w:t>
      </w:r>
      <w:r w:rsidRPr="002F2A03">
        <w:t>délce</w:t>
      </w:r>
      <w:r w:rsidR="00397C25" w:rsidRPr="002F2A03">
        <w:t xml:space="preserve"> </w:t>
      </w:r>
      <w:r w:rsidR="00D13B89">
        <w:t>devadesáti (90) minut</w:t>
      </w:r>
      <w:r w:rsidRPr="002F2A03">
        <w:t>.</w:t>
      </w:r>
    </w:p>
    <w:p w14:paraId="397C3B2C" w14:textId="72EFB2F2" w:rsidR="00261AAA" w:rsidRPr="003E7067" w:rsidRDefault="001802EE" w:rsidP="003D0F10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Smluvní strany sjednávají, že</w:t>
      </w:r>
      <w:r w:rsidR="0027747B">
        <w:rPr>
          <w:rFonts w:cs="Arial"/>
          <w:szCs w:val="20"/>
        </w:rPr>
        <w:t xml:space="preserve"> </w:t>
      </w:r>
      <w:r w:rsidR="0070320B">
        <w:rPr>
          <w:rFonts w:cs="Arial"/>
          <w:szCs w:val="20"/>
        </w:rPr>
        <w:t>v průběhu</w:t>
      </w:r>
      <w:r w:rsidR="0027747B">
        <w:rPr>
          <w:rFonts w:cs="Arial"/>
          <w:szCs w:val="20"/>
        </w:rPr>
        <w:t xml:space="preserve"> Prohlíd</w:t>
      </w:r>
      <w:r w:rsidR="0070320B">
        <w:rPr>
          <w:rFonts w:cs="Arial"/>
          <w:szCs w:val="20"/>
        </w:rPr>
        <w:t>ek</w:t>
      </w:r>
      <w:r w:rsidR="0027747B">
        <w:rPr>
          <w:rFonts w:cs="Arial"/>
          <w:szCs w:val="20"/>
        </w:rPr>
        <w:t xml:space="preserve"> bude zajištěn </w:t>
      </w:r>
      <w:r w:rsidR="0027747B" w:rsidRPr="003E7067">
        <w:rPr>
          <w:rFonts w:cs="Arial"/>
          <w:szCs w:val="20"/>
        </w:rPr>
        <w:t xml:space="preserve">odborný výklad ze strany </w:t>
      </w:r>
      <w:r w:rsidR="00B6079A" w:rsidRPr="003E7067">
        <w:rPr>
          <w:rFonts w:cs="Arial"/>
          <w:szCs w:val="20"/>
        </w:rPr>
        <w:t>PCT</w:t>
      </w:r>
      <w:r w:rsidR="00AE5601">
        <w:rPr>
          <w:rFonts w:cs="Arial"/>
          <w:szCs w:val="20"/>
        </w:rPr>
        <w:t>.</w:t>
      </w:r>
    </w:p>
    <w:p w14:paraId="68329032" w14:textId="540396BE" w:rsidR="0027747B" w:rsidRPr="0035350B" w:rsidRDefault="0005181C" w:rsidP="007200C6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Veškeré rezervace Prohlídek a platb</w:t>
      </w:r>
      <w:r w:rsidR="00B819A2">
        <w:rPr>
          <w:rFonts w:cs="Arial"/>
          <w:szCs w:val="20"/>
        </w:rPr>
        <w:t>y</w:t>
      </w:r>
      <w:r>
        <w:rPr>
          <w:rFonts w:cs="Arial"/>
          <w:szCs w:val="20"/>
        </w:rPr>
        <w:t xml:space="preserve"> </w:t>
      </w:r>
      <w:r w:rsidR="00533C3A">
        <w:rPr>
          <w:rFonts w:cs="Arial"/>
          <w:szCs w:val="20"/>
        </w:rPr>
        <w:t xml:space="preserve">konečných klientů za účast na Prohlídkách </w:t>
      </w:r>
      <w:r w:rsidR="00C13C7E">
        <w:rPr>
          <w:rFonts w:cs="Arial"/>
          <w:szCs w:val="20"/>
        </w:rPr>
        <w:t>budou</w:t>
      </w:r>
      <w:r w:rsidR="00533C3A">
        <w:rPr>
          <w:rFonts w:cs="Arial"/>
          <w:szCs w:val="20"/>
        </w:rPr>
        <w:t xml:space="preserve"> realizován</w:t>
      </w:r>
      <w:r w:rsidR="007A122C">
        <w:rPr>
          <w:rFonts w:cs="Arial"/>
          <w:szCs w:val="20"/>
        </w:rPr>
        <w:t>y</w:t>
      </w:r>
      <w:r w:rsidR="00533C3A">
        <w:rPr>
          <w:rFonts w:cs="Arial"/>
          <w:szCs w:val="20"/>
        </w:rPr>
        <w:t xml:space="preserve"> prostřednictví </w:t>
      </w:r>
      <w:r w:rsidR="005165A1">
        <w:rPr>
          <w:rFonts w:cs="Arial"/>
          <w:szCs w:val="20"/>
        </w:rPr>
        <w:t>e-shopu</w:t>
      </w:r>
      <w:r w:rsidR="00533C3A">
        <w:rPr>
          <w:rFonts w:cs="Arial"/>
          <w:szCs w:val="20"/>
        </w:rPr>
        <w:t xml:space="preserve"> PCT </w:t>
      </w:r>
      <w:r w:rsidR="00582AAA">
        <w:rPr>
          <w:rFonts w:cs="Arial"/>
          <w:szCs w:val="20"/>
        </w:rPr>
        <w:t>–</w:t>
      </w:r>
      <w:r w:rsidR="00533C3A">
        <w:rPr>
          <w:rFonts w:cs="Arial"/>
          <w:szCs w:val="20"/>
        </w:rPr>
        <w:t xml:space="preserve"> </w:t>
      </w:r>
      <w:r w:rsidR="00582AAA">
        <w:t>eshop.</w:t>
      </w:r>
      <w:r w:rsidR="003D0F10">
        <w:t xml:space="preserve">prague.eu </w:t>
      </w:r>
    </w:p>
    <w:p w14:paraId="6DF6C9E5" w14:textId="6C850E28" w:rsidR="00261AAA" w:rsidRPr="00ED03D3" w:rsidRDefault="00FA1052" w:rsidP="00261AAA">
      <w:pPr>
        <w:pStyle w:val="Nadpis2"/>
        <w:numPr>
          <w:ilvl w:val="0"/>
          <w:numId w:val="3"/>
        </w:numPr>
        <w:spacing w:after="200"/>
        <w:ind w:left="357" w:hanging="357"/>
      </w:pPr>
      <w:r>
        <w:t>p</w:t>
      </w:r>
      <w:r w:rsidR="00261AAA">
        <w:t xml:space="preserve">ráva a povinnosti smluvních stran </w:t>
      </w:r>
    </w:p>
    <w:p w14:paraId="2FAC37E6" w14:textId="19649303" w:rsidR="00261AAA" w:rsidRPr="00826EFC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 xml:space="preserve">PCT se zavazuje zajistit kompletní organizaci individuálních </w:t>
      </w:r>
      <w:r w:rsidR="005D3E4B">
        <w:t>P</w:t>
      </w:r>
      <w:r>
        <w:t xml:space="preserve">rohlídek včetně přijímání objednávek od koncových klientů, zajištění klientského servisu a marketingové podpory </w:t>
      </w:r>
      <w:r w:rsidR="00A5545C">
        <w:t>Prohlídek</w:t>
      </w:r>
      <w:r>
        <w:t>.</w:t>
      </w:r>
      <w:r w:rsidR="00A5545C">
        <w:t xml:space="preserve"> Marketingovou podporu Prohlídek se zavazuje zajistit i Partner.</w:t>
      </w:r>
    </w:p>
    <w:p w14:paraId="7CE946FF" w14:textId="0A6698DA" w:rsidR="00261AAA" w:rsidRPr="00B067C9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 xml:space="preserve">Partner se zavazuje zajistit zpřístupnění </w:t>
      </w:r>
      <w:r w:rsidR="004766C2" w:rsidRPr="00B067C9">
        <w:t>budov</w:t>
      </w:r>
      <w:r w:rsidR="00DC03DE">
        <w:t>y Musea Kampa</w:t>
      </w:r>
      <w:r w:rsidR="004766C2" w:rsidRPr="00B067C9">
        <w:t xml:space="preserve"> </w:t>
      </w:r>
      <w:r w:rsidRPr="00B067C9">
        <w:t>ve sjednan</w:t>
      </w:r>
      <w:r w:rsidR="009A640C" w:rsidRPr="00B067C9">
        <w:t>ých</w:t>
      </w:r>
      <w:r w:rsidRPr="00B067C9">
        <w:t xml:space="preserve"> termín</w:t>
      </w:r>
      <w:r w:rsidR="009A640C" w:rsidRPr="00B067C9">
        <w:t>ech Prohlídek</w:t>
      </w:r>
      <w:r w:rsidRPr="00B067C9">
        <w:t xml:space="preserve">. </w:t>
      </w:r>
    </w:p>
    <w:p w14:paraId="2F73235E" w14:textId="1BD487F0" w:rsidR="00BB35EA" w:rsidRPr="00B5710C" w:rsidRDefault="00BB35E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B067C9">
        <w:t>Partner se</w:t>
      </w:r>
      <w:r w:rsidR="00426C8C" w:rsidRPr="00B067C9">
        <w:t xml:space="preserve"> zavazuje průvodce, kteří se za PCT budou Prohlídek účastnit</w:t>
      </w:r>
      <w:r w:rsidR="00BE0007" w:rsidRPr="00B067C9">
        <w:t>,</w:t>
      </w:r>
      <w:r w:rsidR="00426C8C" w:rsidRPr="00B067C9">
        <w:t xml:space="preserve"> odborně proškolit, </w:t>
      </w:r>
      <w:r w:rsidR="00B40307" w:rsidRPr="00B067C9">
        <w:t xml:space="preserve">podrobně jim představit trasu, po které by se Prohlídka měla konat a </w:t>
      </w:r>
      <w:r w:rsidR="00426C8C" w:rsidRPr="00B067C9">
        <w:t xml:space="preserve">doporučit jim vhodné další studijní </w:t>
      </w:r>
      <w:r w:rsidR="00426C8C" w:rsidRPr="00B067C9">
        <w:lastRenderedPageBreak/>
        <w:t>materiály k</w:t>
      </w:r>
      <w:r w:rsidR="00BE0007" w:rsidRPr="00B067C9">
        <w:t> </w:t>
      </w:r>
      <w:r w:rsidR="00426C8C" w:rsidRPr="00B067C9">
        <w:t>samostudiu</w:t>
      </w:r>
      <w:r w:rsidR="00BE0007" w:rsidRPr="00B067C9">
        <w:t xml:space="preserve">, </w:t>
      </w:r>
      <w:r w:rsidR="00F62155" w:rsidRPr="00B067C9">
        <w:t xml:space="preserve">dále se Partner zavazuje </w:t>
      </w:r>
      <w:r w:rsidR="00BE0007" w:rsidRPr="00B067C9">
        <w:t>zaškolit tyto průvodce</w:t>
      </w:r>
      <w:r w:rsidR="00F62155" w:rsidRPr="00B067C9">
        <w:t xml:space="preserve"> v potřebném rozsahu v oblasti </w:t>
      </w:r>
      <w:r w:rsidR="00BE0007" w:rsidRPr="00B067C9">
        <w:t>BOZP.</w:t>
      </w:r>
    </w:p>
    <w:p w14:paraId="6983433D" w14:textId="72972B82" w:rsidR="004E2863" w:rsidRPr="00B57273" w:rsidRDefault="00261AAA" w:rsidP="00DC5F47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t xml:space="preserve">PCT se zavazuje zajistit </w:t>
      </w:r>
      <w:r w:rsidRPr="00037FC1">
        <w:t xml:space="preserve">doprovod koncových klientů při </w:t>
      </w:r>
      <w:r w:rsidR="007B0244">
        <w:t>P</w:t>
      </w:r>
      <w:r w:rsidRPr="00037FC1">
        <w:t xml:space="preserve">rohlídkách, a to po celou dobu jejich přítomnosti v budově </w:t>
      </w:r>
      <w:r w:rsidR="001D5C5C">
        <w:t>Musea Kampa</w:t>
      </w:r>
      <w:r w:rsidR="00072C3C">
        <w:t>,</w:t>
      </w:r>
      <w:r w:rsidR="00BB35EA">
        <w:t xml:space="preserve"> </w:t>
      </w:r>
      <w:r w:rsidR="007B0244">
        <w:t>doprovod bude zajištěn</w:t>
      </w:r>
      <w:r w:rsidR="00BB35EA">
        <w:t xml:space="preserve"> pouze Partnerem odborně proškolenými průvodc</w:t>
      </w:r>
      <w:r w:rsidR="00426C8C">
        <w:t>i, nedohodnou-li se smluvní strany jinak.</w:t>
      </w:r>
      <w:r w:rsidR="00DC5F47" w:rsidRPr="004E2863" w:rsidDel="00DC5F47">
        <w:rPr>
          <w:rFonts w:cs="Arial"/>
          <w:szCs w:val="20"/>
        </w:rPr>
        <w:t xml:space="preserve"> </w:t>
      </w:r>
    </w:p>
    <w:p w14:paraId="43E28A82" w14:textId="31C2C678" w:rsidR="00787002" w:rsidRDefault="00B57273" w:rsidP="00B57273">
      <w:pPr>
        <w:pStyle w:val="Odstavecseseznamem"/>
        <w:numPr>
          <w:ilvl w:val="1"/>
          <w:numId w:val="3"/>
        </w:numPr>
        <w:ind w:left="357" w:hanging="357"/>
        <w:rPr>
          <w:rFonts w:cs="Arial"/>
          <w:szCs w:val="20"/>
        </w:rPr>
      </w:pPr>
      <w:r w:rsidRPr="00B57273">
        <w:rPr>
          <w:rFonts w:cs="Arial"/>
          <w:szCs w:val="20"/>
        </w:rPr>
        <w:t xml:space="preserve">PCT se zavazuje, že průvodci i osoby účastnící se </w:t>
      </w:r>
      <w:r>
        <w:rPr>
          <w:rFonts w:cs="Arial"/>
          <w:szCs w:val="20"/>
        </w:rPr>
        <w:t>P</w:t>
      </w:r>
      <w:r w:rsidRPr="00B57273">
        <w:rPr>
          <w:rFonts w:cs="Arial"/>
          <w:szCs w:val="20"/>
        </w:rPr>
        <w:t>rohlíd</w:t>
      </w:r>
      <w:r>
        <w:rPr>
          <w:rFonts w:cs="Arial"/>
          <w:szCs w:val="20"/>
        </w:rPr>
        <w:t>ek</w:t>
      </w:r>
      <w:r w:rsidR="0034500E">
        <w:rPr>
          <w:rFonts w:cs="Arial"/>
          <w:szCs w:val="20"/>
        </w:rPr>
        <w:t xml:space="preserve"> se</w:t>
      </w:r>
      <w:r w:rsidRPr="00B57273">
        <w:rPr>
          <w:rFonts w:cs="Arial"/>
          <w:szCs w:val="20"/>
        </w:rPr>
        <w:t xml:space="preserve"> zdrží jakýchkoliv jednání, která by rušila ostatní </w:t>
      </w:r>
      <w:r w:rsidR="009D1286">
        <w:rPr>
          <w:rFonts w:cs="Arial"/>
          <w:szCs w:val="20"/>
        </w:rPr>
        <w:t>návštěvník</w:t>
      </w:r>
      <w:r w:rsidR="000B7980">
        <w:rPr>
          <w:rFonts w:cs="Arial"/>
          <w:szCs w:val="20"/>
        </w:rPr>
        <w:t>y</w:t>
      </w:r>
      <w:r w:rsidRPr="00B57273">
        <w:rPr>
          <w:rFonts w:cs="Arial"/>
          <w:szCs w:val="20"/>
        </w:rPr>
        <w:t xml:space="preserve"> </w:t>
      </w:r>
      <w:r w:rsidR="002D18E0">
        <w:rPr>
          <w:rFonts w:cs="Arial"/>
          <w:szCs w:val="20"/>
        </w:rPr>
        <w:t>Musea Kampa</w:t>
      </w:r>
      <w:r w:rsidRPr="00B57273">
        <w:rPr>
          <w:rFonts w:cs="Arial"/>
          <w:szCs w:val="20"/>
        </w:rPr>
        <w:t xml:space="preserve">. </w:t>
      </w:r>
    </w:p>
    <w:p w14:paraId="43C828E2" w14:textId="77777777" w:rsidR="00787002" w:rsidRDefault="00787002" w:rsidP="00787002">
      <w:pPr>
        <w:pStyle w:val="Odstavecseseznamem"/>
        <w:ind w:left="357"/>
        <w:rPr>
          <w:rFonts w:cs="Arial"/>
          <w:szCs w:val="20"/>
        </w:rPr>
      </w:pPr>
    </w:p>
    <w:p w14:paraId="43DD30E8" w14:textId="4FB3407B" w:rsidR="00BD622A" w:rsidRPr="00037FC1" w:rsidRDefault="00B57273" w:rsidP="00AE2083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B57273">
        <w:rPr>
          <w:rFonts w:cs="Arial"/>
          <w:szCs w:val="20"/>
        </w:rPr>
        <w:t xml:space="preserve">PCT se zavazuje přiměřeně dodržovat Všeobecné podmínky realizace akcí v prostorách společnosti </w:t>
      </w:r>
      <w:r w:rsidR="002D18E0">
        <w:rPr>
          <w:rFonts w:cs="Arial"/>
          <w:szCs w:val="20"/>
        </w:rPr>
        <w:t xml:space="preserve">Musea Kampa, </w:t>
      </w:r>
      <w:r w:rsidRPr="00B57273">
        <w:rPr>
          <w:rFonts w:cs="Arial"/>
          <w:szCs w:val="20"/>
        </w:rPr>
        <w:t xml:space="preserve">které tvoří Přílohu č. 1 </w:t>
      </w:r>
      <w:r w:rsidR="00787002">
        <w:rPr>
          <w:rFonts w:cs="Arial"/>
          <w:szCs w:val="20"/>
        </w:rPr>
        <w:t>této smlouvy</w:t>
      </w:r>
      <w:r w:rsidRPr="00B57273">
        <w:rPr>
          <w:rFonts w:cs="Arial"/>
          <w:szCs w:val="20"/>
        </w:rPr>
        <w:t>.  PCT dále potvrzuje, že se s těmito podmínkami seznámil</w:t>
      </w:r>
      <w:r w:rsidR="00B72A2D">
        <w:rPr>
          <w:rFonts w:cs="Arial"/>
          <w:szCs w:val="20"/>
        </w:rPr>
        <w:t>a</w:t>
      </w:r>
      <w:r w:rsidRPr="00B57273">
        <w:rPr>
          <w:rFonts w:cs="Arial"/>
          <w:szCs w:val="20"/>
        </w:rPr>
        <w:t>, souhlasí s nimi a zavazuje se jimi řídit. Aktuální verze těchto podmínek je vždy dostupná na internetové adrese</w:t>
      </w:r>
      <w:r w:rsidR="00335DA2">
        <w:rPr>
          <w:rFonts w:cs="Arial"/>
          <w:szCs w:val="20"/>
        </w:rPr>
        <w:t xml:space="preserve">: </w:t>
      </w:r>
      <w:r w:rsidR="00137C0F" w:rsidRPr="00137C0F">
        <w:rPr>
          <w:rFonts w:cs="Arial"/>
          <w:szCs w:val="20"/>
        </w:rPr>
        <w:t>https://www.museumkampa.cz/navstevni-rad/</w:t>
      </w:r>
    </w:p>
    <w:p w14:paraId="2EF8915F" w14:textId="24F01DB4" w:rsidR="00261AAA" w:rsidRPr="00037FC1" w:rsidRDefault="00FA1052" w:rsidP="00BA71AC">
      <w:pPr>
        <w:pStyle w:val="Nadpis2"/>
        <w:numPr>
          <w:ilvl w:val="0"/>
          <w:numId w:val="3"/>
        </w:numPr>
        <w:spacing w:before="0" w:after="100"/>
        <w:ind w:left="357" w:hanging="357"/>
      </w:pPr>
      <w:r>
        <w:t>f</w:t>
      </w:r>
      <w:r w:rsidR="00C47431" w:rsidRPr="00037FC1">
        <w:t>inanční podmínky spolupráce</w:t>
      </w:r>
    </w:p>
    <w:p w14:paraId="729A54BF" w14:textId="707F2EF8" w:rsidR="00DB72E1" w:rsidRPr="00037FC1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37FC1">
        <w:rPr>
          <w:rFonts w:cs="Arial"/>
          <w:szCs w:val="20"/>
        </w:rPr>
        <w:t xml:space="preserve">PCT se zavazuje uhradit Partnerovi za </w:t>
      </w:r>
      <w:r w:rsidR="000D7E60">
        <w:rPr>
          <w:rFonts w:cs="Arial"/>
          <w:szCs w:val="20"/>
        </w:rPr>
        <w:t>realizované</w:t>
      </w:r>
      <w:r w:rsidRPr="00037FC1">
        <w:rPr>
          <w:rFonts w:cs="Arial"/>
          <w:szCs w:val="20"/>
        </w:rPr>
        <w:t xml:space="preserve"> </w:t>
      </w:r>
      <w:r w:rsidR="000D7E60">
        <w:rPr>
          <w:rFonts w:cs="Arial"/>
          <w:szCs w:val="20"/>
        </w:rPr>
        <w:t>P</w:t>
      </w:r>
      <w:r w:rsidRPr="00037FC1">
        <w:rPr>
          <w:rFonts w:cs="Arial"/>
          <w:szCs w:val="20"/>
        </w:rPr>
        <w:t>rohlídk</w:t>
      </w:r>
      <w:r w:rsidR="000D7E60">
        <w:rPr>
          <w:rFonts w:cs="Arial"/>
          <w:szCs w:val="20"/>
        </w:rPr>
        <w:t>y</w:t>
      </w:r>
      <w:r w:rsidRPr="00037FC1">
        <w:rPr>
          <w:rFonts w:cs="Arial"/>
          <w:szCs w:val="20"/>
        </w:rPr>
        <w:t xml:space="preserve"> </w:t>
      </w:r>
      <w:r w:rsidR="000D7E60">
        <w:rPr>
          <w:rFonts w:cs="Arial"/>
          <w:szCs w:val="20"/>
        </w:rPr>
        <w:t xml:space="preserve">v každém kalendářním čtvrtletí </w:t>
      </w:r>
      <w:r w:rsidRPr="00037FC1">
        <w:rPr>
          <w:rFonts w:cs="Arial"/>
          <w:szCs w:val="20"/>
        </w:rPr>
        <w:t>smluvní odměnu ve výš</w:t>
      </w:r>
      <w:r w:rsidR="00D776E4" w:rsidRPr="00037FC1">
        <w:rPr>
          <w:rFonts w:cs="Arial"/>
          <w:szCs w:val="20"/>
        </w:rPr>
        <w:t xml:space="preserve">i </w:t>
      </w:r>
      <w:r w:rsidR="00E0053D">
        <w:rPr>
          <w:rFonts w:cs="Arial"/>
          <w:szCs w:val="20"/>
        </w:rPr>
        <w:t>1</w:t>
      </w:r>
      <w:r w:rsidR="00F42A6B">
        <w:rPr>
          <w:rFonts w:cs="Arial"/>
          <w:szCs w:val="20"/>
        </w:rPr>
        <w:t>00,</w:t>
      </w:r>
      <w:r w:rsidR="00395B64" w:rsidRPr="00037FC1">
        <w:rPr>
          <w:rFonts w:cs="Arial"/>
          <w:szCs w:val="20"/>
        </w:rPr>
        <w:t xml:space="preserve">- </w:t>
      </w:r>
      <w:r w:rsidR="004279EB" w:rsidRPr="00037FC1">
        <w:rPr>
          <w:rFonts w:cs="Arial"/>
          <w:szCs w:val="20"/>
        </w:rPr>
        <w:t>Kč</w:t>
      </w:r>
      <w:r w:rsidR="00395B64" w:rsidRPr="00037FC1">
        <w:rPr>
          <w:rFonts w:cs="Arial"/>
          <w:szCs w:val="20"/>
        </w:rPr>
        <w:t xml:space="preserve"> (slovy: </w:t>
      </w:r>
      <w:r w:rsidR="00E0053D">
        <w:rPr>
          <w:rFonts w:cs="Arial"/>
          <w:szCs w:val="20"/>
        </w:rPr>
        <w:t>jedno sto</w:t>
      </w:r>
      <w:r w:rsidR="008E6F88">
        <w:rPr>
          <w:rFonts w:cs="Arial"/>
          <w:szCs w:val="20"/>
        </w:rPr>
        <w:t xml:space="preserve"> </w:t>
      </w:r>
      <w:r w:rsidR="00395B64" w:rsidRPr="00037FC1">
        <w:rPr>
          <w:rFonts w:cs="Arial"/>
          <w:szCs w:val="20"/>
        </w:rPr>
        <w:t>korun českých)</w:t>
      </w:r>
      <w:r w:rsidR="004279EB" w:rsidRPr="00037FC1">
        <w:rPr>
          <w:rFonts w:cs="Arial"/>
          <w:szCs w:val="20"/>
        </w:rPr>
        <w:t xml:space="preserve"> </w:t>
      </w:r>
      <w:r w:rsidR="00B17C90">
        <w:rPr>
          <w:rFonts w:cs="Arial"/>
          <w:szCs w:val="20"/>
        </w:rPr>
        <w:t>včetně</w:t>
      </w:r>
      <w:r w:rsidR="005C1C8C" w:rsidRPr="00037FC1">
        <w:rPr>
          <w:rFonts w:cs="Arial"/>
          <w:szCs w:val="20"/>
        </w:rPr>
        <w:t xml:space="preserve"> DPH </w:t>
      </w:r>
      <w:r w:rsidR="004279EB" w:rsidRPr="00037FC1">
        <w:rPr>
          <w:rFonts w:cs="Arial"/>
          <w:szCs w:val="20"/>
        </w:rPr>
        <w:t>za</w:t>
      </w:r>
      <w:r w:rsidR="00F42A6B">
        <w:rPr>
          <w:rFonts w:cs="Arial"/>
          <w:szCs w:val="20"/>
        </w:rPr>
        <w:t xml:space="preserve"> každou </w:t>
      </w:r>
      <w:r w:rsidR="00E0053D">
        <w:rPr>
          <w:rFonts w:cs="Arial"/>
          <w:szCs w:val="20"/>
        </w:rPr>
        <w:t xml:space="preserve">osobu, která se </w:t>
      </w:r>
      <w:r w:rsidR="00114C9C">
        <w:rPr>
          <w:rFonts w:cs="Arial"/>
          <w:szCs w:val="20"/>
        </w:rPr>
        <w:t>P</w:t>
      </w:r>
      <w:r w:rsidR="00E0053D">
        <w:rPr>
          <w:rFonts w:cs="Arial"/>
          <w:szCs w:val="20"/>
        </w:rPr>
        <w:t>rohlídky zúčastní</w:t>
      </w:r>
      <w:r w:rsidRPr="00037FC1">
        <w:rPr>
          <w:rFonts w:cs="Arial"/>
          <w:szCs w:val="20"/>
        </w:rPr>
        <w:t>. Smluvní odměna zahrnuje veškeré náklady Partnera související se zpřístupnění</w:t>
      </w:r>
      <w:r w:rsidR="005A2374" w:rsidRPr="00037FC1">
        <w:rPr>
          <w:rFonts w:cs="Arial"/>
          <w:szCs w:val="20"/>
        </w:rPr>
        <w:t>m</w:t>
      </w:r>
      <w:r w:rsidRPr="00037FC1">
        <w:rPr>
          <w:rFonts w:cs="Arial"/>
          <w:szCs w:val="20"/>
        </w:rPr>
        <w:t xml:space="preserve"> sjednaných prostor </w:t>
      </w:r>
      <w:r w:rsidR="00114C9C">
        <w:rPr>
          <w:rFonts w:cs="Arial"/>
          <w:szCs w:val="20"/>
        </w:rPr>
        <w:t>Musea Kampa.</w:t>
      </w:r>
      <w:r w:rsidRPr="00037FC1">
        <w:rPr>
          <w:rFonts w:cs="Arial"/>
          <w:szCs w:val="20"/>
        </w:rPr>
        <w:t xml:space="preserve"> </w:t>
      </w:r>
      <w:r w:rsidR="001A61D9">
        <w:rPr>
          <w:rFonts w:cs="Arial"/>
          <w:szCs w:val="20"/>
        </w:rPr>
        <w:t>Ke smluvní odměně bude připočtena DPH dle platných právních předpisů.</w:t>
      </w:r>
    </w:p>
    <w:p w14:paraId="089231BB" w14:textId="43709456" w:rsidR="00261AAA" w:rsidRPr="00FA1052" w:rsidRDefault="00B05B73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37FC1">
        <w:rPr>
          <w:rFonts w:cs="Arial"/>
          <w:szCs w:val="20"/>
        </w:rPr>
        <w:t xml:space="preserve">Smluvní strany sjednávají úhradu smluvní odměny </w:t>
      </w:r>
      <w:r w:rsidRPr="00FA1052">
        <w:rPr>
          <w:rFonts w:cs="Arial"/>
          <w:szCs w:val="20"/>
        </w:rPr>
        <w:t>Partnera za realizované Prohlídky</w:t>
      </w:r>
      <w:r w:rsidR="007269E8" w:rsidRPr="00FA1052">
        <w:rPr>
          <w:rFonts w:cs="Arial"/>
          <w:szCs w:val="20"/>
        </w:rPr>
        <w:t>,</w:t>
      </w:r>
      <w:r w:rsidR="007C74CB" w:rsidRPr="00FA1052">
        <w:rPr>
          <w:rFonts w:cs="Arial"/>
          <w:szCs w:val="20"/>
        </w:rPr>
        <w:t xml:space="preserve"> a to</w:t>
      </w:r>
      <w:r w:rsidR="00261AAA" w:rsidRPr="00FA1052">
        <w:rPr>
          <w:rFonts w:cs="Arial"/>
          <w:szCs w:val="20"/>
        </w:rPr>
        <w:t xml:space="preserve"> na základě vyúčtování podle evidence realizovaných </w:t>
      </w:r>
      <w:r w:rsidR="007C74CB" w:rsidRPr="00FA1052">
        <w:rPr>
          <w:rFonts w:cs="Arial"/>
          <w:szCs w:val="20"/>
        </w:rPr>
        <w:t>P</w:t>
      </w:r>
      <w:r w:rsidR="00261AAA" w:rsidRPr="00FA1052">
        <w:rPr>
          <w:rFonts w:cs="Arial"/>
          <w:szCs w:val="20"/>
        </w:rPr>
        <w:t>rohlídek</w:t>
      </w:r>
      <w:r w:rsidR="00C609C4" w:rsidRPr="00FA1052">
        <w:rPr>
          <w:rFonts w:cs="Arial"/>
          <w:szCs w:val="20"/>
        </w:rPr>
        <w:t xml:space="preserve"> </w:t>
      </w:r>
      <w:r w:rsidR="00AC202C" w:rsidRPr="00FA1052">
        <w:rPr>
          <w:rFonts w:cs="Arial"/>
          <w:szCs w:val="20"/>
        </w:rPr>
        <w:t>(dále jen „</w:t>
      </w:r>
      <w:r w:rsidR="00606470" w:rsidRPr="00FA1052">
        <w:rPr>
          <w:rFonts w:ascii="Crabath Text Medium" w:hAnsi="Crabath Text Medium" w:cs="Arial"/>
          <w:szCs w:val="20"/>
        </w:rPr>
        <w:t xml:space="preserve">kvartální </w:t>
      </w:r>
      <w:r w:rsidR="004F07D3" w:rsidRPr="00FA1052">
        <w:rPr>
          <w:rFonts w:ascii="Crabath Text Medium" w:hAnsi="Crabath Text Medium" w:cs="Arial"/>
          <w:szCs w:val="20"/>
        </w:rPr>
        <w:t>vyúčtování</w:t>
      </w:r>
      <w:r w:rsidR="00AC202C" w:rsidRPr="00FA1052">
        <w:rPr>
          <w:rFonts w:cs="Arial"/>
          <w:szCs w:val="20"/>
        </w:rPr>
        <w:t>“)</w:t>
      </w:r>
      <w:r w:rsidR="00261AAA" w:rsidRPr="00FA1052">
        <w:rPr>
          <w:rFonts w:cs="Arial"/>
          <w:szCs w:val="20"/>
        </w:rPr>
        <w:t xml:space="preserve">. </w:t>
      </w:r>
      <w:r w:rsidR="00736DAC" w:rsidRPr="00FA1052">
        <w:rPr>
          <w:rFonts w:cs="Arial"/>
          <w:szCs w:val="20"/>
        </w:rPr>
        <w:t xml:space="preserve">PCT se zavazuje </w:t>
      </w:r>
      <w:r w:rsidR="005C749B" w:rsidRPr="00FA1052">
        <w:rPr>
          <w:rFonts w:cs="Arial"/>
          <w:szCs w:val="20"/>
        </w:rPr>
        <w:t xml:space="preserve">kvartální vyúčtování Partnerovi zaslat nejpozději do </w:t>
      </w:r>
      <w:proofErr w:type="gramStart"/>
      <w:r w:rsidR="005C749B" w:rsidRPr="00FA1052">
        <w:rPr>
          <w:rFonts w:cs="Arial"/>
          <w:szCs w:val="20"/>
        </w:rPr>
        <w:t>5ti</w:t>
      </w:r>
      <w:proofErr w:type="gramEnd"/>
      <w:r w:rsidR="005C749B" w:rsidRPr="00FA1052">
        <w:rPr>
          <w:rFonts w:cs="Arial"/>
          <w:szCs w:val="20"/>
        </w:rPr>
        <w:t xml:space="preserve"> kalendářních dní od skončení příslušného </w:t>
      </w:r>
      <w:r w:rsidR="00814370" w:rsidRPr="00FA1052">
        <w:rPr>
          <w:rFonts w:cs="Arial"/>
          <w:szCs w:val="20"/>
        </w:rPr>
        <w:t xml:space="preserve">kalendářního </w:t>
      </w:r>
      <w:proofErr w:type="gramStart"/>
      <w:r w:rsidR="005C749B" w:rsidRPr="00FA1052">
        <w:rPr>
          <w:rFonts w:cs="Arial"/>
          <w:szCs w:val="20"/>
        </w:rPr>
        <w:t>k</w:t>
      </w:r>
      <w:r w:rsidR="003C0F8E" w:rsidRPr="00FA1052">
        <w:rPr>
          <w:rFonts w:cs="Arial"/>
          <w:szCs w:val="20"/>
        </w:rPr>
        <w:t>v</w:t>
      </w:r>
      <w:r w:rsidR="005C749B" w:rsidRPr="00FA1052">
        <w:rPr>
          <w:rFonts w:cs="Arial"/>
          <w:szCs w:val="20"/>
        </w:rPr>
        <w:t>artálu</w:t>
      </w:r>
      <w:proofErr w:type="gramEnd"/>
      <w:r w:rsidR="007A7C61" w:rsidRPr="00FA1052">
        <w:rPr>
          <w:rFonts w:cs="Arial"/>
          <w:szCs w:val="20"/>
        </w:rPr>
        <w:t xml:space="preserve"> a to na email kontaktní osoby Partnera uvedené níže v této Smlouvě</w:t>
      </w:r>
      <w:r w:rsidR="00170BCF" w:rsidRPr="00FA1052">
        <w:rPr>
          <w:rFonts w:cs="Arial"/>
          <w:szCs w:val="20"/>
        </w:rPr>
        <w:t xml:space="preserve">, nedohodnou-li se </w:t>
      </w:r>
      <w:r w:rsidR="00483FCA" w:rsidRPr="00FA1052">
        <w:rPr>
          <w:rFonts w:cs="Arial"/>
          <w:szCs w:val="20"/>
        </w:rPr>
        <w:t>smluvní strany jinak.</w:t>
      </w:r>
    </w:p>
    <w:p w14:paraId="1613BFD5" w14:textId="4BD67076" w:rsidR="000C4549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FA1052">
        <w:rPr>
          <w:rFonts w:cs="Arial"/>
          <w:szCs w:val="20"/>
        </w:rPr>
        <w:t xml:space="preserve">Na základě zpracovaného </w:t>
      </w:r>
      <w:r w:rsidR="004F07D3" w:rsidRPr="00FA1052">
        <w:rPr>
          <w:rFonts w:cs="Arial"/>
          <w:szCs w:val="20"/>
        </w:rPr>
        <w:t xml:space="preserve">kvartálního </w:t>
      </w:r>
      <w:r w:rsidRPr="00FA1052">
        <w:rPr>
          <w:rFonts w:cs="Arial"/>
          <w:szCs w:val="20"/>
        </w:rPr>
        <w:t xml:space="preserve">vyúčtování </w:t>
      </w:r>
      <w:r w:rsidR="00DA5DD5" w:rsidRPr="00FA1052">
        <w:rPr>
          <w:rFonts w:cs="Arial"/>
          <w:szCs w:val="20"/>
        </w:rPr>
        <w:t>ze strany PCT</w:t>
      </w:r>
      <w:r w:rsidR="00DA5DD5">
        <w:rPr>
          <w:rFonts w:cs="Arial"/>
          <w:szCs w:val="20"/>
        </w:rPr>
        <w:t xml:space="preserve"> </w:t>
      </w:r>
      <w:r w:rsidRPr="00A72332">
        <w:rPr>
          <w:rFonts w:cs="Arial"/>
          <w:szCs w:val="20"/>
        </w:rPr>
        <w:t xml:space="preserve">vystaví </w:t>
      </w:r>
      <w:r>
        <w:rPr>
          <w:rFonts w:cs="Arial"/>
          <w:szCs w:val="20"/>
        </w:rPr>
        <w:t>Partner</w:t>
      </w:r>
      <w:r w:rsidRPr="00A72332">
        <w:rPr>
          <w:rFonts w:cs="Arial"/>
          <w:szCs w:val="20"/>
        </w:rPr>
        <w:t xml:space="preserve"> fakturu na částku odpovídající </w:t>
      </w:r>
      <w:r w:rsidR="000611F0">
        <w:rPr>
          <w:rFonts w:cs="Arial"/>
          <w:szCs w:val="20"/>
        </w:rPr>
        <w:t xml:space="preserve">počtu </w:t>
      </w:r>
      <w:r>
        <w:rPr>
          <w:rFonts w:cs="Arial"/>
          <w:szCs w:val="20"/>
        </w:rPr>
        <w:t>realizovaný</w:t>
      </w:r>
      <w:r w:rsidR="000611F0">
        <w:rPr>
          <w:rFonts w:cs="Arial"/>
          <w:szCs w:val="20"/>
        </w:rPr>
        <w:t>ch</w:t>
      </w:r>
      <w:r>
        <w:rPr>
          <w:rFonts w:cs="Arial"/>
          <w:szCs w:val="20"/>
        </w:rPr>
        <w:t xml:space="preserve"> </w:t>
      </w:r>
      <w:r w:rsidR="006F08A3">
        <w:rPr>
          <w:rFonts w:cs="Arial"/>
          <w:szCs w:val="20"/>
        </w:rPr>
        <w:t>P</w:t>
      </w:r>
      <w:r>
        <w:rPr>
          <w:rFonts w:cs="Arial"/>
          <w:szCs w:val="20"/>
        </w:rPr>
        <w:t>rohlíd</w:t>
      </w:r>
      <w:r w:rsidR="00C609C4">
        <w:rPr>
          <w:rFonts w:cs="Arial"/>
          <w:szCs w:val="20"/>
        </w:rPr>
        <w:t>ek</w:t>
      </w:r>
      <w:r>
        <w:rPr>
          <w:rFonts w:cs="Arial"/>
          <w:szCs w:val="20"/>
        </w:rPr>
        <w:t xml:space="preserve"> </w:t>
      </w:r>
      <w:r w:rsidR="00266ECA">
        <w:rPr>
          <w:rFonts w:cs="Arial"/>
          <w:szCs w:val="20"/>
        </w:rPr>
        <w:t xml:space="preserve">a počtu účastníků akce </w:t>
      </w:r>
      <w:r w:rsidR="00952959">
        <w:rPr>
          <w:rFonts w:cs="Arial"/>
          <w:szCs w:val="20"/>
        </w:rPr>
        <w:t xml:space="preserve">za dané časové </w:t>
      </w:r>
      <w:r w:rsidR="00DA5DD5">
        <w:rPr>
          <w:rFonts w:cs="Arial"/>
          <w:szCs w:val="20"/>
        </w:rPr>
        <w:t>období</w:t>
      </w:r>
      <w:r w:rsidRPr="00A72332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a to nejpozději do </w:t>
      </w:r>
      <w:r w:rsidR="006F08A3">
        <w:rPr>
          <w:rFonts w:cs="Arial"/>
          <w:szCs w:val="20"/>
        </w:rPr>
        <w:t>5ti kalendářních</w:t>
      </w:r>
      <w:r>
        <w:rPr>
          <w:rFonts w:cs="Arial"/>
          <w:szCs w:val="20"/>
        </w:rPr>
        <w:t xml:space="preserve"> dnů od </w:t>
      </w:r>
      <w:r w:rsidR="006F08A3">
        <w:rPr>
          <w:rFonts w:cs="Arial"/>
          <w:szCs w:val="20"/>
        </w:rPr>
        <w:t>zaslání příslušného</w:t>
      </w:r>
      <w:r w:rsidRPr="00A72332" w:rsidDel="005A671D">
        <w:rPr>
          <w:rFonts w:cs="Arial"/>
          <w:szCs w:val="20"/>
        </w:rPr>
        <w:t xml:space="preserve"> </w:t>
      </w:r>
      <w:r w:rsidR="00736DAC">
        <w:rPr>
          <w:rFonts w:cs="Arial"/>
          <w:szCs w:val="20"/>
        </w:rPr>
        <w:t>kvartální</w:t>
      </w:r>
      <w:r w:rsidR="006F08A3">
        <w:rPr>
          <w:rFonts w:cs="Arial"/>
          <w:szCs w:val="20"/>
        </w:rPr>
        <w:t>ho</w:t>
      </w:r>
      <w:r w:rsidR="00736DAC">
        <w:rPr>
          <w:rFonts w:cs="Arial"/>
          <w:szCs w:val="20"/>
        </w:rPr>
        <w:t xml:space="preserve"> </w:t>
      </w:r>
      <w:r w:rsidRPr="00A72332">
        <w:rPr>
          <w:rFonts w:cs="Arial"/>
          <w:szCs w:val="20"/>
        </w:rPr>
        <w:t>vyúčtování</w:t>
      </w:r>
      <w:r w:rsidR="007269E8">
        <w:rPr>
          <w:rFonts w:cs="Arial"/>
          <w:szCs w:val="20"/>
        </w:rPr>
        <w:t>.</w:t>
      </w:r>
    </w:p>
    <w:p w14:paraId="6B8A800A" w14:textId="71245987" w:rsidR="00261AAA" w:rsidRPr="00A72332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>Daňov</w:t>
      </w:r>
      <w:r w:rsidR="000C4549">
        <w:rPr>
          <w:rFonts w:cs="Arial"/>
          <w:szCs w:val="20"/>
        </w:rPr>
        <w:t>é</w:t>
      </w:r>
      <w:r w:rsidRPr="00A72332">
        <w:rPr>
          <w:rFonts w:cs="Arial"/>
          <w:szCs w:val="20"/>
        </w:rPr>
        <w:t xml:space="preserve"> doklad</w:t>
      </w:r>
      <w:r w:rsidR="000C4549">
        <w:rPr>
          <w:rFonts w:cs="Arial"/>
          <w:szCs w:val="20"/>
        </w:rPr>
        <w:t xml:space="preserve">y </w:t>
      </w:r>
      <w:r w:rsidRPr="00A72332">
        <w:rPr>
          <w:rFonts w:cs="Arial"/>
          <w:szCs w:val="20"/>
        </w:rPr>
        <w:t>vystaven</w:t>
      </w:r>
      <w:r w:rsidR="000C4549">
        <w:rPr>
          <w:rFonts w:cs="Arial"/>
          <w:szCs w:val="20"/>
        </w:rPr>
        <w:t xml:space="preserve">é na základě této </w:t>
      </w:r>
      <w:r w:rsidR="003269A3">
        <w:rPr>
          <w:rFonts w:cs="Arial"/>
          <w:szCs w:val="20"/>
        </w:rPr>
        <w:t>Sm</w:t>
      </w:r>
      <w:r w:rsidR="000C4549">
        <w:rPr>
          <w:rFonts w:cs="Arial"/>
          <w:szCs w:val="20"/>
        </w:rPr>
        <w:t xml:space="preserve">louvy jsou </w:t>
      </w:r>
      <w:r w:rsidRPr="00A72332">
        <w:rPr>
          <w:rFonts w:cs="Arial"/>
          <w:szCs w:val="20"/>
        </w:rPr>
        <w:t>splatn</w:t>
      </w:r>
      <w:r w:rsidR="000C4549">
        <w:rPr>
          <w:rFonts w:cs="Arial"/>
          <w:szCs w:val="20"/>
        </w:rPr>
        <w:t>é</w:t>
      </w:r>
      <w:r w:rsidRPr="00A72332">
        <w:rPr>
          <w:rFonts w:cs="Arial"/>
          <w:szCs w:val="20"/>
        </w:rPr>
        <w:t xml:space="preserve"> do </w:t>
      </w:r>
      <w:r w:rsidR="00C609C4">
        <w:rPr>
          <w:rFonts w:cs="Arial"/>
          <w:szCs w:val="20"/>
        </w:rPr>
        <w:t>30</w:t>
      </w:r>
      <w:r w:rsidRPr="00A72332">
        <w:rPr>
          <w:rFonts w:cs="Arial"/>
          <w:szCs w:val="20"/>
        </w:rPr>
        <w:t xml:space="preserve"> dnů ode dne je</w:t>
      </w:r>
      <w:r w:rsidR="000C4549">
        <w:rPr>
          <w:rFonts w:cs="Arial"/>
          <w:szCs w:val="20"/>
        </w:rPr>
        <w:t>jich</w:t>
      </w:r>
      <w:r w:rsidRPr="00A72332">
        <w:rPr>
          <w:rFonts w:cs="Arial"/>
          <w:szCs w:val="20"/>
        </w:rPr>
        <w:t xml:space="preserve"> vystavení. Daňový doklad se považuje za</w:t>
      </w:r>
      <w:r w:rsidRPr="00A72332">
        <w:rPr>
          <w:rFonts w:cs="Arial"/>
          <w:color w:val="FF0000"/>
          <w:szCs w:val="20"/>
        </w:rPr>
        <w:t> </w:t>
      </w:r>
      <w:r w:rsidRPr="00A72332">
        <w:rPr>
          <w:rFonts w:cs="Arial"/>
          <w:szCs w:val="20"/>
        </w:rPr>
        <w:t xml:space="preserve">uhrazený dnem připsání příslušné částky na účet </w:t>
      </w:r>
      <w:r w:rsidR="00E12497">
        <w:rPr>
          <w:rFonts w:cs="Arial"/>
          <w:szCs w:val="20"/>
        </w:rPr>
        <w:t>druhé smluvní strany</w:t>
      </w:r>
      <w:r w:rsidR="00950A02">
        <w:rPr>
          <w:rFonts w:cs="Arial"/>
          <w:szCs w:val="20"/>
        </w:rPr>
        <w:t xml:space="preserve"> této Smlouvy</w:t>
      </w:r>
      <w:r w:rsidRPr="00A72332">
        <w:rPr>
          <w:rFonts w:cs="Arial"/>
          <w:szCs w:val="20"/>
        </w:rPr>
        <w:t>.</w:t>
      </w:r>
    </w:p>
    <w:p w14:paraId="3B5EE6CF" w14:textId="72385DDA" w:rsidR="00261AAA" w:rsidRPr="00A72332" w:rsidRDefault="001B6B7E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Partner se zavazuje zaslat příslušný </w:t>
      </w:r>
      <w:r w:rsidR="00261AAA">
        <w:rPr>
          <w:rFonts w:cs="Arial"/>
          <w:szCs w:val="20"/>
        </w:rPr>
        <w:t>vystavený daňový doklad</w:t>
      </w:r>
      <w:r w:rsidR="00261AAA" w:rsidRPr="00A72332">
        <w:rPr>
          <w:rFonts w:cs="Arial"/>
          <w:szCs w:val="20"/>
        </w:rPr>
        <w:t xml:space="preserve"> na e-mailovou adresu </w:t>
      </w:r>
      <w:r w:rsidR="00261AAA">
        <w:rPr>
          <w:rFonts w:cs="Arial"/>
          <w:szCs w:val="20"/>
        </w:rPr>
        <w:t xml:space="preserve">PCT </w:t>
      </w:r>
      <w:hyperlink r:id="rId8" w:history="1">
        <w:r w:rsidR="00390A2F" w:rsidRPr="006D1141">
          <w:t>fakturace@prague.eu</w:t>
        </w:r>
      </w:hyperlink>
      <w:r w:rsidR="00FF1B2A">
        <w:rPr>
          <w:rFonts w:cs="Arial"/>
          <w:szCs w:val="20"/>
        </w:rPr>
        <w:t xml:space="preserve">, kdy </w:t>
      </w:r>
      <w:r w:rsidR="00EF195D">
        <w:rPr>
          <w:rFonts w:cs="Arial"/>
          <w:szCs w:val="20"/>
        </w:rPr>
        <w:t xml:space="preserve">do </w:t>
      </w:r>
      <w:r w:rsidR="00FF1B2A">
        <w:rPr>
          <w:rFonts w:cs="Arial"/>
          <w:szCs w:val="20"/>
        </w:rPr>
        <w:t>kopi</w:t>
      </w:r>
      <w:r w:rsidR="003D6B4D">
        <w:rPr>
          <w:rFonts w:cs="Arial"/>
          <w:szCs w:val="20"/>
        </w:rPr>
        <w:t>e</w:t>
      </w:r>
      <w:r w:rsidR="00FF1B2A">
        <w:rPr>
          <w:rFonts w:cs="Arial"/>
          <w:szCs w:val="20"/>
        </w:rPr>
        <w:t xml:space="preserve"> daného emailu </w:t>
      </w:r>
      <w:r w:rsidR="00EF195D">
        <w:rPr>
          <w:rFonts w:cs="Arial"/>
          <w:szCs w:val="20"/>
        </w:rPr>
        <w:t xml:space="preserve">připojí </w:t>
      </w:r>
      <w:r w:rsidR="00FF1B2A">
        <w:rPr>
          <w:rFonts w:cs="Arial"/>
          <w:szCs w:val="20"/>
        </w:rPr>
        <w:t>níže v této Smlouvě uvedenou kontaktní osobu PCT</w:t>
      </w:r>
      <w:r w:rsidR="00261AAA" w:rsidRPr="00A72332">
        <w:rPr>
          <w:rFonts w:cs="Arial"/>
          <w:szCs w:val="20"/>
        </w:rPr>
        <w:t>.</w:t>
      </w:r>
    </w:p>
    <w:p w14:paraId="42C971AF" w14:textId="1680C69A" w:rsidR="00261AAA" w:rsidRDefault="00261AAA" w:rsidP="00261AAA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 xml:space="preserve">V případě zjištění pochybení při zpracování uvedeného vyúčtování se zavazuje </w:t>
      </w:r>
      <w:r>
        <w:rPr>
          <w:rFonts w:cs="Arial"/>
          <w:szCs w:val="20"/>
        </w:rPr>
        <w:t>P</w:t>
      </w:r>
      <w:r w:rsidR="001B6B7E">
        <w:rPr>
          <w:rFonts w:cs="Arial"/>
          <w:szCs w:val="20"/>
        </w:rPr>
        <w:t>CT</w:t>
      </w:r>
      <w:r w:rsidRPr="00A72332">
        <w:rPr>
          <w:rFonts w:cs="Arial"/>
          <w:szCs w:val="20"/>
        </w:rPr>
        <w:t xml:space="preserve"> neprodleně takové vyúčtování opravit</w:t>
      </w:r>
      <w:r>
        <w:rPr>
          <w:rFonts w:cs="Arial"/>
          <w:szCs w:val="20"/>
        </w:rPr>
        <w:t>,</w:t>
      </w:r>
      <w:r w:rsidRPr="00A72332">
        <w:rPr>
          <w:rFonts w:cs="Arial"/>
          <w:szCs w:val="20"/>
        </w:rPr>
        <w:t xml:space="preserve"> event. </w:t>
      </w:r>
      <w:r w:rsidR="0043488B">
        <w:rPr>
          <w:rFonts w:cs="Arial"/>
          <w:szCs w:val="20"/>
        </w:rPr>
        <w:t>uhradit</w:t>
      </w:r>
      <w:r w:rsidRPr="00A72332">
        <w:rPr>
          <w:rFonts w:cs="Arial"/>
          <w:szCs w:val="20"/>
        </w:rPr>
        <w:t xml:space="preserve"> </w:t>
      </w:r>
      <w:r w:rsidR="001B6B7E">
        <w:rPr>
          <w:rFonts w:cs="Arial"/>
          <w:szCs w:val="20"/>
        </w:rPr>
        <w:t>Partnerovi</w:t>
      </w:r>
      <w:r>
        <w:rPr>
          <w:rFonts w:cs="Arial"/>
          <w:szCs w:val="20"/>
        </w:rPr>
        <w:t xml:space="preserve"> </w:t>
      </w:r>
      <w:r w:rsidRPr="00A72332">
        <w:rPr>
          <w:rFonts w:cs="Arial"/>
          <w:szCs w:val="20"/>
        </w:rPr>
        <w:t>chybně uhrazen</w:t>
      </w:r>
      <w:r w:rsidR="0043488B">
        <w:rPr>
          <w:rFonts w:cs="Arial"/>
          <w:szCs w:val="20"/>
        </w:rPr>
        <w:t>ou</w:t>
      </w:r>
      <w:r w:rsidRPr="00A72332">
        <w:rPr>
          <w:rFonts w:cs="Arial"/>
          <w:szCs w:val="20"/>
        </w:rPr>
        <w:t xml:space="preserve"> smluvní </w:t>
      </w:r>
      <w:r>
        <w:rPr>
          <w:rFonts w:cs="Arial"/>
          <w:szCs w:val="20"/>
        </w:rPr>
        <w:t>odměn</w:t>
      </w:r>
      <w:r w:rsidR="009C77C6">
        <w:rPr>
          <w:rFonts w:cs="Arial"/>
          <w:szCs w:val="20"/>
        </w:rPr>
        <w:t>u</w:t>
      </w:r>
      <w:r w:rsidRPr="00A72332">
        <w:rPr>
          <w:rFonts w:cs="Arial"/>
          <w:szCs w:val="20"/>
        </w:rPr>
        <w:t xml:space="preserve">. </w:t>
      </w:r>
    </w:p>
    <w:p w14:paraId="451B2249" w14:textId="479BD9F7" w:rsidR="00261AAA" w:rsidRDefault="00FA1052" w:rsidP="00BA71AC">
      <w:pPr>
        <w:pStyle w:val="Nadpis2"/>
        <w:numPr>
          <w:ilvl w:val="0"/>
          <w:numId w:val="3"/>
        </w:numPr>
        <w:spacing w:before="0" w:after="100"/>
      </w:pPr>
      <w:r>
        <w:t>p</w:t>
      </w:r>
      <w:r w:rsidR="00261AAA" w:rsidRPr="00710033">
        <w:t>rohlášení smluvních stran</w:t>
      </w:r>
    </w:p>
    <w:p w14:paraId="3CFF30F2" w14:textId="5C00ED0D" w:rsidR="00261AAA" w:rsidRPr="000031DE" w:rsidRDefault="00261AAA" w:rsidP="00261AAA">
      <w:pPr>
        <w:pStyle w:val="odrazka"/>
        <w:numPr>
          <w:ilvl w:val="1"/>
          <w:numId w:val="3"/>
        </w:numPr>
      </w:pPr>
      <w:r w:rsidRPr="00710033">
        <w:t>Smluvní strany se zavazují navzájem nepoškozovat dobré jméno P</w:t>
      </w:r>
      <w:r>
        <w:t>CT, Partnera</w:t>
      </w:r>
      <w:r w:rsidR="001B6B7E">
        <w:t xml:space="preserve"> a</w:t>
      </w:r>
      <w:r>
        <w:t xml:space="preserve"> hlavního města Prahy</w:t>
      </w:r>
      <w:r w:rsidRPr="00710033">
        <w:t xml:space="preserve">. Tato povinnost trvá i po ukončení </w:t>
      </w:r>
      <w:r w:rsidRPr="000031DE">
        <w:t>platnosti této smlouvy.</w:t>
      </w:r>
    </w:p>
    <w:p w14:paraId="2505995E" w14:textId="42AF3DDA" w:rsidR="00261AAA" w:rsidRPr="000031DE" w:rsidRDefault="00261AAA" w:rsidP="00BA71AC">
      <w:pPr>
        <w:pStyle w:val="odrazka"/>
        <w:numPr>
          <w:ilvl w:val="1"/>
          <w:numId w:val="3"/>
        </w:numPr>
      </w:pPr>
      <w:r>
        <w:t>Smluvní strany</w:t>
      </w:r>
      <w:r w:rsidRPr="000031DE">
        <w:t xml:space="preserve"> prohlašuj</w:t>
      </w:r>
      <w:r>
        <w:t>í</w:t>
      </w:r>
      <w:r w:rsidRPr="000031DE">
        <w:t>, že souhlasí s tím, že veškeré informace a podklady, které se do</w:t>
      </w:r>
      <w:r>
        <w:t>zví</w:t>
      </w:r>
      <w:r w:rsidRPr="000031DE">
        <w:t xml:space="preserve"> či získa</w:t>
      </w:r>
      <w:r>
        <w:t>jí</w:t>
      </w:r>
      <w:r w:rsidRPr="000031DE">
        <w:t xml:space="preserve"> </w:t>
      </w:r>
      <w:r w:rsidRPr="000031DE">
        <w:br/>
        <w:t xml:space="preserve">při plnění této </w:t>
      </w:r>
      <w:r>
        <w:t>S</w:t>
      </w:r>
      <w:r w:rsidRPr="000031DE">
        <w:t xml:space="preserve">mlouvy či v souvislosti s ní jsou přísně důvěrné (dále jen „Důvěrné informace“) </w:t>
      </w:r>
      <w:r w:rsidRPr="000031DE">
        <w:br/>
        <w:t>a zavazuj</w:t>
      </w:r>
      <w:r>
        <w:t xml:space="preserve">í se </w:t>
      </w:r>
      <w:r w:rsidRPr="000031DE">
        <w:t xml:space="preserve">zachovávat o všech </w:t>
      </w:r>
      <w:r w:rsidRPr="00172320">
        <w:t>Důvěrných informacích mlčenlivost a neposkytnout tyto žádné třetí osobě ani je nevyužít ve svůj prospěch nebo ve prospěch žádné třetí osoby.</w:t>
      </w:r>
    </w:p>
    <w:p w14:paraId="62D982BD" w14:textId="1058D6F8" w:rsidR="00261AAA" w:rsidRPr="000031DE" w:rsidRDefault="00FA1052" w:rsidP="00BA71AC">
      <w:pPr>
        <w:pStyle w:val="Nadpis2"/>
        <w:numPr>
          <w:ilvl w:val="0"/>
          <w:numId w:val="3"/>
        </w:numPr>
        <w:spacing w:before="0" w:after="100"/>
        <w:ind w:left="357" w:hanging="357"/>
      </w:pPr>
      <w:r>
        <w:lastRenderedPageBreak/>
        <w:t>p</w:t>
      </w:r>
      <w:r w:rsidR="00261AAA" w:rsidRPr="000031DE">
        <w:t>latnost smlouvy</w:t>
      </w:r>
    </w:p>
    <w:p w14:paraId="3377245F" w14:textId="77777777" w:rsidR="001370A0" w:rsidRPr="001370A0" w:rsidRDefault="00261AAA" w:rsidP="001370A0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031DE">
        <w:rPr>
          <w:rFonts w:cs="Arial"/>
          <w:szCs w:val="20"/>
        </w:rPr>
        <w:t xml:space="preserve">Tato smlouva se uzavírá na dobu </w:t>
      </w:r>
      <w:r>
        <w:rPr>
          <w:rFonts w:cs="Arial"/>
          <w:szCs w:val="20"/>
        </w:rPr>
        <w:t>neurčitou</w:t>
      </w:r>
      <w:r w:rsidR="001370A0">
        <w:rPr>
          <w:rFonts w:cs="Arial"/>
        </w:rPr>
        <w:t>.</w:t>
      </w:r>
    </w:p>
    <w:p w14:paraId="4D797376" w14:textId="59F98CBE" w:rsidR="00261AAA" w:rsidRPr="000031DE" w:rsidRDefault="001370A0" w:rsidP="00BA71AC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</w:rPr>
        <w:t>K</w:t>
      </w:r>
      <w:r w:rsidR="00261AAA">
        <w:rPr>
          <w:rFonts w:cs="Arial"/>
        </w:rPr>
        <w:t>aždá smluvní stran</w:t>
      </w:r>
      <w:r>
        <w:rPr>
          <w:rFonts w:cs="Arial"/>
        </w:rPr>
        <w:t>a</w:t>
      </w:r>
      <w:r w:rsidR="00261AAA">
        <w:rPr>
          <w:rFonts w:cs="Arial"/>
        </w:rPr>
        <w:t xml:space="preserve"> je oprávněna tuto Smlouvu zrušit výpověd</w:t>
      </w:r>
      <w:r w:rsidR="00F73230">
        <w:rPr>
          <w:rFonts w:cs="Arial"/>
        </w:rPr>
        <w:t>í</w:t>
      </w:r>
      <w:r w:rsidR="00261AAA">
        <w:rPr>
          <w:rFonts w:cs="Arial"/>
        </w:rPr>
        <w:t xml:space="preserve"> bez uvedení důvodů s výpovědní dobou </w:t>
      </w:r>
      <w:r w:rsidR="00867A4D">
        <w:rPr>
          <w:rFonts w:cs="Arial"/>
        </w:rPr>
        <w:t>dvou kalendářních měsíců, kdy výpovědní doba začne běžet počátkem následujícího kalendářního měsíce po doručení výpovědi druhé smluvní straně</w:t>
      </w:r>
      <w:r w:rsidR="00261AAA">
        <w:rPr>
          <w:rFonts w:cs="Arial"/>
        </w:rPr>
        <w:t>.</w:t>
      </w:r>
    </w:p>
    <w:p w14:paraId="474F57CC" w14:textId="779E2F49" w:rsidR="00261AAA" w:rsidRDefault="00FA1052" w:rsidP="00BA71AC">
      <w:pPr>
        <w:pStyle w:val="Nadpis2"/>
        <w:numPr>
          <w:ilvl w:val="0"/>
          <w:numId w:val="3"/>
        </w:numPr>
        <w:spacing w:before="0" w:after="100"/>
        <w:ind w:left="357" w:hanging="357"/>
      </w:pPr>
      <w:r>
        <w:t>s</w:t>
      </w:r>
      <w:r w:rsidR="00261AAA">
        <w:t>polečná a závěrečná ustanovení</w:t>
      </w:r>
    </w:p>
    <w:p w14:paraId="5EDC9C7D" w14:textId="10C3CD9E" w:rsidR="001E6BF9" w:rsidRDefault="00E531D3" w:rsidP="00FF51FF">
      <w:pPr>
        <w:pStyle w:val="Odstavecseseznamem"/>
        <w:numPr>
          <w:ilvl w:val="1"/>
          <w:numId w:val="3"/>
        </w:numPr>
        <w:spacing w:after="0"/>
        <w:ind w:left="357" w:hanging="357"/>
        <w:contextualSpacing w:val="0"/>
      </w:pPr>
      <w:r w:rsidRPr="00E531D3">
        <w:t xml:space="preserve">Smlouva nabývá platnosti </w:t>
      </w:r>
      <w:r w:rsidR="00DC5745">
        <w:t xml:space="preserve">dnem </w:t>
      </w:r>
      <w:r w:rsidRPr="00E531D3">
        <w:t>podpisu oběma smluvními stranami a účinnosti dnem uveřejnění v registru smluv</w:t>
      </w:r>
      <w:r w:rsidR="00FF51FF">
        <w:t xml:space="preserve">. </w:t>
      </w:r>
      <w:r w:rsidR="00FF51FF" w:rsidRPr="00FF51FF">
        <w:t xml:space="preserve">V souvislosti s aplikací zákona č. 340/2015 Sb., o zvláštních podmínkách účinnosti některých smluv, uveřejňování těchto smluv a o registru smluv (zákon o registru smluv), v platném znění (dále jen "ZRS"), na tuto </w:t>
      </w:r>
      <w:r w:rsidR="00756D52">
        <w:t>S</w:t>
      </w:r>
      <w:r w:rsidR="00FF51FF" w:rsidRPr="00FF51FF">
        <w:t xml:space="preserve">mlouvu se smluvní strany dohodly na následujícím: Smlouva neobsahuje obchodní tajemství žádné ze smluvních stran ani jiné informace vyloučené z povinnosti uveřejnění a je způsobilá k uveřejnění v registru smluv dle ZRS a smluvní strany s uveřejněním této Smlouvy v registru smluv souhlasí. Zveřejnění se zavazuje zajistit PCT. </w:t>
      </w:r>
    </w:p>
    <w:p w14:paraId="0413C21F" w14:textId="77777777" w:rsidR="00FF51FF" w:rsidRDefault="00FF51FF" w:rsidP="00FF51FF">
      <w:pPr>
        <w:pStyle w:val="Odstavecseseznamem"/>
        <w:spacing w:after="0"/>
        <w:ind w:left="357"/>
        <w:contextualSpacing w:val="0"/>
      </w:pPr>
    </w:p>
    <w:p w14:paraId="49E81675" w14:textId="08C09339" w:rsidR="00261AAA" w:rsidRPr="00BC1440" w:rsidRDefault="00261AAA" w:rsidP="00261AAA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Smlouva je sepsána ve dvou vyhotoveních, z nichž každá </w:t>
      </w:r>
      <w:r>
        <w:t>s</w:t>
      </w:r>
      <w:r w:rsidRPr="007316B8">
        <w:t xml:space="preserve">mluvní strana obdrží po jednom vyhotovení. </w:t>
      </w:r>
    </w:p>
    <w:p w14:paraId="67B26F2D" w14:textId="6ADD7078" w:rsidR="00261AAA" w:rsidRPr="007316B8" w:rsidRDefault="00446EF1" w:rsidP="00261AAA">
      <w:pPr>
        <w:pStyle w:val="Odstavecseseznamem"/>
        <w:numPr>
          <w:ilvl w:val="1"/>
          <w:numId w:val="3"/>
        </w:numPr>
        <w:contextualSpacing w:val="0"/>
        <w:jc w:val="both"/>
      </w:pPr>
      <w:r w:rsidRPr="00446EF1">
        <w:t>Tuto Smlouvu lze měnit a doplňovat pouze písemnými vzestupně číslovanými dodatky, které budou podepsány oběma smluvními stranami</w:t>
      </w:r>
      <w:r w:rsidR="00261AAA" w:rsidRPr="007316B8">
        <w:t xml:space="preserve">. </w:t>
      </w:r>
    </w:p>
    <w:p w14:paraId="43600809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Práva a povinnosti touto </w:t>
      </w:r>
      <w:r>
        <w:t>s</w:t>
      </w:r>
      <w:r w:rsidRPr="007316B8">
        <w:t>mlouvou výslovně neupravené se řídí příslušnými právními před</w:t>
      </w:r>
      <w:r>
        <w:t>pis</w:t>
      </w:r>
      <w:r w:rsidRPr="007316B8">
        <w:t xml:space="preserve">y, zejména </w:t>
      </w:r>
      <w:r w:rsidRPr="00DA4C8F">
        <w:t>zákonem č. 89/2012 Sb.,</w:t>
      </w:r>
      <w:r w:rsidRPr="007316B8">
        <w:t xml:space="preserve"> občanským zákoníkem</w:t>
      </w:r>
      <w:r>
        <w:t xml:space="preserve"> v platném znění</w:t>
      </w:r>
      <w:r w:rsidRPr="007316B8">
        <w:t xml:space="preserve">. </w:t>
      </w:r>
    </w:p>
    <w:p w14:paraId="56211051" w14:textId="42B3F2FA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se zavazují vyvinout maximální úsilí k odstranění vzájemných sporů vzniklých na základě </w:t>
      </w:r>
      <w:r w:rsidR="00756D52">
        <w:t>S</w:t>
      </w:r>
      <w:r w:rsidRPr="007316B8">
        <w:t xml:space="preserve">mlouvy nebo v souvislosti s ní nejprve smírně prostřednictvím jednání oprávněných osob nebo pověřených zástupců. </w:t>
      </w:r>
    </w:p>
    <w:p w14:paraId="4D7BE577" w14:textId="0C7D2CBA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výslovně sjednávají, že případné obchodní zvyklosti, týkající se plnění této </w:t>
      </w:r>
      <w:r w:rsidR="00C43FEC">
        <w:t>S</w:t>
      </w:r>
      <w:r w:rsidRPr="007316B8">
        <w:t xml:space="preserve">mlouvy, nemají přednost před ujednáními obsaženými ve </w:t>
      </w:r>
      <w:r>
        <w:t>s</w:t>
      </w:r>
      <w:r w:rsidRPr="007316B8">
        <w:t>mlouvě, ani před ustanoveními zákona, byť by tato ustanovení neměla donucující účinky.</w:t>
      </w:r>
    </w:p>
    <w:p w14:paraId="251EF19B" w14:textId="39298F1F" w:rsidR="00261AAA" w:rsidRPr="00873E21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873E21">
        <w:t xml:space="preserve">Kontaktními osobami smluvních stran v záležitostech této </w:t>
      </w:r>
      <w:r w:rsidR="00C43FEC">
        <w:t>S</w:t>
      </w:r>
      <w:r w:rsidRPr="00873E21">
        <w:t>mlouvy jsou:</w:t>
      </w:r>
    </w:p>
    <w:p w14:paraId="665B3CCB" w14:textId="765E715F" w:rsidR="00F73230" w:rsidRPr="00873E21" w:rsidRDefault="00261AAA" w:rsidP="00873E21">
      <w:pPr>
        <w:pStyle w:val="Odstavecseseznamem"/>
        <w:ind w:left="360"/>
        <w:contextualSpacing w:val="0"/>
      </w:pPr>
      <w:r w:rsidRPr="00873E21">
        <w:t>za Partnera:</w:t>
      </w:r>
      <w:r w:rsidR="00873E21">
        <w:tab/>
      </w:r>
    </w:p>
    <w:p w14:paraId="1A4A8F6D" w14:textId="20304FDC" w:rsidR="00261AAA" w:rsidRDefault="00261AAA" w:rsidP="00873E21">
      <w:pPr>
        <w:ind w:firstLine="360"/>
      </w:pPr>
      <w:r w:rsidRPr="00873E21">
        <w:t>za PCT:</w:t>
      </w:r>
      <w:r w:rsidR="00873E21">
        <w:t xml:space="preserve"> </w:t>
      </w:r>
    </w:p>
    <w:p w14:paraId="0DB8264F" w14:textId="1494EEEE" w:rsidR="009C0A5B" w:rsidRDefault="009C0A5B" w:rsidP="000E0413">
      <w:pPr>
        <w:ind w:left="360" w:firstLine="20"/>
      </w:pPr>
      <w:r>
        <w:t xml:space="preserve">V případě změny výše uvedené kontaktní osoby zavazuje se </w:t>
      </w:r>
      <w:r w:rsidR="003B34EE">
        <w:t xml:space="preserve">smluvní strana, které se změna týká, druhou smluvní stranu neprodleně informovat. </w:t>
      </w:r>
      <w:r w:rsidR="000E0413">
        <w:t xml:space="preserve">Smluvní strany sjednávají, že změna kontaktní osoby </w:t>
      </w:r>
      <w:r w:rsidR="008A52D0">
        <w:t xml:space="preserve">oznámená </w:t>
      </w:r>
      <w:r w:rsidR="000E0413">
        <w:t>formou emailu</w:t>
      </w:r>
      <w:r w:rsidR="002679F2">
        <w:t>, kdy druhá smluvní strana potvrdí jeho doručení,</w:t>
      </w:r>
      <w:r w:rsidR="000E0413">
        <w:t xml:space="preserve"> se považuje za dostatečn</w:t>
      </w:r>
      <w:r w:rsidR="00D760F0">
        <w:t xml:space="preserve">é informování </w:t>
      </w:r>
      <w:r w:rsidR="00D64DA3">
        <w:t>o změně kontaktní osoby</w:t>
      </w:r>
      <w:r w:rsidR="000E0413">
        <w:t xml:space="preserve"> a není zapotřebí z tohoto důvodu měnit obsah Smlouvy.</w:t>
      </w:r>
    </w:p>
    <w:p w14:paraId="24F557BD" w14:textId="49F4A02F" w:rsidR="00261AAA" w:rsidRDefault="00261AAA" w:rsidP="00746A40">
      <w:pPr>
        <w:pStyle w:val="Odstavecseseznamem"/>
        <w:numPr>
          <w:ilvl w:val="1"/>
          <w:numId w:val="3"/>
        </w:numPr>
        <w:spacing w:after="0"/>
        <w:ind w:left="357" w:hanging="357"/>
        <w:contextualSpacing w:val="0"/>
      </w:pPr>
      <w:r w:rsidRPr="007316B8">
        <w:t xml:space="preserve">Smluvní strany prohlašují, že si tuto </w:t>
      </w:r>
      <w:r w:rsidR="000608FF">
        <w:t>S</w:t>
      </w:r>
      <w:r w:rsidRPr="007316B8">
        <w:t xml:space="preserve">mlouvu přečetly a že tato </w:t>
      </w:r>
      <w:r w:rsidR="000608FF">
        <w:t>S</w:t>
      </w:r>
      <w:r w:rsidRPr="007316B8">
        <w:t xml:space="preserve">mlouva byla uzavřena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73F22CF6" w14:textId="5E237CD1" w:rsidR="00261AAA" w:rsidRPr="0065629E" w:rsidRDefault="00261AAA" w:rsidP="00EF19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3CC4F" w14:textId="3BFA0376" w:rsidR="00261AAA" w:rsidRDefault="00261AAA" w:rsidP="00EF195D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</w:p>
    <w:p w14:paraId="2E861C9A" w14:textId="77777777" w:rsidR="00A34033" w:rsidRPr="00524617" w:rsidRDefault="00A34033" w:rsidP="00EF195D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</w:p>
    <w:p w14:paraId="08B1BEC1" w14:textId="37D839AF" w:rsidR="00261AAA" w:rsidRDefault="00261AAA" w:rsidP="00261AA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40E0" wp14:editId="041DB68B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CA4DD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6A4E2" wp14:editId="636E5B35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08E2E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br/>
      </w:r>
      <w:r w:rsidR="00756D52">
        <w:rPr>
          <w:noProof/>
        </w:rPr>
        <w:t>Prague City Tourism a.s.</w:t>
      </w:r>
      <w:r w:rsidR="00756D52">
        <w:rPr>
          <w:noProof/>
        </w:rPr>
        <w:tab/>
      </w:r>
      <w:r w:rsidR="00756D52">
        <w:rPr>
          <w:noProof/>
        </w:rPr>
        <w:tab/>
      </w:r>
      <w:r w:rsidR="00756D52">
        <w:rPr>
          <w:noProof/>
        </w:rPr>
        <w:tab/>
      </w:r>
      <w:r w:rsidR="00756D52">
        <w:rPr>
          <w:noProof/>
        </w:rPr>
        <w:tab/>
        <w:t>Prague City Tourism a.s.</w:t>
      </w:r>
      <w:r>
        <w:rPr>
          <w:noProof/>
        </w:rPr>
        <w:t xml:space="preserve">               </w:t>
      </w:r>
    </w:p>
    <w:p w14:paraId="0A101B0C" w14:textId="77777777" w:rsidR="00756D52" w:rsidRDefault="00756D52" w:rsidP="00261AAA">
      <w:pPr>
        <w:pStyle w:val="odrazka"/>
        <w:numPr>
          <w:ilvl w:val="0"/>
          <w:numId w:val="0"/>
        </w:numPr>
        <w:rPr>
          <w:noProof/>
        </w:rPr>
      </w:pPr>
    </w:p>
    <w:p w14:paraId="185664FD" w14:textId="27051C01" w:rsidR="00261AAA" w:rsidRPr="008A19D2" w:rsidRDefault="00C52020" w:rsidP="00261AA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261AAA" w:rsidRPr="008A19D2">
        <w:rPr>
          <w:noProof/>
        </w:rPr>
        <w:t>:</w:t>
      </w:r>
    </w:p>
    <w:p w14:paraId="316B207B" w14:textId="2C31CDD3" w:rsidR="00C52020" w:rsidRDefault="00261AAA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Pr="008A19D2">
        <w:rPr>
          <w:rFonts w:ascii="Crabath Text Medium" w:hAnsi="Crabath Text Medium"/>
          <w:noProof/>
        </w:rPr>
        <w:t>Partnera</w:t>
      </w:r>
      <w:r>
        <w:rPr>
          <w:rFonts w:ascii="Crabath Text Medium" w:hAnsi="Crabath Text Medium"/>
          <w:noProof/>
        </w:rPr>
        <w:t>:</w:t>
      </w:r>
    </w:p>
    <w:p w14:paraId="6D1CEFE4" w14:textId="77777777" w:rsidR="00023C1C" w:rsidRDefault="00023C1C" w:rsidP="000D0A06">
      <w:pPr>
        <w:pStyle w:val="odrazka"/>
        <w:numPr>
          <w:ilvl w:val="0"/>
          <w:numId w:val="0"/>
        </w:numPr>
        <w:spacing w:after="0"/>
        <w:rPr>
          <w:rFonts w:ascii="Crabath Text Medium" w:hAnsi="Crabath Text Medium"/>
          <w:noProof/>
        </w:rPr>
      </w:pPr>
    </w:p>
    <w:p w14:paraId="3A276826" w14:textId="09E9E5AE" w:rsidR="00A34033" w:rsidRDefault="00023C1C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ABD2B" wp14:editId="33DD5B69">
                <wp:simplePos x="0" y="0"/>
                <wp:positionH relativeFrom="margin">
                  <wp:align>left</wp:align>
                </wp:positionH>
                <wp:positionV relativeFrom="paragraph">
                  <wp:posOffset>345374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90A9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2pt" to="166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K5+euD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90A7B5E" w14:textId="4EFE58EE" w:rsidR="00D417DB" w:rsidRDefault="00D417DB" w:rsidP="000D0A06">
      <w:pPr>
        <w:spacing w:after="0"/>
      </w:pPr>
    </w:p>
    <w:sectPr w:rsidR="00D417DB" w:rsidSect="008F7409">
      <w:headerReference w:type="default" r:id="rId9"/>
      <w:footerReference w:type="default" r:id="rId10"/>
      <w:headerReference w:type="first" r:id="rId11"/>
      <w:footerReference w:type="first" r:id="rId12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74A2" w14:textId="77777777" w:rsidR="007B0021" w:rsidRDefault="007B0021">
      <w:pPr>
        <w:spacing w:after="0" w:line="240" w:lineRule="auto"/>
      </w:pPr>
      <w:r>
        <w:separator/>
      </w:r>
    </w:p>
  </w:endnote>
  <w:endnote w:type="continuationSeparator" w:id="0">
    <w:p w14:paraId="2A576C7A" w14:textId="77777777" w:rsidR="007B0021" w:rsidRDefault="007B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6014" w14:textId="77777777" w:rsidR="000D69D1" w:rsidRPr="00026C34" w:rsidRDefault="000D69D1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E10E" w14:textId="77777777" w:rsidR="000D69D1" w:rsidRPr="006759C0" w:rsidRDefault="000D69D1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987401" wp14:editId="04A72F8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F4333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5374B5B2" w14:textId="77777777" w:rsidR="000D69D1" w:rsidRPr="006759C0" w:rsidRDefault="000D69D1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3F6B3ED0" w14:textId="77777777" w:rsidR="000D69D1" w:rsidRPr="00933491" w:rsidRDefault="000D69D1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8FB6" w14:textId="77777777" w:rsidR="007B0021" w:rsidRDefault="007B0021">
      <w:pPr>
        <w:spacing w:after="0" w:line="240" w:lineRule="auto"/>
      </w:pPr>
      <w:r>
        <w:separator/>
      </w:r>
    </w:p>
  </w:footnote>
  <w:footnote w:type="continuationSeparator" w:id="0">
    <w:p w14:paraId="69F35B0E" w14:textId="77777777" w:rsidR="007B0021" w:rsidRDefault="007B0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45B5" w14:textId="77777777" w:rsidR="000D69D1" w:rsidRDefault="000D69D1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B30F2D8" wp14:editId="5FE11199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2D8A83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86CFF36" wp14:editId="68879248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F0D464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73F5" w14:textId="77777777" w:rsidR="000D69D1" w:rsidRDefault="000D69D1" w:rsidP="00554F9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3C1ED" wp14:editId="0F337EE9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816733">
    <w:abstractNumId w:val="0"/>
  </w:num>
  <w:num w:numId="2" w16cid:durableId="983045560">
    <w:abstractNumId w:val="2"/>
  </w:num>
  <w:num w:numId="3" w16cid:durableId="1851405335">
    <w:abstractNumId w:val="1"/>
  </w:num>
  <w:num w:numId="4" w16cid:durableId="186470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AA"/>
    <w:rsid w:val="000026D0"/>
    <w:rsid w:val="00022498"/>
    <w:rsid w:val="00023B89"/>
    <w:rsid w:val="00023C1C"/>
    <w:rsid w:val="00025B46"/>
    <w:rsid w:val="00030B48"/>
    <w:rsid w:val="0003467F"/>
    <w:rsid w:val="00035D94"/>
    <w:rsid w:val="00037FC1"/>
    <w:rsid w:val="0005181C"/>
    <w:rsid w:val="0005793D"/>
    <w:rsid w:val="000608FF"/>
    <w:rsid w:val="000611F0"/>
    <w:rsid w:val="00072C3C"/>
    <w:rsid w:val="0009608B"/>
    <w:rsid w:val="000A5968"/>
    <w:rsid w:val="000B25D2"/>
    <w:rsid w:val="000B3890"/>
    <w:rsid w:val="000B7980"/>
    <w:rsid w:val="000C4549"/>
    <w:rsid w:val="000D00DB"/>
    <w:rsid w:val="000D0A06"/>
    <w:rsid w:val="000D69D1"/>
    <w:rsid w:val="000D7E60"/>
    <w:rsid w:val="000E0413"/>
    <w:rsid w:val="000E18BC"/>
    <w:rsid w:val="000E3CF0"/>
    <w:rsid w:val="000F2B3E"/>
    <w:rsid w:val="00106E70"/>
    <w:rsid w:val="00114C9C"/>
    <w:rsid w:val="0012748E"/>
    <w:rsid w:val="001278FB"/>
    <w:rsid w:val="00131EBD"/>
    <w:rsid w:val="001370A0"/>
    <w:rsid w:val="00137C0F"/>
    <w:rsid w:val="00140CCB"/>
    <w:rsid w:val="00141BF5"/>
    <w:rsid w:val="00142415"/>
    <w:rsid w:val="00142D79"/>
    <w:rsid w:val="00143D89"/>
    <w:rsid w:val="001511BE"/>
    <w:rsid w:val="0015470E"/>
    <w:rsid w:val="00154A7A"/>
    <w:rsid w:val="00157D81"/>
    <w:rsid w:val="00170BCF"/>
    <w:rsid w:val="00172320"/>
    <w:rsid w:val="001802EE"/>
    <w:rsid w:val="0018465A"/>
    <w:rsid w:val="00187EDF"/>
    <w:rsid w:val="00194C6B"/>
    <w:rsid w:val="001A28EA"/>
    <w:rsid w:val="001A3124"/>
    <w:rsid w:val="001A4BC3"/>
    <w:rsid w:val="001A61D9"/>
    <w:rsid w:val="001B176D"/>
    <w:rsid w:val="001B6B7E"/>
    <w:rsid w:val="001D03DA"/>
    <w:rsid w:val="001D1425"/>
    <w:rsid w:val="001D314B"/>
    <w:rsid w:val="001D5C5C"/>
    <w:rsid w:val="001E2ED5"/>
    <w:rsid w:val="001E6BF9"/>
    <w:rsid w:val="001E72C8"/>
    <w:rsid w:val="001F6785"/>
    <w:rsid w:val="0023535C"/>
    <w:rsid w:val="00242647"/>
    <w:rsid w:val="002518C7"/>
    <w:rsid w:val="00260747"/>
    <w:rsid w:val="00261AAA"/>
    <w:rsid w:val="00266ECA"/>
    <w:rsid w:val="002679F2"/>
    <w:rsid w:val="0027747B"/>
    <w:rsid w:val="00285895"/>
    <w:rsid w:val="002A7560"/>
    <w:rsid w:val="002A7FD6"/>
    <w:rsid w:val="002D18E0"/>
    <w:rsid w:val="002D38AE"/>
    <w:rsid w:val="002E04D4"/>
    <w:rsid w:val="002F2A03"/>
    <w:rsid w:val="00307C0D"/>
    <w:rsid w:val="0031230A"/>
    <w:rsid w:val="00316276"/>
    <w:rsid w:val="00317386"/>
    <w:rsid w:val="00323D2D"/>
    <w:rsid w:val="003269A3"/>
    <w:rsid w:val="00332C10"/>
    <w:rsid w:val="00335DA2"/>
    <w:rsid w:val="003429C5"/>
    <w:rsid w:val="0034500E"/>
    <w:rsid w:val="0035350B"/>
    <w:rsid w:val="00356246"/>
    <w:rsid w:val="00356626"/>
    <w:rsid w:val="00356E7D"/>
    <w:rsid w:val="00357193"/>
    <w:rsid w:val="003606B4"/>
    <w:rsid w:val="00366705"/>
    <w:rsid w:val="0036703D"/>
    <w:rsid w:val="00370C02"/>
    <w:rsid w:val="003738B1"/>
    <w:rsid w:val="00377887"/>
    <w:rsid w:val="00390A2F"/>
    <w:rsid w:val="00395B64"/>
    <w:rsid w:val="00397C25"/>
    <w:rsid w:val="003B20D2"/>
    <w:rsid w:val="003B34EE"/>
    <w:rsid w:val="003B7106"/>
    <w:rsid w:val="003C0F8E"/>
    <w:rsid w:val="003C5D60"/>
    <w:rsid w:val="003D0F10"/>
    <w:rsid w:val="003D2159"/>
    <w:rsid w:val="003D33BB"/>
    <w:rsid w:val="003D6B4D"/>
    <w:rsid w:val="003E2A10"/>
    <w:rsid w:val="003E7067"/>
    <w:rsid w:val="003F6111"/>
    <w:rsid w:val="003F645C"/>
    <w:rsid w:val="004008A4"/>
    <w:rsid w:val="0040655D"/>
    <w:rsid w:val="00407322"/>
    <w:rsid w:val="00412979"/>
    <w:rsid w:val="004222DD"/>
    <w:rsid w:val="00426C8C"/>
    <w:rsid w:val="004279EB"/>
    <w:rsid w:val="00431703"/>
    <w:rsid w:val="0043488B"/>
    <w:rsid w:val="004448D2"/>
    <w:rsid w:val="00446EF1"/>
    <w:rsid w:val="00464806"/>
    <w:rsid w:val="00474884"/>
    <w:rsid w:val="004766C2"/>
    <w:rsid w:val="00483FCA"/>
    <w:rsid w:val="00496BA6"/>
    <w:rsid w:val="004A3874"/>
    <w:rsid w:val="004B12D8"/>
    <w:rsid w:val="004C1BB2"/>
    <w:rsid w:val="004D5CFF"/>
    <w:rsid w:val="004E2863"/>
    <w:rsid w:val="004E5219"/>
    <w:rsid w:val="004F05C8"/>
    <w:rsid w:val="004F07D3"/>
    <w:rsid w:val="004F2EFA"/>
    <w:rsid w:val="004F6034"/>
    <w:rsid w:val="00514EDC"/>
    <w:rsid w:val="005165A1"/>
    <w:rsid w:val="0052248B"/>
    <w:rsid w:val="00533C3A"/>
    <w:rsid w:val="00545634"/>
    <w:rsid w:val="00554211"/>
    <w:rsid w:val="00564995"/>
    <w:rsid w:val="005715E8"/>
    <w:rsid w:val="00577D31"/>
    <w:rsid w:val="00582AAA"/>
    <w:rsid w:val="00583EB1"/>
    <w:rsid w:val="00584241"/>
    <w:rsid w:val="005843BB"/>
    <w:rsid w:val="005A1D38"/>
    <w:rsid w:val="005A2374"/>
    <w:rsid w:val="005C1C8C"/>
    <w:rsid w:val="005C749B"/>
    <w:rsid w:val="005D06BB"/>
    <w:rsid w:val="005D3E4B"/>
    <w:rsid w:val="005E6206"/>
    <w:rsid w:val="005E70B9"/>
    <w:rsid w:val="005F2D9D"/>
    <w:rsid w:val="00603181"/>
    <w:rsid w:val="00606470"/>
    <w:rsid w:val="00610A4C"/>
    <w:rsid w:val="0062216A"/>
    <w:rsid w:val="00623516"/>
    <w:rsid w:val="006342AA"/>
    <w:rsid w:val="00640CAA"/>
    <w:rsid w:val="00646F4C"/>
    <w:rsid w:val="00647D61"/>
    <w:rsid w:val="00656168"/>
    <w:rsid w:val="00681F77"/>
    <w:rsid w:val="00697717"/>
    <w:rsid w:val="006A28F2"/>
    <w:rsid w:val="006B2E4B"/>
    <w:rsid w:val="006C0CEB"/>
    <w:rsid w:val="006D1141"/>
    <w:rsid w:val="006D382E"/>
    <w:rsid w:val="006D7114"/>
    <w:rsid w:val="006D7D30"/>
    <w:rsid w:val="006F08A3"/>
    <w:rsid w:val="006F1554"/>
    <w:rsid w:val="006F19E3"/>
    <w:rsid w:val="006F2AEA"/>
    <w:rsid w:val="00702820"/>
    <w:rsid w:val="0070320B"/>
    <w:rsid w:val="007200C6"/>
    <w:rsid w:val="007269E8"/>
    <w:rsid w:val="00736DAC"/>
    <w:rsid w:val="00740AE9"/>
    <w:rsid w:val="00746A40"/>
    <w:rsid w:val="007568F4"/>
    <w:rsid w:val="00756D52"/>
    <w:rsid w:val="0078097A"/>
    <w:rsid w:val="00781C15"/>
    <w:rsid w:val="00787002"/>
    <w:rsid w:val="007879B1"/>
    <w:rsid w:val="00791DDC"/>
    <w:rsid w:val="007952D8"/>
    <w:rsid w:val="0079532E"/>
    <w:rsid w:val="007958F3"/>
    <w:rsid w:val="007A122C"/>
    <w:rsid w:val="007A7C61"/>
    <w:rsid w:val="007B0021"/>
    <w:rsid w:val="007B0244"/>
    <w:rsid w:val="007B3209"/>
    <w:rsid w:val="007B6DD3"/>
    <w:rsid w:val="007C194A"/>
    <w:rsid w:val="007C74CB"/>
    <w:rsid w:val="007D15B5"/>
    <w:rsid w:val="007D46E3"/>
    <w:rsid w:val="00805563"/>
    <w:rsid w:val="00814370"/>
    <w:rsid w:val="00824F78"/>
    <w:rsid w:val="00825B5E"/>
    <w:rsid w:val="00830972"/>
    <w:rsid w:val="00841458"/>
    <w:rsid w:val="00843327"/>
    <w:rsid w:val="00864418"/>
    <w:rsid w:val="00867A4D"/>
    <w:rsid w:val="00867C15"/>
    <w:rsid w:val="00871A78"/>
    <w:rsid w:val="00873E21"/>
    <w:rsid w:val="00874A03"/>
    <w:rsid w:val="00880203"/>
    <w:rsid w:val="00883870"/>
    <w:rsid w:val="008A0B49"/>
    <w:rsid w:val="008A52D0"/>
    <w:rsid w:val="008C49ED"/>
    <w:rsid w:val="008E1FA2"/>
    <w:rsid w:val="008E43A2"/>
    <w:rsid w:val="008E6F88"/>
    <w:rsid w:val="008F39B6"/>
    <w:rsid w:val="008F7409"/>
    <w:rsid w:val="00907679"/>
    <w:rsid w:val="009140E3"/>
    <w:rsid w:val="0092662D"/>
    <w:rsid w:val="009266A4"/>
    <w:rsid w:val="009344B5"/>
    <w:rsid w:val="00937FE0"/>
    <w:rsid w:val="00946C1C"/>
    <w:rsid w:val="00950A02"/>
    <w:rsid w:val="00952959"/>
    <w:rsid w:val="0095758B"/>
    <w:rsid w:val="00960BF8"/>
    <w:rsid w:val="00961C38"/>
    <w:rsid w:val="009639B1"/>
    <w:rsid w:val="00964313"/>
    <w:rsid w:val="00966AA0"/>
    <w:rsid w:val="009756D2"/>
    <w:rsid w:val="009A349F"/>
    <w:rsid w:val="009A6013"/>
    <w:rsid w:val="009A640C"/>
    <w:rsid w:val="009B3596"/>
    <w:rsid w:val="009B38A9"/>
    <w:rsid w:val="009C00FA"/>
    <w:rsid w:val="009C0A5B"/>
    <w:rsid w:val="009C77C6"/>
    <w:rsid w:val="009D1286"/>
    <w:rsid w:val="009E43F7"/>
    <w:rsid w:val="009E67CB"/>
    <w:rsid w:val="00A22B3B"/>
    <w:rsid w:val="00A2624B"/>
    <w:rsid w:val="00A34033"/>
    <w:rsid w:val="00A40434"/>
    <w:rsid w:val="00A43C91"/>
    <w:rsid w:val="00A5356A"/>
    <w:rsid w:val="00A5545C"/>
    <w:rsid w:val="00A56017"/>
    <w:rsid w:val="00A62720"/>
    <w:rsid w:val="00A704EB"/>
    <w:rsid w:val="00A71FBB"/>
    <w:rsid w:val="00A81745"/>
    <w:rsid w:val="00A90A83"/>
    <w:rsid w:val="00A9299B"/>
    <w:rsid w:val="00AA7729"/>
    <w:rsid w:val="00AC02C6"/>
    <w:rsid w:val="00AC202C"/>
    <w:rsid w:val="00AC50A1"/>
    <w:rsid w:val="00AE2083"/>
    <w:rsid w:val="00AE5601"/>
    <w:rsid w:val="00AE7520"/>
    <w:rsid w:val="00AE7905"/>
    <w:rsid w:val="00AF1C9D"/>
    <w:rsid w:val="00AF4F1B"/>
    <w:rsid w:val="00B04242"/>
    <w:rsid w:val="00B05B73"/>
    <w:rsid w:val="00B067C9"/>
    <w:rsid w:val="00B17096"/>
    <w:rsid w:val="00B17C90"/>
    <w:rsid w:val="00B21088"/>
    <w:rsid w:val="00B22A8E"/>
    <w:rsid w:val="00B25533"/>
    <w:rsid w:val="00B40307"/>
    <w:rsid w:val="00B43EDA"/>
    <w:rsid w:val="00B53042"/>
    <w:rsid w:val="00B55FCC"/>
    <w:rsid w:val="00B57273"/>
    <w:rsid w:val="00B6079A"/>
    <w:rsid w:val="00B61438"/>
    <w:rsid w:val="00B63DFC"/>
    <w:rsid w:val="00B6423B"/>
    <w:rsid w:val="00B72A2D"/>
    <w:rsid w:val="00B819A2"/>
    <w:rsid w:val="00B8374B"/>
    <w:rsid w:val="00B84E4E"/>
    <w:rsid w:val="00B86257"/>
    <w:rsid w:val="00BA71AC"/>
    <w:rsid w:val="00BB35EA"/>
    <w:rsid w:val="00BB7D03"/>
    <w:rsid w:val="00BC3770"/>
    <w:rsid w:val="00BD622A"/>
    <w:rsid w:val="00BE0007"/>
    <w:rsid w:val="00BF1138"/>
    <w:rsid w:val="00BF17A5"/>
    <w:rsid w:val="00C0411B"/>
    <w:rsid w:val="00C13C7E"/>
    <w:rsid w:val="00C17C40"/>
    <w:rsid w:val="00C25018"/>
    <w:rsid w:val="00C36356"/>
    <w:rsid w:val="00C43FEC"/>
    <w:rsid w:val="00C46D14"/>
    <w:rsid w:val="00C47431"/>
    <w:rsid w:val="00C52020"/>
    <w:rsid w:val="00C609C4"/>
    <w:rsid w:val="00C631AA"/>
    <w:rsid w:val="00C64B8A"/>
    <w:rsid w:val="00C82A2A"/>
    <w:rsid w:val="00CA0417"/>
    <w:rsid w:val="00CC314A"/>
    <w:rsid w:val="00CD0603"/>
    <w:rsid w:val="00D05410"/>
    <w:rsid w:val="00D11456"/>
    <w:rsid w:val="00D13B89"/>
    <w:rsid w:val="00D2570B"/>
    <w:rsid w:val="00D317B4"/>
    <w:rsid w:val="00D35E1F"/>
    <w:rsid w:val="00D3788B"/>
    <w:rsid w:val="00D407E7"/>
    <w:rsid w:val="00D417DB"/>
    <w:rsid w:val="00D44710"/>
    <w:rsid w:val="00D6037E"/>
    <w:rsid w:val="00D64DA3"/>
    <w:rsid w:val="00D64DF3"/>
    <w:rsid w:val="00D73E8F"/>
    <w:rsid w:val="00D760F0"/>
    <w:rsid w:val="00D776E4"/>
    <w:rsid w:val="00D84409"/>
    <w:rsid w:val="00DA5DD5"/>
    <w:rsid w:val="00DB5121"/>
    <w:rsid w:val="00DB72E1"/>
    <w:rsid w:val="00DB7BA1"/>
    <w:rsid w:val="00DC03DE"/>
    <w:rsid w:val="00DC5745"/>
    <w:rsid w:val="00DC5F47"/>
    <w:rsid w:val="00DD1A4B"/>
    <w:rsid w:val="00DD3F87"/>
    <w:rsid w:val="00DE1170"/>
    <w:rsid w:val="00DE7A41"/>
    <w:rsid w:val="00DF158F"/>
    <w:rsid w:val="00DF75F7"/>
    <w:rsid w:val="00E0053D"/>
    <w:rsid w:val="00E02780"/>
    <w:rsid w:val="00E12497"/>
    <w:rsid w:val="00E13E77"/>
    <w:rsid w:val="00E27D20"/>
    <w:rsid w:val="00E40A42"/>
    <w:rsid w:val="00E43DD9"/>
    <w:rsid w:val="00E44D82"/>
    <w:rsid w:val="00E46065"/>
    <w:rsid w:val="00E531D3"/>
    <w:rsid w:val="00E54460"/>
    <w:rsid w:val="00E5764F"/>
    <w:rsid w:val="00E611EE"/>
    <w:rsid w:val="00EA12BA"/>
    <w:rsid w:val="00EA28EC"/>
    <w:rsid w:val="00EB2B9A"/>
    <w:rsid w:val="00EB53EC"/>
    <w:rsid w:val="00EC3B66"/>
    <w:rsid w:val="00EC5E1B"/>
    <w:rsid w:val="00ED254E"/>
    <w:rsid w:val="00ED6EC8"/>
    <w:rsid w:val="00EE433B"/>
    <w:rsid w:val="00EF195D"/>
    <w:rsid w:val="00EF3CE3"/>
    <w:rsid w:val="00F060F9"/>
    <w:rsid w:val="00F1083D"/>
    <w:rsid w:val="00F42A6B"/>
    <w:rsid w:val="00F4707D"/>
    <w:rsid w:val="00F535EF"/>
    <w:rsid w:val="00F62155"/>
    <w:rsid w:val="00F73230"/>
    <w:rsid w:val="00F73B25"/>
    <w:rsid w:val="00FA1052"/>
    <w:rsid w:val="00FE3260"/>
    <w:rsid w:val="00FE76A5"/>
    <w:rsid w:val="00FF1B2A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B767"/>
  <w15:chartTrackingRefBased/>
  <w15:docId w15:val="{871E1A23-C381-49E6-8FBD-34A7EF55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61AAA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1AA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1AAA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1AAA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AA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AA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AA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AA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AA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AA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AAA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61AAA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61AAA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AA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AAA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AAA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AA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AA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AA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261AAA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61AAA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261AAA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61AAA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261AAA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61AAA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61AAA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61AAA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61AAA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61AA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61AAA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61AAA"/>
    <w:rPr>
      <w:color w:val="808080"/>
    </w:rPr>
  </w:style>
  <w:style w:type="character" w:styleId="Siln">
    <w:name w:val="Strong"/>
    <w:basedOn w:val="Standardnpsmoodstavce"/>
    <w:uiPriority w:val="22"/>
    <w:qFormat/>
    <w:rsid w:val="00261AA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B2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E4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2E4B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E4B"/>
    <w:rPr>
      <w:rFonts w:ascii="Crabath Text Light" w:eastAsia="Times New Roman" w:hAnsi="Crabath Text Light" w:cs="Times New Roman"/>
      <w:b/>
      <w:bCs/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90A2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681F77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7A122C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ragu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C60C-E5EF-419D-98AA-826C3D67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8462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Tkačuková Iva</cp:lastModifiedBy>
  <cp:revision>2</cp:revision>
  <cp:lastPrinted>2023-09-19T13:57:00Z</cp:lastPrinted>
  <dcterms:created xsi:type="dcterms:W3CDTF">2026-01-07T12:13:00Z</dcterms:created>
  <dcterms:modified xsi:type="dcterms:W3CDTF">2026-01-07T12:13:00Z</dcterms:modified>
</cp:coreProperties>
</file>