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A0" w:rsidRDefault="00C5144C" w:rsidP="00F33A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0352">
        <w:rPr>
          <w:rFonts w:ascii="Arial" w:hAnsi="Arial" w:cs="Arial"/>
          <w:b/>
        </w:rPr>
        <w:t>S</w:t>
      </w:r>
      <w:r w:rsidR="00116827" w:rsidRPr="0005129B">
        <w:rPr>
          <w:rFonts w:ascii="Arial" w:hAnsi="Arial" w:cs="Arial"/>
          <w:b/>
        </w:rPr>
        <w:t xml:space="preserve">mlouva </w:t>
      </w:r>
      <w:r w:rsidR="00820494" w:rsidRPr="0005129B">
        <w:rPr>
          <w:rFonts w:ascii="Arial" w:hAnsi="Arial" w:cs="Arial"/>
          <w:b/>
        </w:rPr>
        <w:t>o dílo</w:t>
      </w:r>
      <w:r w:rsidR="00F33AA0" w:rsidRPr="0005129B">
        <w:rPr>
          <w:rFonts w:ascii="Arial" w:hAnsi="Arial" w:cs="Arial"/>
          <w:b/>
        </w:rPr>
        <w:t xml:space="preserve"> </w:t>
      </w:r>
    </w:p>
    <w:p w:rsidR="00A904F6" w:rsidRPr="0005129B" w:rsidRDefault="00A904F6" w:rsidP="00F33AA0">
      <w:pPr>
        <w:jc w:val="center"/>
        <w:rPr>
          <w:rFonts w:ascii="Arial" w:hAnsi="Arial" w:cs="Arial"/>
          <w:b/>
        </w:rPr>
      </w:pPr>
    </w:p>
    <w:p w:rsidR="00F33AA0" w:rsidRDefault="00A904F6" w:rsidP="00A904F6">
      <w:pPr>
        <w:jc w:val="center"/>
        <w:rPr>
          <w:rFonts w:ascii="Arial" w:hAnsi="Arial" w:cs="Arial"/>
          <w:b/>
        </w:rPr>
      </w:pPr>
      <w:r w:rsidRPr="00A904F6">
        <w:rPr>
          <w:rFonts w:ascii="Arial" w:hAnsi="Arial" w:cs="Arial"/>
          <w:b/>
        </w:rPr>
        <w:t xml:space="preserve">Stavební úpravy – oprava vnější strany oken severního, východního a západního schodiště a okna </w:t>
      </w:r>
      <w:r>
        <w:rPr>
          <w:rFonts w:ascii="Arial" w:hAnsi="Arial" w:cs="Arial"/>
          <w:b/>
        </w:rPr>
        <w:t>umístěna v 8. etáži v budově 21</w:t>
      </w:r>
    </w:p>
    <w:p w:rsidR="00A904F6" w:rsidRPr="00A904F6" w:rsidRDefault="00A904F6" w:rsidP="00A904F6">
      <w:pPr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jc w:val="center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uzavřená dle ustanovení § 2586 a násl. zákona č. 89/2012 Sb. občanského </w:t>
      </w:r>
      <w:proofErr w:type="gramStart"/>
      <w:r w:rsidRPr="0005129B">
        <w:rPr>
          <w:rFonts w:ascii="Arial" w:hAnsi="Arial" w:cs="Arial"/>
        </w:rPr>
        <w:t>zákoníku  v platném</w:t>
      </w:r>
      <w:proofErr w:type="gramEnd"/>
      <w:r w:rsidRPr="0005129B">
        <w:rPr>
          <w:rFonts w:ascii="Arial" w:hAnsi="Arial" w:cs="Arial"/>
        </w:rPr>
        <w:t xml:space="preserve"> znění mezi těmito smluvními stranami: 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</w:p>
    <w:p w:rsidR="00F33AA0" w:rsidRPr="0005129B" w:rsidRDefault="0042654E" w:rsidP="00F33A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 Zlínský kraj</w:t>
      </w:r>
      <w:r w:rsidR="00F33AA0" w:rsidRPr="0005129B">
        <w:rPr>
          <w:rFonts w:ascii="Arial" w:hAnsi="Arial" w:cs="Arial"/>
        </w:rPr>
        <w:tab/>
      </w: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>se sídlem:</w:t>
      </w:r>
      <w:r w:rsidR="0042654E">
        <w:rPr>
          <w:rFonts w:ascii="Arial" w:hAnsi="Arial" w:cs="Arial"/>
          <w:bCs/>
        </w:rPr>
        <w:t xml:space="preserve"> tř. T</w:t>
      </w:r>
      <w:r w:rsidR="003E41E2">
        <w:rPr>
          <w:rFonts w:ascii="Arial" w:hAnsi="Arial" w:cs="Arial"/>
          <w:bCs/>
        </w:rPr>
        <w:t>omáše</w:t>
      </w:r>
      <w:r w:rsidR="0042654E">
        <w:rPr>
          <w:rFonts w:ascii="Arial" w:hAnsi="Arial" w:cs="Arial"/>
          <w:bCs/>
        </w:rPr>
        <w:t xml:space="preserve"> Bati 21, 761 90 Zlín</w:t>
      </w:r>
      <w:r w:rsidRPr="0005129B">
        <w:rPr>
          <w:rFonts w:ascii="Arial" w:hAnsi="Arial" w:cs="Arial"/>
          <w:bCs/>
        </w:rPr>
        <w:tab/>
      </w:r>
    </w:p>
    <w:p w:rsidR="00965059" w:rsidRDefault="00965059" w:rsidP="00F33A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zastoupený: </w:t>
      </w:r>
      <w:r w:rsidR="00116827">
        <w:rPr>
          <w:rFonts w:ascii="Arial" w:hAnsi="Arial" w:cs="Arial"/>
          <w:bCs/>
        </w:rPr>
        <w:t>Jiří Čunek, hejtman</w:t>
      </w: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IČO:   </w:t>
      </w:r>
      <w:r w:rsidR="0042654E">
        <w:rPr>
          <w:rFonts w:ascii="Arial" w:hAnsi="Arial" w:cs="Arial"/>
          <w:bCs/>
        </w:rPr>
        <w:t>70891320</w:t>
      </w:r>
      <w:r w:rsidRPr="0005129B">
        <w:rPr>
          <w:rFonts w:ascii="Arial" w:hAnsi="Arial" w:cs="Arial"/>
          <w:bCs/>
        </w:rPr>
        <w:t xml:space="preserve">     </w:t>
      </w:r>
    </w:p>
    <w:p w:rsidR="00F33AA0" w:rsidRPr="0005129B" w:rsidRDefault="0014205A" w:rsidP="00F33A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DIČ:  </w:t>
      </w:r>
      <w:r w:rsidR="00F33AA0" w:rsidRPr="0005129B">
        <w:rPr>
          <w:rFonts w:ascii="Arial" w:hAnsi="Arial" w:cs="Arial"/>
          <w:bCs/>
        </w:rPr>
        <w:t xml:space="preserve"> </w:t>
      </w:r>
      <w:r w:rsidR="0042654E">
        <w:rPr>
          <w:rFonts w:ascii="Arial" w:hAnsi="Arial" w:cs="Arial"/>
          <w:bCs/>
        </w:rPr>
        <w:t>CZ70891320</w:t>
      </w:r>
      <w:r w:rsidR="00F33AA0" w:rsidRPr="0005129B">
        <w:rPr>
          <w:rFonts w:ascii="Arial" w:hAnsi="Arial" w:cs="Arial"/>
          <w:bCs/>
        </w:rPr>
        <w:t xml:space="preserve">    </w:t>
      </w:r>
      <w:r w:rsidR="00F33AA0" w:rsidRPr="0005129B">
        <w:rPr>
          <w:rFonts w:ascii="Arial" w:hAnsi="Arial" w:cs="Arial"/>
          <w:bCs/>
        </w:rPr>
        <w:tab/>
      </w: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bank. </w:t>
      </w:r>
      <w:proofErr w:type="gramStart"/>
      <w:r w:rsidRPr="0005129B">
        <w:rPr>
          <w:rFonts w:ascii="Arial" w:hAnsi="Arial" w:cs="Arial"/>
          <w:bCs/>
        </w:rPr>
        <w:t>spojení</w:t>
      </w:r>
      <w:proofErr w:type="gramEnd"/>
      <w:r w:rsidRPr="0005129B">
        <w:rPr>
          <w:rFonts w:ascii="Arial" w:hAnsi="Arial" w:cs="Arial"/>
          <w:bCs/>
        </w:rPr>
        <w:t xml:space="preserve">: </w:t>
      </w:r>
      <w:proofErr w:type="spellStart"/>
      <w:r w:rsidR="0042654E">
        <w:rPr>
          <w:rFonts w:ascii="Arial" w:hAnsi="Arial" w:cs="Arial"/>
          <w:bCs/>
        </w:rPr>
        <w:t>Ćeská</w:t>
      </w:r>
      <w:proofErr w:type="spellEnd"/>
      <w:r w:rsidR="0042654E">
        <w:rPr>
          <w:rFonts w:ascii="Arial" w:hAnsi="Arial" w:cs="Arial"/>
          <w:bCs/>
        </w:rPr>
        <w:t xml:space="preserve"> spořitelna,</w:t>
      </w:r>
      <w:r w:rsidR="00DD4396">
        <w:rPr>
          <w:rFonts w:ascii="Arial" w:hAnsi="Arial" w:cs="Arial"/>
          <w:bCs/>
        </w:rPr>
        <w:t xml:space="preserve"> </w:t>
      </w:r>
      <w:r w:rsidR="0042654E">
        <w:rPr>
          <w:rFonts w:ascii="Arial" w:hAnsi="Arial" w:cs="Arial"/>
          <w:bCs/>
        </w:rPr>
        <w:t>a.s.</w:t>
      </w:r>
      <w:r w:rsidR="00B02F0F">
        <w:rPr>
          <w:rFonts w:ascii="Arial" w:hAnsi="Arial" w:cs="Arial"/>
          <w:bCs/>
        </w:rPr>
        <w:t xml:space="preserve"> </w:t>
      </w:r>
    </w:p>
    <w:p w:rsidR="00F33AA0" w:rsidRDefault="0042654E" w:rsidP="00F3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2786182/0800</w:t>
      </w:r>
    </w:p>
    <w:p w:rsidR="0042654E" w:rsidRPr="0005129B" w:rsidRDefault="0042654E" w:rsidP="00F33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="003E41E2">
        <w:rPr>
          <w:rFonts w:ascii="Arial" w:hAnsi="Arial" w:cs="Arial"/>
        </w:rPr>
        <w:t>„objednatel“</w:t>
      </w:r>
    </w:p>
    <w:p w:rsidR="00F33AA0" w:rsidRPr="0005129B" w:rsidRDefault="00F33AA0" w:rsidP="00F33AA0">
      <w:pPr>
        <w:ind w:left="708" w:firstLine="708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>a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  <w:b/>
          <w:bCs/>
        </w:rPr>
        <w:t xml:space="preserve">            </w:t>
      </w:r>
      <w:r w:rsidRPr="0005129B">
        <w:rPr>
          <w:rFonts w:ascii="Arial" w:hAnsi="Arial" w:cs="Arial"/>
        </w:rPr>
        <w:t xml:space="preserve"> </w:t>
      </w:r>
    </w:p>
    <w:p w:rsidR="00F33AA0" w:rsidRPr="00757C67" w:rsidRDefault="00D60DDD" w:rsidP="00F33AA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Zhotovitel</w:t>
      </w:r>
      <w:r w:rsidR="00757C67">
        <w:rPr>
          <w:rFonts w:ascii="Arial" w:hAnsi="Arial" w:cs="Arial"/>
          <w:b/>
        </w:rPr>
        <w:t xml:space="preserve">: </w:t>
      </w:r>
      <w:r w:rsidR="00111DBC">
        <w:rPr>
          <w:rFonts w:ascii="Arial" w:hAnsi="Arial" w:cs="Arial"/>
          <w:b/>
        </w:rPr>
        <w:t>MNO spol. s r.o.</w:t>
      </w:r>
      <w:r w:rsidR="00757C67">
        <w:rPr>
          <w:rFonts w:ascii="Arial" w:hAnsi="Arial" w:cs="Arial"/>
          <w:b/>
        </w:rPr>
        <w:t xml:space="preserve">     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se sídlem</w:t>
      </w:r>
      <w:r w:rsidR="00C262D4">
        <w:rPr>
          <w:rFonts w:ascii="Arial" w:hAnsi="Arial" w:cs="Arial"/>
        </w:rPr>
        <w:t>:</w:t>
      </w:r>
      <w:r w:rsidRPr="0005129B">
        <w:rPr>
          <w:rFonts w:ascii="Arial" w:hAnsi="Arial" w:cs="Arial"/>
        </w:rPr>
        <w:t xml:space="preserve">  </w:t>
      </w:r>
      <w:proofErr w:type="spellStart"/>
      <w:r w:rsidR="00B31109">
        <w:rPr>
          <w:rFonts w:ascii="Arial" w:hAnsi="Arial" w:cs="Arial"/>
        </w:rPr>
        <w:t>Prštné</w:t>
      </w:r>
      <w:proofErr w:type="spellEnd"/>
      <w:r w:rsidR="006F7167">
        <w:rPr>
          <w:rFonts w:ascii="Arial" w:hAnsi="Arial" w:cs="Arial"/>
        </w:rPr>
        <w:t>,</w:t>
      </w:r>
      <w:r w:rsidR="00B31109">
        <w:rPr>
          <w:rFonts w:ascii="Arial" w:hAnsi="Arial" w:cs="Arial"/>
        </w:rPr>
        <w:t xml:space="preserve"> Náves 57, Zlín 760 01</w:t>
      </w:r>
      <w:r w:rsidRPr="0005129B">
        <w:rPr>
          <w:rFonts w:ascii="Arial" w:hAnsi="Arial" w:cs="Arial"/>
        </w:rPr>
        <w:tab/>
      </w:r>
    </w:p>
    <w:p w:rsidR="00F33AA0" w:rsidRPr="0005129B" w:rsidRDefault="00B31109" w:rsidP="00757C67">
      <w:pPr>
        <w:tabs>
          <w:tab w:val="left" w:pos="708"/>
          <w:tab w:val="left" w:pos="1416"/>
          <w:tab w:val="left" w:pos="5745"/>
        </w:tabs>
        <w:rPr>
          <w:rFonts w:ascii="Arial" w:hAnsi="Arial" w:cs="Arial"/>
        </w:rPr>
      </w:pPr>
      <w:r>
        <w:rPr>
          <w:rFonts w:ascii="Arial" w:hAnsi="Arial" w:cs="Arial"/>
        </w:rPr>
        <w:t>zastoupená: Petr Polášek, jednatel společnosti</w:t>
      </w:r>
    </w:p>
    <w:p w:rsidR="00F33AA0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IČ:</w:t>
      </w:r>
      <w:r w:rsidR="00B31109">
        <w:rPr>
          <w:rFonts w:ascii="Arial" w:hAnsi="Arial" w:cs="Arial"/>
        </w:rPr>
        <w:t xml:space="preserve"> 60709677</w:t>
      </w:r>
    </w:p>
    <w:p w:rsidR="00F33AA0" w:rsidRPr="0005129B" w:rsidRDefault="00F33AA0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DIČ:</w:t>
      </w:r>
      <w:r w:rsidR="00B31109">
        <w:rPr>
          <w:rFonts w:ascii="Arial" w:hAnsi="Arial" w:cs="Arial"/>
        </w:rPr>
        <w:t xml:space="preserve"> CZ60709677</w:t>
      </w:r>
    </w:p>
    <w:p w:rsidR="00D60DDD" w:rsidRPr="00EB4FE7" w:rsidRDefault="00F33AA0" w:rsidP="00EB4FE7">
      <w:pPr>
        <w:tabs>
          <w:tab w:val="left" w:pos="720"/>
        </w:tabs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bank. </w:t>
      </w:r>
      <w:proofErr w:type="gramStart"/>
      <w:r w:rsidR="00B31109">
        <w:rPr>
          <w:rFonts w:ascii="Arial" w:hAnsi="Arial" w:cs="Arial"/>
        </w:rPr>
        <w:t>s</w:t>
      </w:r>
      <w:r w:rsidRPr="0005129B">
        <w:rPr>
          <w:rFonts w:ascii="Arial" w:hAnsi="Arial" w:cs="Arial"/>
        </w:rPr>
        <w:t>pojení</w:t>
      </w:r>
      <w:proofErr w:type="gramEnd"/>
      <w:r w:rsidR="00B31109">
        <w:rPr>
          <w:rFonts w:ascii="Arial" w:hAnsi="Arial" w:cs="Arial"/>
        </w:rPr>
        <w:t xml:space="preserve">: </w:t>
      </w:r>
      <w:r w:rsidR="00EB4FE7" w:rsidRPr="00EB4FE7">
        <w:rPr>
          <w:rFonts w:ascii="Arial" w:hAnsi="Arial" w:cs="Arial"/>
        </w:rPr>
        <w:t>Česká spořitelna, a.s</w:t>
      </w:r>
      <w:r w:rsidR="00EB4FE7">
        <w:rPr>
          <w:rFonts w:ascii="Arial" w:hAnsi="Arial" w:cs="Arial"/>
        </w:rPr>
        <w:t xml:space="preserve">., </w:t>
      </w:r>
      <w:r w:rsidR="00EB4FE7" w:rsidRPr="00EB4FE7">
        <w:rPr>
          <w:rFonts w:ascii="Arial" w:hAnsi="Arial" w:cs="Arial"/>
        </w:rPr>
        <w:t xml:space="preserve">č. </w:t>
      </w:r>
      <w:proofErr w:type="spellStart"/>
      <w:r w:rsidR="00EB4FE7" w:rsidRPr="00EB4FE7">
        <w:rPr>
          <w:rFonts w:ascii="Arial" w:hAnsi="Arial" w:cs="Arial"/>
        </w:rPr>
        <w:t>ú.</w:t>
      </w:r>
      <w:proofErr w:type="spellEnd"/>
      <w:r w:rsidR="00EB4FE7" w:rsidRPr="00EB4FE7">
        <w:rPr>
          <w:rFonts w:ascii="Arial" w:hAnsi="Arial" w:cs="Arial"/>
        </w:rPr>
        <w:t>:</w:t>
      </w:r>
      <w:r w:rsidR="00EB4FE7">
        <w:rPr>
          <w:rFonts w:ascii="Arial" w:hAnsi="Arial" w:cs="Arial"/>
        </w:rPr>
        <w:t xml:space="preserve"> </w:t>
      </w:r>
      <w:r w:rsidR="00EB4FE7" w:rsidRPr="00EB4FE7">
        <w:rPr>
          <w:rFonts w:ascii="Arial" w:hAnsi="Arial" w:cs="Arial"/>
        </w:rPr>
        <w:t>1400599379/0800</w:t>
      </w:r>
    </w:p>
    <w:p w:rsidR="00F33AA0" w:rsidRPr="0005129B" w:rsidRDefault="00D60DDD" w:rsidP="00F33AA0">
      <w:pPr>
        <w:rPr>
          <w:rFonts w:ascii="Arial" w:hAnsi="Arial" w:cs="Arial"/>
        </w:rPr>
      </w:pPr>
      <w:r>
        <w:rPr>
          <w:rFonts w:ascii="Arial" w:hAnsi="Arial" w:cs="Arial"/>
        </w:rPr>
        <w:t>zástupce ve věcech technických:</w:t>
      </w:r>
      <w:r w:rsidR="00F33AA0" w:rsidRPr="0005129B">
        <w:rPr>
          <w:rFonts w:ascii="Arial" w:hAnsi="Arial" w:cs="Arial"/>
        </w:rPr>
        <w:tab/>
      </w:r>
      <w:r w:rsidR="00EB4FE7">
        <w:rPr>
          <w:rFonts w:ascii="Arial" w:hAnsi="Arial" w:cs="Arial"/>
        </w:rPr>
        <w:t xml:space="preserve"> Petr Polášek</w:t>
      </w:r>
    </w:p>
    <w:p w:rsidR="00F33AA0" w:rsidRPr="0005129B" w:rsidRDefault="00F33AA0" w:rsidP="00F33AA0">
      <w:pPr>
        <w:ind w:left="708" w:firstLine="708"/>
        <w:rPr>
          <w:rFonts w:ascii="Arial" w:hAnsi="Arial" w:cs="Arial"/>
        </w:rPr>
      </w:pPr>
    </w:p>
    <w:p w:rsidR="00EB4FE7" w:rsidRDefault="0042654E" w:rsidP="00EB4FE7">
      <w:pPr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společnost je zapsaná v obchodním rejstříku vedeném Krajským soudem v </w:t>
      </w:r>
      <w:r w:rsidR="00EB4FE7">
        <w:rPr>
          <w:rFonts w:ascii="Arial" w:hAnsi="Arial" w:cs="Arial"/>
          <w:bCs/>
        </w:rPr>
        <w:t>Brně</w:t>
      </w:r>
      <w:r w:rsidRPr="0005129B">
        <w:rPr>
          <w:rFonts w:ascii="Arial" w:hAnsi="Arial" w:cs="Arial"/>
          <w:bCs/>
        </w:rPr>
        <w:t xml:space="preserve">, oddíl: </w:t>
      </w:r>
      <w:r w:rsidR="00EB4FE7">
        <w:rPr>
          <w:rFonts w:ascii="Arial" w:hAnsi="Arial" w:cs="Arial"/>
          <w:bCs/>
        </w:rPr>
        <w:t>C, vložka 15471</w:t>
      </w:r>
    </w:p>
    <w:p w:rsidR="0042654E" w:rsidRPr="0005129B" w:rsidRDefault="0042654E" w:rsidP="0042654E">
      <w:pPr>
        <w:rPr>
          <w:rFonts w:ascii="Arial" w:hAnsi="Arial" w:cs="Arial"/>
          <w:bCs/>
          <w:color w:val="FF0000"/>
        </w:rPr>
      </w:pPr>
    </w:p>
    <w:p w:rsidR="00965059" w:rsidRDefault="00965059" w:rsidP="00F33AA0">
      <w:pPr>
        <w:rPr>
          <w:rFonts w:ascii="Arial" w:hAnsi="Arial" w:cs="Arial"/>
        </w:rPr>
      </w:pPr>
    </w:p>
    <w:p w:rsidR="00F33AA0" w:rsidRPr="0005129B" w:rsidRDefault="00965059" w:rsidP="00F33AA0">
      <w:pPr>
        <w:rPr>
          <w:rFonts w:ascii="Arial" w:hAnsi="Arial" w:cs="Arial"/>
        </w:rPr>
      </w:pPr>
      <w:r w:rsidRPr="0005129B">
        <w:rPr>
          <w:rFonts w:ascii="Arial" w:hAnsi="Arial" w:cs="Arial"/>
        </w:rPr>
        <w:t>dále jen „</w:t>
      </w:r>
      <w:r>
        <w:rPr>
          <w:rFonts w:ascii="Arial" w:hAnsi="Arial" w:cs="Arial"/>
        </w:rPr>
        <w:t>zhotovitel</w:t>
      </w:r>
      <w:r w:rsidRPr="0005129B">
        <w:rPr>
          <w:rFonts w:ascii="Arial" w:hAnsi="Arial" w:cs="Arial"/>
        </w:rPr>
        <w:t>“</w:t>
      </w:r>
      <w:r w:rsidR="00F33AA0" w:rsidRPr="0005129B">
        <w:rPr>
          <w:rFonts w:ascii="Arial" w:hAnsi="Arial" w:cs="Arial"/>
        </w:rPr>
        <w:t xml:space="preserve">    </w:t>
      </w:r>
    </w:p>
    <w:p w:rsidR="00F33AA0" w:rsidRPr="0005129B" w:rsidRDefault="00F33AA0" w:rsidP="00F33AA0">
      <w:pPr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jc w:val="center"/>
        <w:rPr>
          <w:rFonts w:ascii="Arial" w:hAnsi="Arial" w:cs="Arial"/>
        </w:rPr>
      </w:pPr>
    </w:p>
    <w:p w:rsidR="00F33AA0" w:rsidRPr="0005129B" w:rsidRDefault="00F33AA0" w:rsidP="00F33AA0">
      <w:pPr>
        <w:pStyle w:val="Nadpis3"/>
        <w:ind w:left="1080"/>
        <w:jc w:val="lef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                                                 Článek I.</w:t>
      </w:r>
    </w:p>
    <w:p w:rsidR="00F33AA0" w:rsidRPr="0005129B" w:rsidRDefault="00F33AA0" w:rsidP="00F33AA0">
      <w:pPr>
        <w:pStyle w:val="Nadpis3"/>
        <w:ind w:left="1080"/>
        <w:jc w:val="lef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                             Předmět smlouvy, místo plnění</w:t>
      </w:r>
    </w:p>
    <w:p w:rsidR="00F33AA0" w:rsidRPr="0005129B" w:rsidRDefault="00F33AA0" w:rsidP="00F33AA0">
      <w:pPr>
        <w:jc w:val="center"/>
        <w:rPr>
          <w:rFonts w:ascii="Arial" w:hAnsi="Arial" w:cs="Arial"/>
        </w:rPr>
      </w:pPr>
    </w:p>
    <w:p w:rsidR="00F33AA0" w:rsidRPr="0005129B" w:rsidRDefault="00F33AA0" w:rsidP="00F33AA0">
      <w:pPr>
        <w:pStyle w:val="Podtitul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1. Za podmínek stanovených touto smlouvou se zhotovitel zavazuje </w:t>
      </w:r>
      <w:r w:rsidR="008665F4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provést na svůj náklad a nebezpečí pro objednatele </w:t>
      </w:r>
      <w:r w:rsidR="00A904F6">
        <w:rPr>
          <w:rFonts w:ascii="Arial" w:hAnsi="Arial" w:cs="Arial"/>
        </w:rPr>
        <w:t>opravu vnější strany oken severního, východního a západního schodiště a ok</w:t>
      </w:r>
      <w:r w:rsidR="002E51A3">
        <w:rPr>
          <w:rFonts w:ascii="Arial" w:hAnsi="Arial" w:cs="Arial"/>
        </w:rPr>
        <w:t>e</w:t>
      </w:r>
      <w:r w:rsidR="00A904F6">
        <w:rPr>
          <w:rFonts w:ascii="Arial" w:hAnsi="Arial" w:cs="Arial"/>
        </w:rPr>
        <w:t>n v 8. etáži</w:t>
      </w:r>
      <w:r w:rsidR="00FC721D">
        <w:rPr>
          <w:rFonts w:ascii="Arial" w:hAnsi="Arial" w:cs="Arial"/>
        </w:rPr>
        <w:t xml:space="preserve"> budovy </w:t>
      </w:r>
      <w:proofErr w:type="gramStart"/>
      <w:r w:rsidR="00FC721D">
        <w:rPr>
          <w:rFonts w:ascii="Arial" w:hAnsi="Arial" w:cs="Arial"/>
        </w:rPr>
        <w:t>č</w:t>
      </w:r>
      <w:r w:rsidR="002E51A3">
        <w:rPr>
          <w:rFonts w:ascii="Arial" w:hAnsi="Arial" w:cs="Arial"/>
        </w:rPr>
        <w:t>.p</w:t>
      </w:r>
      <w:r w:rsidR="00FC721D">
        <w:rPr>
          <w:rFonts w:ascii="Arial" w:hAnsi="Arial" w:cs="Arial"/>
        </w:rPr>
        <w:t>.</w:t>
      </w:r>
      <w:proofErr w:type="gramEnd"/>
      <w:r w:rsidR="00FC721D">
        <w:rPr>
          <w:rFonts w:ascii="Arial" w:hAnsi="Arial" w:cs="Arial"/>
        </w:rPr>
        <w:t xml:space="preserve"> 21 </w:t>
      </w:r>
      <w:r w:rsidR="002E51A3">
        <w:rPr>
          <w:rFonts w:ascii="Arial" w:hAnsi="Arial" w:cs="Arial"/>
        </w:rPr>
        <w:t>na tř. Tomáše Bati ve Zlíně</w:t>
      </w:r>
      <w:r w:rsidR="00FC721D">
        <w:rPr>
          <w:rFonts w:ascii="Arial" w:hAnsi="Arial" w:cs="Arial"/>
        </w:rPr>
        <w:t>. O</w:t>
      </w:r>
      <w:r w:rsidRPr="0005129B">
        <w:rPr>
          <w:rFonts w:ascii="Arial" w:hAnsi="Arial" w:cs="Arial"/>
        </w:rPr>
        <w:t>bjednatel se zavazuje zaplatit za zhotovené a převzaté dílo cenu sjednanou v článku III. této smlouvy.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  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2. Předmět díla je specifikován takto: </w:t>
      </w:r>
    </w:p>
    <w:p w:rsidR="00A904F6" w:rsidRPr="00220AB7" w:rsidRDefault="002E51A3" w:rsidP="00A904F6">
      <w:pPr>
        <w:tabs>
          <w:tab w:val="left" w:pos="1276"/>
        </w:tabs>
        <w:rPr>
          <w:b/>
          <w:sz w:val="28"/>
          <w:szCs w:val="28"/>
        </w:rPr>
      </w:pPr>
      <w:r>
        <w:rPr>
          <w:rFonts w:ascii="Arial" w:hAnsi="Arial" w:cs="Arial"/>
        </w:rPr>
        <w:t>O</w:t>
      </w:r>
      <w:r w:rsidR="00A904F6" w:rsidRPr="00FC4233">
        <w:rPr>
          <w:rFonts w:ascii="Arial" w:hAnsi="Arial" w:cs="Arial"/>
        </w:rPr>
        <w:t>prava vnější stra</w:t>
      </w:r>
      <w:r w:rsidR="00A904F6">
        <w:rPr>
          <w:rFonts w:ascii="Arial" w:hAnsi="Arial" w:cs="Arial"/>
        </w:rPr>
        <w:t xml:space="preserve">ny oken severního, východního a </w:t>
      </w:r>
      <w:r w:rsidR="00A904F6" w:rsidRPr="00FC4233">
        <w:rPr>
          <w:rFonts w:ascii="Arial" w:hAnsi="Arial" w:cs="Arial"/>
        </w:rPr>
        <w:t>západního schodiště a ok</w:t>
      </w:r>
      <w:r>
        <w:rPr>
          <w:rFonts w:ascii="Arial" w:hAnsi="Arial" w:cs="Arial"/>
        </w:rPr>
        <w:t>e</w:t>
      </w:r>
      <w:r w:rsidR="00F76B02">
        <w:rPr>
          <w:rFonts w:ascii="Arial" w:hAnsi="Arial" w:cs="Arial"/>
        </w:rPr>
        <w:t>n v 8. </w:t>
      </w:r>
      <w:r w:rsidR="00A904F6" w:rsidRPr="00FC4233">
        <w:rPr>
          <w:rFonts w:ascii="Arial" w:hAnsi="Arial" w:cs="Arial"/>
        </w:rPr>
        <w:t xml:space="preserve">etáži </w:t>
      </w:r>
      <w:r>
        <w:rPr>
          <w:rFonts w:ascii="Arial" w:hAnsi="Arial" w:cs="Arial"/>
        </w:rPr>
        <w:t xml:space="preserve">budovy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21 na tř. Tomáše Bati ve Zlíně</w:t>
      </w:r>
      <w:r w:rsidR="00A904F6" w:rsidRPr="00FC4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904F6" w:rsidRDefault="002E51A3" w:rsidP="000E29B9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904F6" w:rsidRPr="00FC4233">
        <w:rPr>
          <w:rFonts w:ascii="Arial" w:hAnsi="Arial" w:cs="Arial"/>
        </w:rPr>
        <w:t xml:space="preserve">enovace okenních rámů ze strany exteriéru, jejich ošetření od koroze, odstranění stávajících nátěrů, odstranění stávajícího nesoudržného sklářského tmele – kytu. </w:t>
      </w:r>
      <w:r>
        <w:rPr>
          <w:rFonts w:ascii="Arial" w:hAnsi="Arial" w:cs="Arial"/>
        </w:rPr>
        <w:t>B</w:t>
      </w:r>
      <w:r w:rsidR="00A904F6" w:rsidRPr="00FC4233">
        <w:rPr>
          <w:rFonts w:ascii="Arial" w:hAnsi="Arial" w:cs="Arial"/>
        </w:rPr>
        <w:t xml:space="preserve">ude provedeno kytování a opatření nových nátěrů v odstínu dle vzorkování. Bude provedeno odebrání vzorku barevného odstínu pro výběr stejné barvy, jako je stávající. </w:t>
      </w:r>
      <w:r w:rsidR="00A904F6" w:rsidRPr="00FC4233">
        <w:rPr>
          <w:rFonts w:ascii="Arial" w:hAnsi="Arial" w:cs="Arial"/>
        </w:rPr>
        <w:lastRenderedPageBreak/>
        <w:t xml:space="preserve">Nový nátěr bude proveden ze strany exteriéru a budou prováděny ve skladbě 2 x základ +3 x email syntetický. Označené otvory, u kterých se </w:t>
      </w:r>
      <w:proofErr w:type="gramStart"/>
      <w:r w:rsidR="00A904F6" w:rsidRPr="00FC4233">
        <w:rPr>
          <w:rFonts w:ascii="Arial" w:hAnsi="Arial" w:cs="Arial"/>
        </w:rPr>
        <w:t>bude</w:t>
      </w:r>
      <w:proofErr w:type="gramEnd"/>
      <w:r w:rsidR="00A904F6" w:rsidRPr="00FC4233">
        <w:rPr>
          <w:rFonts w:ascii="Arial" w:hAnsi="Arial" w:cs="Arial"/>
        </w:rPr>
        <w:t xml:space="preserve"> provádět výměna okenních skel se </w:t>
      </w:r>
      <w:proofErr w:type="gramStart"/>
      <w:r w:rsidR="00A904F6" w:rsidRPr="00FC4233">
        <w:rPr>
          <w:rFonts w:ascii="Arial" w:hAnsi="Arial" w:cs="Arial"/>
        </w:rPr>
        <w:t>zakytují</w:t>
      </w:r>
      <w:proofErr w:type="gramEnd"/>
      <w:r w:rsidR="00A904F6" w:rsidRPr="00FC4233">
        <w:rPr>
          <w:rFonts w:ascii="Arial" w:hAnsi="Arial" w:cs="Arial"/>
        </w:rPr>
        <w:t xml:space="preserve">, odstraní se nátěr a provede se nový na 100% těchto oken. U dále řešených oken (dle </w:t>
      </w:r>
      <w:r>
        <w:rPr>
          <w:rFonts w:ascii="Arial" w:hAnsi="Arial" w:cs="Arial"/>
        </w:rPr>
        <w:t>projektové dokumentace</w:t>
      </w:r>
      <w:r w:rsidRPr="00FC4233">
        <w:rPr>
          <w:rFonts w:ascii="Arial" w:hAnsi="Arial" w:cs="Arial"/>
        </w:rPr>
        <w:t xml:space="preserve"> </w:t>
      </w:r>
      <w:r w:rsidR="00A904F6" w:rsidRPr="00FC4233">
        <w:rPr>
          <w:rFonts w:ascii="Arial" w:hAnsi="Arial" w:cs="Arial"/>
        </w:rPr>
        <w:t xml:space="preserve">červeně značené) se provede odstranění stávajícího nátěru a nanesení nových nátěrů  ve 100% a rovněž doplnění kytu u </w:t>
      </w:r>
      <w:r w:rsidR="00194E1D" w:rsidRPr="00FC4233">
        <w:rPr>
          <w:rFonts w:ascii="Arial" w:hAnsi="Arial" w:cs="Arial"/>
        </w:rPr>
        <w:t>30% těchto</w:t>
      </w:r>
      <w:r w:rsidR="00A904F6" w:rsidRPr="00FC4233">
        <w:rPr>
          <w:rFonts w:ascii="Arial" w:hAnsi="Arial" w:cs="Arial"/>
        </w:rPr>
        <w:t xml:space="preserve"> oken. U „věže“ výtahu se počítá se výměnou popraskaných skel v počtu 44 kusů skel, jejich zakytování, odstranění stávajícího nátěru a nanesení nového v odsouhlasené skladbě. </w:t>
      </w:r>
      <w:r>
        <w:rPr>
          <w:rFonts w:ascii="Arial" w:hAnsi="Arial" w:cs="Arial"/>
        </w:rPr>
        <w:t>N</w:t>
      </w:r>
      <w:r w:rsidR="00A904F6" w:rsidRPr="00FC4233">
        <w:rPr>
          <w:rFonts w:ascii="Arial" w:hAnsi="Arial" w:cs="Arial"/>
        </w:rPr>
        <w:t xml:space="preserve">ové zasklení bude </w:t>
      </w:r>
      <w:r>
        <w:rPr>
          <w:rFonts w:ascii="Arial" w:hAnsi="Arial" w:cs="Arial"/>
        </w:rPr>
        <w:t>pohledově shodné</w:t>
      </w:r>
      <w:r w:rsidR="00A904F6" w:rsidRPr="00FC4233">
        <w:rPr>
          <w:rFonts w:ascii="Arial" w:hAnsi="Arial" w:cs="Arial"/>
        </w:rPr>
        <w:t xml:space="preserve"> se stávajícím zasklením. U zbylých oken „věže“ výtahu se provede odstranění stávající barvy a nanesení nových ve 100% a doplnění kytu v 30% případů u těchto oken.</w:t>
      </w:r>
      <w:r w:rsidR="00B538A5">
        <w:rPr>
          <w:rFonts w:ascii="Arial" w:hAnsi="Arial" w:cs="Arial"/>
        </w:rPr>
        <w:t xml:space="preserve"> V ostatním se pro účel specifikace díla podle této smlouvy odkazuje na projektovou dokumentaci zakázkové číslo 195/2016 zpracovanou Ing. Jakubem </w:t>
      </w:r>
      <w:proofErr w:type="spellStart"/>
      <w:r w:rsidR="00B538A5">
        <w:rPr>
          <w:rFonts w:ascii="Arial" w:hAnsi="Arial" w:cs="Arial"/>
        </w:rPr>
        <w:t>Guňkou</w:t>
      </w:r>
      <w:proofErr w:type="spellEnd"/>
      <w:r w:rsidR="009840EB">
        <w:rPr>
          <w:rFonts w:ascii="Arial" w:hAnsi="Arial" w:cs="Arial"/>
        </w:rPr>
        <w:t xml:space="preserve"> – Projekce </w:t>
      </w:r>
      <w:proofErr w:type="spellStart"/>
      <w:r w:rsidR="009840EB">
        <w:rPr>
          <w:rFonts w:ascii="Arial" w:hAnsi="Arial" w:cs="Arial"/>
        </w:rPr>
        <w:t>Guňka</w:t>
      </w:r>
      <w:proofErr w:type="spellEnd"/>
      <w:r w:rsidR="009840EB">
        <w:rPr>
          <w:rFonts w:ascii="Arial" w:hAnsi="Arial" w:cs="Arial"/>
        </w:rPr>
        <w:t xml:space="preserve"> s.r.o., IČ. 01508504, Šenov u Ostravy.</w:t>
      </w:r>
      <w:r w:rsidR="00B538A5">
        <w:rPr>
          <w:rFonts w:ascii="Arial" w:hAnsi="Arial" w:cs="Arial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7"/>
        <w:gridCol w:w="2725"/>
      </w:tblGrid>
      <w:tr w:rsidR="0005129B" w:rsidRPr="00C262D4" w:rsidTr="0005129B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29B" w:rsidRPr="00C262D4" w:rsidRDefault="0005129B">
            <w:pPr>
              <w:rPr>
                <w:rFonts w:ascii="Arial" w:hAnsi="Arial" w:cs="Arial"/>
              </w:rPr>
            </w:pPr>
          </w:p>
          <w:tbl>
            <w:tblPr>
              <w:tblW w:w="6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10"/>
              <w:gridCol w:w="146"/>
            </w:tblGrid>
            <w:tr w:rsidR="0005129B" w:rsidRPr="00C262D4" w:rsidTr="00A904F6">
              <w:trPr>
                <w:trHeight w:val="300"/>
              </w:trPr>
              <w:tc>
                <w:tcPr>
                  <w:tcW w:w="6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AE54F5" w:rsidP="0005129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Dílo obsahuje </w:t>
                  </w:r>
                  <w:r w:rsidR="00D36F82">
                    <w:rPr>
                      <w:rFonts w:ascii="Arial" w:hAnsi="Arial" w:cs="Arial"/>
                      <w:color w:val="000000"/>
                    </w:rPr>
                    <w:t xml:space="preserve">dále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tato plnění: </w:t>
                  </w:r>
                </w:p>
              </w:tc>
            </w:tr>
            <w:tr w:rsidR="0005129B" w:rsidRPr="00C262D4" w:rsidTr="00A904F6">
              <w:trPr>
                <w:trHeight w:val="300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5129B" w:rsidP="0005129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5129B" w:rsidP="0005129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129B" w:rsidRPr="00C262D4" w:rsidTr="00A904F6">
              <w:trPr>
                <w:trHeight w:val="300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A904F6" w:rsidP="000B4EBC">
                  <w:pPr>
                    <w:pStyle w:val="Odstavecseseznamem"/>
                    <w:numPr>
                      <w:ilvl w:val="0"/>
                      <w:numId w:val="10"/>
                    </w:numPr>
                    <w:tabs>
                      <w:tab w:val="left" w:pos="711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Zakrytí okenních tabulí repasovaných oken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5129B" w:rsidP="0005129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129B" w:rsidRPr="00C262D4" w:rsidTr="00A904F6">
              <w:trPr>
                <w:trHeight w:val="300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A904F6" w:rsidP="000B4EBC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Zabezpečení prostoru pod místem plnění při realizaci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5129B" w:rsidP="0005129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129B" w:rsidRPr="00C262D4" w:rsidTr="00A904F6">
              <w:trPr>
                <w:trHeight w:val="300"/>
              </w:trPr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04F6" w:rsidRPr="00831B73" w:rsidRDefault="00A904F6" w:rsidP="00831B73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Úklid prostor pod místem plnění po realizaci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5129B" w:rsidP="0005129B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129B" w:rsidRPr="00C262D4" w:rsidTr="00A904F6">
              <w:trPr>
                <w:trHeight w:val="300"/>
              </w:trPr>
              <w:tc>
                <w:tcPr>
                  <w:tcW w:w="6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29B" w:rsidRPr="00C262D4" w:rsidRDefault="000B4EBC" w:rsidP="00A904F6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C262D4">
                    <w:rPr>
                      <w:rFonts w:ascii="Arial" w:hAnsi="Arial" w:cs="Arial"/>
                      <w:color w:val="000000"/>
                    </w:rPr>
                    <w:t>D</w:t>
                  </w:r>
                  <w:r w:rsidR="0005129B" w:rsidRPr="00C262D4">
                    <w:rPr>
                      <w:rFonts w:ascii="Arial" w:hAnsi="Arial" w:cs="Arial"/>
                      <w:color w:val="000000"/>
                    </w:rPr>
                    <w:t>oprava a další náklady spojené s</w:t>
                  </w:r>
                  <w:r w:rsidR="00A904F6">
                    <w:rPr>
                      <w:rFonts w:ascii="Arial" w:hAnsi="Arial" w:cs="Arial"/>
                      <w:color w:val="000000"/>
                    </w:rPr>
                    <w:t> opravou oken</w:t>
                  </w:r>
                </w:p>
              </w:tc>
            </w:tr>
          </w:tbl>
          <w:p w:rsidR="0005129B" w:rsidRPr="00C262D4" w:rsidRDefault="0005129B" w:rsidP="0005129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129B" w:rsidRPr="0005129B" w:rsidTr="0005129B">
        <w:trPr>
          <w:trHeight w:val="300"/>
        </w:trPr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29B" w:rsidRPr="0005129B" w:rsidRDefault="0005129B" w:rsidP="005E5D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29B" w:rsidRPr="0005129B" w:rsidRDefault="0005129B" w:rsidP="000512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5129B" w:rsidRPr="0005129B" w:rsidTr="0005129B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29B" w:rsidRPr="0005129B" w:rsidRDefault="0005129B" w:rsidP="000512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478AE" w:rsidRDefault="00831B73" w:rsidP="00C478AE">
      <w:pPr>
        <w:pStyle w:val="Zkladntext"/>
        <w:shd w:val="clear" w:color="auto" w:fill="FFFFFF"/>
        <w:ind w:left="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D212F" w:rsidRPr="0005129B">
        <w:rPr>
          <w:rFonts w:ascii="Arial" w:hAnsi="Arial" w:cs="Arial"/>
        </w:rPr>
        <w:t>. Zhotovitel prohlašuje, že se před podpisem této smlouvy seznámil v </w:t>
      </w:r>
      <w:r w:rsidR="00194E1D" w:rsidRPr="0005129B">
        <w:rPr>
          <w:rFonts w:ascii="Arial" w:hAnsi="Arial" w:cs="Arial"/>
        </w:rPr>
        <w:t xml:space="preserve">plném </w:t>
      </w:r>
      <w:r w:rsidR="00194E1D">
        <w:rPr>
          <w:rFonts w:ascii="Arial" w:hAnsi="Arial" w:cs="Arial"/>
        </w:rPr>
        <w:t>rozsahu</w:t>
      </w:r>
      <w:r w:rsidR="001D212F" w:rsidRPr="0005129B">
        <w:rPr>
          <w:rFonts w:ascii="Arial" w:hAnsi="Arial" w:cs="Arial"/>
        </w:rPr>
        <w:t xml:space="preserve"> s předmětem díla, jeho zadáním a podmínkami a se stavem objektu, v němž bude dílo realizováno, k čemuž mu objednatel poskytl potřebnou součinnost.</w:t>
      </w:r>
    </w:p>
    <w:p w:rsidR="00C478AE" w:rsidRDefault="00C478AE" w:rsidP="00C478AE">
      <w:pPr>
        <w:pStyle w:val="Zkladntext"/>
        <w:shd w:val="clear" w:color="auto" w:fill="FFFFFF"/>
        <w:ind w:left="60"/>
        <w:rPr>
          <w:rFonts w:ascii="Arial" w:hAnsi="Arial" w:cs="Arial"/>
        </w:rPr>
      </w:pPr>
    </w:p>
    <w:p w:rsidR="00C478AE" w:rsidRDefault="00831B73" w:rsidP="00C478AE">
      <w:pPr>
        <w:pStyle w:val="Zkladntext"/>
        <w:shd w:val="clear" w:color="auto" w:fill="FFFFFF"/>
        <w:ind w:left="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78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478AE">
        <w:rPr>
          <w:rFonts w:ascii="Arial" w:hAnsi="Arial" w:cs="Arial"/>
        </w:rPr>
        <w:t xml:space="preserve">Objednatel se zavazuje za provedené dílo zaplatiti zhotoviteli za dohodnutých podmínek cenu dle čl. III. </w:t>
      </w:r>
      <w:r w:rsidR="00B538A5">
        <w:rPr>
          <w:rFonts w:ascii="Arial" w:hAnsi="Arial" w:cs="Arial"/>
        </w:rPr>
        <w:t xml:space="preserve">této </w:t>
      </w:r>
      <w:r w:rsidR="00C478AE">
        <w:rPr>
          <w:rFonts w:ascii="Arial" w:hAnsi="Arial" w:cs="Arial"/>
        </w:rPr>
        <w:t>smlouvy.</w:t>
      </w:r>
    </w:p>
    <w:p w:rsidR="001D212F" w:rsidRPr="0005129B" w:rsidRDefault="001D212F" w:rsidP="001D212F">
      <w:pPr>
        <w:pStyle w:val="Zkladntext"/>
        <w:shd w:val="clear" w:color="auto" w:fill="FFFFFF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</w:t>
      </w:r>
    </w:p>
    <w:p w:rsidR="001D212F" w:rsidRPr="0005129B" w:rsidRDefault="001D212F" w:rsidP="001D212F">
      <w:pPr>
        <w:jc w:val="both"/>
        <w:rPr>
          <w:rFonts w:ascii="Arial" w:hAnsi="Arial" w:cs="Arial"/>
        </w:rPr>
      </w:pPr>
    </w:p>
    <w:p w:rsidR="00F33AA0" w:rsidRPr="00CA5191" w:rsidRDefault="00CA5191" w:rsidP="001104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191">
        <w:rPr>
          <w:rFonts w:ascii="Arial" w:hAnsi="Arial" w:cs="Arial"/>
          <w:b/>
        </w:rPr>
        <w:t>Článek II.</w:t>
      </w:r>
    </w:p>
    <w:p w:rsidR="00831B73" w:rsidRPr="00CA5191" w:rsidRDefault="00CA5191" w:rsidP="00CA5191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Arial" w:hAnsi="Arial" w:cs="Arial"/>
          <w:b/>
        </w:rPr>
      </w:pPr>
      <w:r w:rsidRPr="00CA5191">
        <w:rPr>
          <w:rFonts w:ascii="Arial" w:hAnsi="Arial" w:cs="Arial"/>
          <w:b/>
        </w:rPr>
        <w:t>Doba plnění</w:t>
      </w:r>
    </w:p>
    <w:tbl>
      <w:tblPr>
        <w:tblW w:w="71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8"/>
        <w:gridCol w:w="883"/>
      </w:tblGrid>
      <w:tr w:rsidR="00820494" w:rsidRPr="00820494" w:rsidTr="000C2306">
        <w:trPr>
          <w:trHeight w:val="131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494" w:rsidRPr="00952938" w:rsidRDefault="00820494" w:rsidP="00952938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494" w:rsidRPr="001D212F" w:rsidRDefault="00820494" w:rsidP="001D212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820494" w:rsidRPr="00820494" w:rsidTr="000C2306">
        <w:trPr>
          <w:trHeight w:val="131"/>
        </w:trPr>
        <w:tc>
          <w:tcPr>
            <w:tcW w:w="7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2F" w:rsidRPr="004676EB" w:rsidRDefault="009D4062" w:rsidP="000C2306">
            <w:pPr>
              <w:pStyle w:val="Seznam2"/>
              <w:ind w:left="0" w:right="-70" w:hanging="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Předpokládaný t</w:t>
            </w:r>
            <w:r w:rsidR="001D212F" w:rsidRPr="0005129B">
              <w:rPr>
                <w:rFonts w:ascii="Arial" w:hAnsi="Arial" w:cs="Arial"/>
              </w:rPr>
              <w:t>ermín zahájení díla</w:t>
            </w:r>
            <w:r w:rsidR="001D212F">
              <w:rPr>
                <w:rFonts w:ascii="Arial" w:hAnsi="Arial" w:cs="Arial"/>
              </w:rPr>
              <w:t>:</w:t>
            </w:r>
            <w:r w:rsidR="001D212F" w:rsidRPr="0005129B">
              <w:rPr>
                <w:rFonts w:ascii="Arial" w:hAnsi="Arial" w:cs="Arial"/>
              </w:rPr>
              <w:t xml:space="preserve"> </w:t>
            </w:r>
            <w:r w:rsidR="00AA0345">
              <w:rPr>
                <w:rFonts w:ascii="Arial" w:hAnsi="Arial" w:cs="Arial"/>
              </w:rPr>
              <w:t xml:space="preserve">               </w:t>
            </w:r>
            <w:r w:rsidR="000C2306">
              <w:rPr>
                <w:rFonts w:ascii="Arial" w:hAnsi="Arial" w:cs="Arial"/>
              </w:rPr>
              <w:t xml:space="preserve">  </w:t>
            </w:r>
            <w:r w:rsidR="00AA0345">
              <w:rPr>
                <w:rFonts w:ascii="Arial" w:hAnsi="Arial" w:cs="Arial"/>
              </w:rPr>
              <w:t xml:space="preserve"> </w:t>
            </w:r>
            <w:r w:rsidR="0071447A">
              <w:rPr>
                <w:rFonts w:ascii="Arial" w:hAnsi="Arial" w:cs="Arial"/>
              </w:rPr>
              <w:t xml:space="preserve"> </w:t>
            </w:r>
            <w:r w:rsidR="00E51849">
              <w:rPr>
                <w:rFonts w:ascii="Arial" w:hAnsi="Arial" w:cs="Arial"/>
              </w:rPr>
              <w:t xml:space="preserve">      </w:t>
            </w:r>
            <w:r w:rsidR="00D25F74">
              <w:rPr>
                <w:rFonts w:ascii="Arial" w:hAnsi="Arial" w:cs="Arial"/>
              </w:rPr>
              <w:t xml:space="preserve"> </w:t>
            </w:r>
            <w:r w:rsidR="00E51849">
              <w:rPr>
                <w:rFonts w:ascii="Arial" w:hAnsi="Arial" w:cs="Arial"/>
              </w:rPr>
              <w:t xml:space="preserve">  </w:t>
            </w:r>
            <w:r w:rsidR="00831B73">
              <w:rPr>
                <w:rFonts w:ascii="Arial" w:hAnsi="Arial" w:cs="Arial"/>
                <w:b/>
              </w:rPr>
              <w:t>září</w:t>
            </w:r>
            <w:r w:rsidR="001D212F" w:rsidRPr="004676EB">
              <w:rPr>
                <w:rFonts w:ascii="Arial" w:hAnsi="Arial" w:cs="Arial"/>
                <w:b/>
              </w:rPr>
              <w:t xml:space="preserve"> </w:t>
            </w:r>
            <w:r w:rsidR="004676EB">
              <w:rPr>
                <w:rFonts w:ascii="Arial" w:hAnsi="Arial" w:cs="Arial"/>
                <w:b/>
              </w:rPr>
              <w:t xml:space="preserve"> </w:t>
            </w:r>
            <w:r w:rsidR="00D9177D" w:rsidRPr="004676EB">
              <w:rPr>
                <w:rFonts w:ascii="Arial" w:hAnsi="Arial" w:cs="Arial"/>
                <w:b/>
              </w:rPr>
              <w:t>2017</w:t>
            </w:r>
          </w:p>
          <w:p w:rsidR="001D212F" w:rsidRPr="0005129B" w:rsidRDefault="001D212F" w:rsidP="000C2306">
            <w:pPr>
              <w:pStyle w:val="Seznam2"/>
              <w:ind w:left="0" w:hanging="256"/>
              <w:jc w:val="both"/>
              <w:rPr>
                <w:rFonts w:ascii="Arial" w:hAnsi="Arial" w:cs="Arial"/>
              </w:rPr>
            </w:pPr>
            <w:r w:rsidRPr="0005129B">
              <w:rPr>
                <w:rFonts w:ascii="Arial" w:hAnsi="Arial" w:cs="Arial"/>
              </w:rPr>
              <w:tab/>
            </w:r>
            <w:r w:rsidR="00831B73">
              <w:rPr>
                <w:rFonts w:ascii="Arial" w:hAnsi="Arial" w:cs="Arial"/>
              </w:rPr>
              <w:t>Předpokládaný termín ukončení realizace</w:t>
            </w:r>
            <w:r w:rsidR="001876FC" w:rsidRPr="00BB452D">
              <w:rPr>
                <w:rFonts w:ascii="Arial" w:hAnsi="Arial" w:cs="Arial"/>
              </w:rPr>
              <w:t>:</w:t>
            </w:r>
            <w:r w:rsidRPr="000512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E51849" w:rsidRPr="00D25F74">
              <w:rPr>
                <w:rFonts w:ascii="Arial" w:hAnsi="Arial" w:cs="Arial"/>
                <w:b/>
              </w:rPr>
              <w:t>31. července 2018</w:t>
            </w:r>
            <w:r w:rsidR="009D4062">
              <w:rPr>
                <w:rFonts w:ascii="Arial" w:hAnsi="Arial" w:cs="Arial"/>
              </w:rPr>
              <w:t xml:space="preserve">   </w:t>
            </w:r>
          </w:p>
          <w:p w:rsidR="00820494" w:rsidRPr="00952938" w:rsidRDefault="00820494" w:rsidP="0011042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33AA0" w:rsidRDefault="00744738" w:rsidP="00F33AA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3AA0" w:rsidRPr="0005129B">
        <w:rPr>
          <w:rFonts w:ascii="Arial" w:hAnsi="Arial" w:cs="Arial"/>
        </w:rPr>
        <w:t xml:space="preserve">. V případě, že zhotovitel nebude moci zahájit práce na díle z důvodů spočívajících na straně objednatele, prodlužuje se o tuto dobu </w:t>
      </w:r>
      <w:r w:rsidR="00AE54F5">
        <w:rPr>
          <w:rFonts w:ascii="Arial" w:hAnsi="Arial" w:cs="Arial"/>
        </w:rPr>
        <w:t>trvání důvodů</w:t>
      </w:r>
      <w:r w:rsidR="00AE54F5" w:rsidRPr="0005129B">
        <w:rPr>
          <w:rFonts w:ascii="Arial" w:hAnsi="Arial" w:cs="Arial"/>
        </w:rPr>
        <w:t xml:space="preserve"> </w:t>
      </w:r>
      <w:r w:rsidR="00F76B02">
        <w:rPr>
          <w:rFonts w:ascii="Arial" w:hAnsi="Arial" w:cs="Arial"/>
        </w:rPr>
        <w:t>i termín dokončení a </w:t>
      </w:r>
      <w:r w:rsidR="00F33AA0" w:rsidRPr="0005129B">
        <w:rPr>
          <w:rFonts w:ascii="Arial" w:hAnsi="Arial" w:cs="Arial"/>
        </w:rPr>
        <w:t>předání díla.</w:t>
      </w: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</w:rPr>
      </w:pPr>
    </w:p>
    <w:p w:rsidR="00F33AA0" w:rsidRPr="0005129B" w:rsidRDefault="00F33AA0" w:rsidP="00110425">
      <w:pPr>
        <w:pStyle w:val="Seznam2"/>
        <w:ind w:left="3540" w:firstLine="708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Článek III.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Cena, platební podmínky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</w:p>
    <w:p w:rsidR="00831B73" w:rsidRDefault="00831B73" w:rsidP="00831B73">
      <w:pPr>
        <w:pStyle w:val="Zkladntext"/>
        <w:rPr>
          <w:rFonts w:ascii="Arial" w:hAnsi="Arial" w:cs="Arial"/>
        </w:rPr>
      </w:pPr>
      <w:r w:rsidRPr="00831B7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31B73">
        <w:rPr>
          <w:rFonts w:ascii="Arial" w:hAnsi="Arial" w:cs="Arial"/>
        </w:rPr>
        <w:t xml:space="preserve">Cena díla zahrnuje veškeré náklady potřebné ke zhotovení díla v rozsahu dle čl. </w:t>
      </w:r>
      <w:r w:rsidR="00B538A5">
        <w:rPr>
          <w:rFonts w:ascii="Arial" w:hAnsi="Arial" w:cs="Arial"/>
        </w:rPr>
        <w:t>1</w:t>
      </w:r>
      <w:r w:rsidR="00B538A5" w:rsidRPr="00831B73">
        <w:rPr>
          <w:rFonts w:ascii="Arial" w:hAnsi="Arial" w:cs="Arial"/>
        </w:rPr>
        <w:t xml:space="preserve"> </w:t>
      </w:r>
      <w:r w:rsidRPr="00831B73">
        <w:rPr>
          <w:rFonts w:ascii="Arial" w:hAnsi="Arial" w:cs="Arial"/>
        </w:rPr>
        <w:t>a v ostatních ustanoveních této smlouvy. Sjednaná cena obsahuje i předpokládané náklady vzniklé vývojem cen, a to až do termínu protokolárního předání a převzetí řádně dokončeného díla dle této smlouvy.</w:t>
      </w:r>
    </w:p>
    <w:p w:rsidR="00831B73" w:rsidRPr="00831B73" w:rsidRDefault="00831B73" w:rsidP="00831B73">
      <w:pPr>
        <w:pStyle w:val="Zkladntext"/>
        <w:tabs>
          <w:tab w:val="num" w:pos="0"/>
          <w:tab w:val="num" w:pos="567"/>
        </w:tabs>
        <w:ind w:left="426"/>
        <w:rPr>
          <w:rFonts w:ascii="Arial" w:hAnsi="Arial" w:cs="Arial"/>
        </w:rPr>
      </w:pPr>
    </w:p>
    <w:p w:rsidR="00831B73" w:rsidRPr="00831B73" w:rsidRDefault="00831B73" w:rsidP="00831B73">
      <w:pPr>
        <w:pStyle w:val="Zkladntext"/>
        <w:tabs>
          <w:tab w:val="num" w:pos="0"/>
          <w:tab w:val="num" w:pos="567"/>
        </w:tabs>
        <w:rPr>
          <w:rFonts w:ascii="Arial" w:hAnsi="Arial" w:cs="Arial"/>
        </w:rPr>
      </w:pPr>
      <w:bookmarkStart w:id="0" w:name="_Ref319912246"/>
      <w:r>
        <w:rPr>
          <w:rFonts w:ascii="Arial" w:hAnsi="Arial" w:cs="Arial"/>
        </w:rPr>
        <w:t xml:space="preserve">2. </w:t>
      </w:r>
      <w:r w:rsidRPr="00831B73">
        <w:rPr>
          <w:rFonts w:ascii="Arial" w:hAnsi="Arial" w:cs="Arial"/>
        </w:rPr>
        <w:t>Smluvní strany se v souladu s ustanovením zákona č. 526/1990 Sb., o cenách, ve znění pozdějších předpisů, dohodly na ceně za řá</w:t>
      </w:r>
      <w:r w:rsidR="00F76B02">
        <w:rPr>
          <w:rFonts w:ascii="Arial" w:hAnsi="Arial" w:cs="Arial"/>
        </w:rPr>
        <w:t>dně zhotovené a bezvadné dílo v </w:t>
      </w:r>
      <w:r w:rsidRPr="00831B73">
        <w:rPr>
          <w:rFonts w:ascii="Arial" w:hAnsi="Arial" w:cs="Arial"/>
        </w:rPr>
        <w:t>rozsahu čl. 2. této smlouvy, která činí:</w:t>
      </w:r>
      <w:bookmarkEnd w:id="0"/>
    </w:p>
    <w:p w:rsidR="00831B73" w:rsidRDefault="00831B73" w:rsidP="00831B73">
      <w:pPr>
        <w:pStyle w:val="Textvbloku"/>
        <w:tabs>
          <w:tab w:val="num" w:pos="0"/>
        </w:tabs>
        <w:ind w:left="426" w:right="-91" w:firstLine="708"/>
        <w:jc w:val="center"/>
        <w:rPr>
          <w:rFonts w:ascii="Arial" w:hAnsi="Arial" w:cs="Arial"/>
          <w:b/>
          <w:sz w:val="20"/>
        </w:rPr>
      </w:pPr>
    </w:p>
    <w:p w:rsidR="00831B73" w:rsidRDefault="00831B73" w:rsidP="00831B73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:rsidR="00831B73" w:rsidRDefault="00831B73" w:rsidP="00831B73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  <w:r w:rsidRPr="008C6F54">
        <w:rPr>
          <w:rFonts w:ascii="Arial" w:hAnsi="Arial" w:cs="Arial"/>
          <w:b/>
          <w:szCs w:val="24"/>
        </w:rPr>
        <w:t>2</w:t>
      </w:r>
      <w:r w:rsidR="008C6F54">
        <w:rPr>
          <w:rFonts w:ascii="Arial" w:hAnsi="Arial" w:cs="Arial"/>
          <w:b/>
          <w:szCs w:val="24"/>
        </w:rPr>
        <w:t>.</w:t>
      </w:r>
      <w:r w:rsidRPr="008C6F54">
        <w:rPr>
          <w:rFonts w:ascii="Arial" w:hAnsi="Arial" w:cs="Arial"/>
          <w:b/>
          <w:szCs w:val="24"/>
        </w:rPr>
        <w:t>330</w:t>
      </w:r>
      <w:r w:rsidR="008C6F54">
        <w:rPr>
          <w:rFonts w:ascii="Arial" w:hAnsi="Arial" w:cs="Arial"/>
          <w:b/>
          <w:szCs w:val="24"/>
        </w:rPr>
        <w:t>.</w:t>
      </w:r>
      <w:r w:rsidRPr="008C6F54">
        <w:rPr>
          <w:rFonts w:ascii="Arial" w:hAnsi="Arial" w:cs="Arial"/>
          <w:b/>
          <w:szCs w:val="24"/>
        </w:rPr>
        <w:t>896,41 Kč (bez DPH)</w:t>
      </w: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  <w:r w:rsidRPr="008C6F54">
        <w:rPr>
          <w:rFonts w:ascii="Arial" w:hAnsi="Arial" w:cs="Arial"/>
          <w:b/>
          <w:szCs w:val="24"/>
        </w:rPr>
        <w:t xml:space="preserve">(slovy:  </w:t>
      </w:r>
      <w:proofErr w:type="spellStart"/>
      <w:r w:rsidRPr="008C6F54">
        <w:rPr>
          <w:rFonts w:ascii="Arial" w:hAnsi="Arial" w:cs="Arial"/>
          <w:b/>
          <w:szCs w:val="24"/>
        </w:rPr>
        <w:t>Dvamilionytřistatřicettisícosmsetdevadesátšest</w:t>
      </w:r>
      <w:proofErr w:type="spellEnd"/>
      <w:r w:rsidRPr="008C6F54">
        <w:rPr>
          <w:rFonts w:ascii="Arial" w:hAnsi="Arial" w:cs="Arial"/>
          <w:b/>
          <w:szCs w:val="24"/>
        </w:rPr>
        <w:t xml:space="preserve"> korun českých</w:t>
      </w:r>
      <w:r w:rsidR="008C6F54">
        <w:rPr>
          <w:rFonts w:ascii="Arial" w:hAnsi="Arial" w:cs="Arial"/>
          <w:b/>
          <w:szCs w:val="24"/>
        </w:rPr>
        <w:t xml:space="preserve"> čtyřicet jeden haléřů</w:t>
      </w:r>
      <w:r w:rsidRPr="008C6F54">
        <w:rPr>
          <w:rFonts w:ascii="Arial" w:hAnsi="Arial" w:cs="Arial"/>
          <w:szCs w:val="24"/>
        </w:rPr>
        <w:t>)</w:t>
      </w:r>
    </w:p>
    <w:p w:rsidR="00B410A2" w:rsidRPr="008C6F54" w:rsidRDefault="00B410A2" w:rsidP="00B410A2">
      <w:pPr>
        <w:pStyle w:val="Textvbloku"/>
        <w:ind w:right="-91"/>
        <w:rPr>
          <w:rFonts w:ascii="Arial" w:hAnsi="Arial" w:cs="Arial"/>
          <w:szCs w:val="24"/>
        </w:rPr>
      </w:pP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  <w:r w:rsidRPr="008C6F54">
        <w:rPr>
          <w:rFonts w:ascii="Arial" w:hAnsi="Arial" w:cs="Arial"/>
          <w:b/>
          <w:szCs w:val="24"/>
        </w:rPr>
        <w:t xml:space="preserve">489.488,25 </w:t>
      </w:r>
      <w:r w:rsidRPr="008C6F54">
        <w:rPr>
          <w:rFonts w:ascii="Arial" w:hAnsi="Arial" w:cs="Arial"/>
          <w:szCs w:val="24"/>
        </w:rPr>
        <w:t>Kč DPH 21 %</w:t>
      </w: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b/>
          <w:szCs w:val="24"/>
        </w:rPr>
      </w:pPr>
    </w:p>
    <w:p w:rsidR="00B410A2" w:rsidRPr="008C6F54" w:rsidRDefault="00B410A2" w:rsidP="00B410A2">
      <w:pPr>
        <w:pStyle w:val="Textvbloku"/>
        <w:ind w:left="709" w:right="-91"/>
        <w:jc w:val="center"/>
        <w:rPr>
          <w:rFonts w:ascii="Arial" w:hAnsi="Arial" w:cs="Arial"/>
          <w:szCs w:val="24"/>
        </w:rPr>
      </w:pPr>
      <w:r w:rsidRPr="008C6F54">
        <w:rPr>
          <w:rFonts w:ascii="Arial" w:hAnsi="Arial" w:cs="Arial"/>
          <w:b/>
          <w:szCs w:val="24"/>
        </w:rPr>
        <w:t>2,820.384,66 Kč (včetně DPH)</w:t>
      </w:r>
    </w:p>
    <w:p w:rsidR="00B410A2" w:rsidRPr="008C6F54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</w:p>
    <w:p w:rsidR="00B410A2" w:rsidRPr="00141A15" w:rsidRDefault="00B410A2" w:rsidP="00B410A2">
      <w:pPr>
        <w:pStyle w:val="Textvbloku"/>
        <w:ind w:right="-91"/>
        <w:jc w:val="center"/>
        <w:rPr>
          <w:rFonts w:ascii="Arial" w:hAnsi="Arial" w:cs="Arial"/>
          <w:szCs w:val="24"/>
        </w:rPr>
      </w:pPr>
      <w:r w:rsidRPr="008C6F54">
        <w:rPr>
          <w:rFonts w:ascii="Arial" w:hAnsi="Arial" w:cs="Arial"/>
          <w:b/>
          <w:szCs w:val="24"/>
        </w:rPr>
        <w:t xml:space="preserve">(slovy:  </w:t>
      </w:r>
      <w:proofErr w:type="spellStart"/>
      <w:r w:rsidRPr="008C6F54">
        <w:rPr>
          <w:rFonts w:ascii="Arial" w:hAnsi="Arial" w:cs="Arial"/>
          <w:b/>
          <w:szCs w:val="24"/>
        </w:rPr>
        <w:t>Dvamilionyosmsetdvacettisíctřistaosmdesátčtyři</w:t>
      </w:r>
      <w:proofErr w:type="spellEnd"/>
      <w:r w:rsidRPr="008C6F54">
        <w:rPr>
          <w:rFonts w:ascii="Arial" w:hAnsi="Arial" w:cs="Arial"/>
          <w:b/>
          <w:szCs w:val="24"/>
        </w:rPr>
        <w:t xml:space="preserve"> korun českých</w:t>
      </w:r>
      <w:r w:rsidR="00E8334F">
        <w:rPr>
          <w:rFonts w:ascii="Arial" w:hAnsi="Arial" w:cs="Arial"/>
          <w:b/>
          <w:szCs w:val="24"/>
        </w:rPr>
        <w:t xml:space="preserve"> šedesát šest haléřů</w:t>
      </w:r>
      <w:r w:rsidRPr="008C6F54">
        <w:rPr>
          <w:rFonts w:ascii="Arial" w:hAnsi="Arial" w:cs="Arial"/>
          <w:szCs w:val="24"/>
        </w:rPr>
        <w:t>)</w:t>
      </w:r>
    </w:p>
    <w:p w:rsidR="00831B73" w:rsidRDefault="00831B73" w:rsidP="00831B73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831B73" w:rsidRPr="00F44C90" w:rsidRDefault="00831B73" w:rsidP="00831B73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:rsidR="00831B73" w:rsidRDefault="00831B73" w:rsidP="00831B73">
      <w:pPr>
        <w:pStyle w:val="Zkladntext"/>
        <w:tabs>
          <w:tab w:val="num" w:pos="567"/>
        </w:tabs>
        <w:rPr>
          <w:rFonts w:ascii="Arial" w:hAnsi="Arial" w:cs="Arial"/>
        </w:rPr>
      </w:pPr>
      <w:r w:rsidRPr="00831B73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831B73">
        <w:rPr>
          <w:rFonts w:ascii="Arial" w:hAnsi="Arial" w:cs="Arial"/>
        </w:rPr>
        <w:t xml:space="preserve">Cena díla je stanovena zhotovitelem na základě položkového rozpočtu, který je součástí jeho nabídky. Zjištěné odchylky, vynechání, opomnění, chyby a nedostatky položkového rozpočtu </w:t>
      </w:r>
      <w:r w:rsidR="002E2352">
        <w:rPr>
          <w:rFonts w:ascii="Arial" w:hAnsi="Arial" w:cs="Arial"/>
        </w:rPr>
        <w:t xml:space="preserve">ze strany zhotovitele, </w:t>
      </w:r>
      <w:r w:rsidRPr="00831B73">
        <w:rPr>
          <w:rFonts w:ascii="Arial" w:hAnsi="Arial" w:cs="Arial"/>
        </w:rPr>
        <w:t xml:space="preserve">nemají vliv na smluvní cenu díla, na rozsah díla ani na další ujednání smluvních stran v této smlouvě. </w:t>
      </w:r>
    </w:p>
    <w:p w:rsidR="00831B73" w:rsidRPr="00831B73" w:rsidRDefault="00831B73" w:rsidP="00831B73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831B73" w:rsidRPr="00831B73" w:rsidRDefault="00831B73" w:rsidP="00831B73">
      <w:pPr>
        <w:pStyle w:val="Zkladntext"/>
        <w:numPr>
          <w:ilvl w:val="2"/>
          <w:numId w:val="18"/>
        </w:numPr>
        <w:rPr>
          <w:rFonts w:ascii="Arial" w:hAnsi="Arial" w:cs="Arial"/>
        </w:rPr>
      </w:pPr>
      <w:r w:rsidRPr="00831B73">
        <w:rPr>
          <w:rFonts w:ascii="Arial" w:hAnsi="Arial" w:cs="Arial"/>
        </w:rPr>
        <w:t xml:space="preserve">Položkový rozpočet slouží k ohodnocení provedených částí díla za účelem fakturace. </w:t>
      </w:r>
    </w:p>
    <w:p w:rsidR="00831B73" w:rsidRPr="00831B73" w:rsidRDefault="00831B73" w:rsidP="00831B73">
      <w:pPr>
        <w:pStyle w:val="Zkladntext"/>
        <w:numPr>
          <w:ilvl w:val="2"/>
          <w:numId w:val="18"/>
        </w:numPr>
        <w:rPr>
          <w:rFonts w:ascii="Arial" w:hAnsi="Arial" w:cs="Arial"/>
        </w:rPr>
      </w:pPr>
      <w:r w:rsidRPr="00831B73">
        <w:rPr>
          <w:rFonts w:ascii="Arial" w:hAnsi="Arial" w:cs="Arial"/>
        </w:rPr>
        <w:t>Jednotkové ceny uvedené v položkovém rozpočtu jsou cenami pevnými po celou dobu realizace díla.</w:t>
      </w:r>
    </w:p>
    <w:p w:rsidR="00831B73" w:rsidRDefault="00831B73" w:rsidP="00831B73">
      <w:pPr>
        <w:pStyle w:val="Zkladntext"/>
        <w:numPr>
          <w:ilvl w:val="2"/>
          <w:numId w:val="18"/>
        </w:numPr>
        <w:rPr>
          <w:rFonts w:ascii="Arial" w:hAnsi="Arial" w:cs="Arial"/>
        </w:rPr>
      </w:pPr>
      <w:r w:rsidRPr="00831B73">
        <w:rPr>
          <w:rFonts w:ascii="Arial" w:hAnsi="Arial" w:cs="Arial"/>
        </w:rPr>
        <w:t xml:space="preserve">Položkový rozpočet tvoří přílohu č.1 této smlouvy. </w:t>
      </w:r>
    </w:p>
    <w:p w:rsidR="00831B73" w:rsidRPr="00831B73" w:rsidRDefault="00831B73" w:rsidP="00831B73">
      <w:pPr>
        <w:pStyle w:val="Zkladntext"/>
        <w:ind w:left="1288"/>
        <w:rPr>
          <w:rFonts w:ascii="Arial" w:hAnsi="Arial" w:cs="Arial"/>
        </w:rPr>
      </w:pPr>
    </w:p>
    <w:p w:rsidR="00831B73" w:rsidRDefault="00831B73" w:rsidP="00831B73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31B73">
        <w:rPr>
          <w:rFonts w:ascii="Arial" w:hAnsi="Arial" w:cs="Arial"/>
        </w:rPr>
        <w:t>Příslušná sazba daně z přidané hodnoty (DPH) bude účtována dle platných předpisů ČR v době zdanitelného plnění. Za správnost stanovení příslušné sazby daně z přidané hodnoty nese veškerou odpovědnost zhotovitel. V době uzavření smlouvy činí DPH 21%.</w:t>
      </w:r>
    </w:p>
    <w:p w:rsidR="00831B73" w:rsidRPr="00831B73" w:rsidRDefault="00831B73" w:rsidP="00831B73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831B73" w:rsidRPr="00831B73" w:rsidRDefault="00831B73" w:rsidP="00831B73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31B73">
        <w:rPr>
          <w:rFonts w:ascii="Arial" w:hAnsi="Arial" w:cs="Arial"/>
        </w:rPr>
        <w:t xml:space="preserve">Cena díla podle </w:t>
      </w:r>
      <w:r w:rsidR="007B09EB">
        <w:rPr>
          <w:rFonts w:ascii="Arial" w:hAnsi="Arial" w:cs="Arial"/>
        </w:rPr>
        <w:t>článku III., odst. 2</w:t>
      </w:r>
      <w:r w:rsidRPr="00831B73">
        <w:rPr>
          <w:rFonts w:ascii="Arial" w:hAnsi="Arial" w:cs="Arial"/>
        </w:rPr>
        <w:t xml:space="preserve"> je cenou nejvýše přípustnou a může být změněna jen dodatkem smlouvy z níže uvedených důvodů:</w:t>
      </w:r>
    </w:p>
    <w:p w:rsidR="00831B73" w:rsidRPr="00893C41" w:rsidRDefault="002E2352" w:rsidP="00831B73">
      <w:pPr>
        <w:numPr>
          <w:ilvl w:val="0"/>
          <w:numId w:val="12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uzavření smlouvy</w:t>
      </w:r>
      <w:r w:rsidR="00831B73" w:rsidRPr="00893C41">
        <w:rPr>
          <w:rFonts w:ascii="Arial" w:hAnsi="Arial" w:cs="Arial"/>
        </w:rPr>
        <w:t xml:space="preserve"> dojde ke změnám daňových předpisů majících vliv na </w:t>
      </w:r>
      <w:r>
        <w:rPr>
          <w:rFonts w:ascii="Arial" w:hAnsi="Arial" w:cs="Arial"/>
        </w:rPr>
        <w:t>výši daně z přidané hodnoty</w:t>
      </w:r>
      <w:r w:rsidR="00831B73" w:rsidRPr="00893C41">
        <w:rPr>
          <w:rFonts w:ascii="Arial" w:hAnsi="Arial" w:cs="Arial"/>
        </w:rPr>
        <w:t>; v takovém případě bude cena upravena dle sazeb daně z přidané hodnoty platných ke dni zdanitelného plnění,</w:t>
      </w:r>
    </w:p>
    <w:p w:rsidR="00831B73" w:rsidRPr="00893C41" w:rsidRDefault="00831B73" w:rsidP="00831B73">
      <w:pPr>
        <w:numPr>
          <w:ilvl w:val="0"/>
          <w:numId w:val="12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893C41">
        <w:rPr>
          <w:rFonts w:ascii="Arial" w:hAnsi="Arial" w:cs="Arial"/>
        </w:rPr>
        <w:t>v případě víceprací, služeb a dodávek požadovaných objednatelem a neobsažených v zadávací dokumentaci,</w:t>
      </w:r>
    </w:p>
    <w:p w:rsidR="00831B73" w:rsidRPr="00893C41" w:rsidRDefault="00831B73" w:rsidP="00831B73">
      <w:pPr>
        <w:numPr>
          <w:ilvl w:val="0"/>
          <w:numId w:val="12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893C41">
        <w:rPr>
          <w:rFonts w:ascii="Arial" w:hAnsi="Arial" w:cs="Arial"/>
        </w:rPr>
        <w:t xml:space="preserve">v případě </w:t>
      </w:r>
      <w:proofErr w:type="spellStart"/>
      <w:r w:rsidRPr="00893C41">
        <w:rPr>
          <w:rFonts w:ascii="Arial" w:hAnsi="Arial" w:cs="Arial"/>
        </w:rPr>
        <w:t>méněprací</w:t>
      </w:r>
      <w:proofErr w:type="spellEnd"/>
      <w:r w:rsidRPr="00893C41">
        <w:rPr>
          <w:rFonts w:ascii="Arial" w:hAnsi="Arial" w:cs="Arial"/>
        </w:rPr>
        <w:t>,</w:t>
      </w:r>
    </w:p>
    <w:p w:rsidR="00831B73" w:rsidRPr="00893C41" w:rsidRDefault="00831B73" w:rsidP="00831B73">
      <w:pPr>
        <w:spacing w:before="120"/>
        <w:ind w:left="284"/>
        <w:jc w:val="both"/>
        <w:rPr>
          <w:rFonts w:ascii="Arial" w:hAnsi="Arial" w:cs="Arial"/>
        </w:rPr>
      </w:pPr>
    </w:p>
    <w:p w:rsidR="00831B73" w:rsidRDefault="007B09EB" w:rsidP="007B09EB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31B73" w:rsidRPr="007B09EB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:rsidR="007B09EB" w:rsidRPr="007B09EB" w:rsidRDefault="007B09EB" w:rsidP="007B09EB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831B73" w:rsidRDefault="007B09EB" w:rsidP="007B09EB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31B73" w:rsidRPr="007B09EB">
        <w:rPr>
          <w:rFonts w:ascii="Arial" w:hAnsi="Arial" w:cs="Arial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ocenění soupisu stavebních prací, dodávek a služeb dle výkazu výměr.</w:t>
      </w:r>
    </w:p>
    <w:p w:rsidR="00F10352" w:rsidRDefault="00F10352" w:rsidP="007B09EB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10352">
        <w:rPr>
          <w:rFonts w:ascii="Arial" w:hAnsi="Arial" w:cs="Arial"/>
        </w:rPr>
        <w:t>Objednatel neposkytuje zhotoviteli zálohy.</w:t>
      </w:r>
    </w:p>
    <w:p w:rsidR="00F10352" w:rsidRP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F10352">
        <w:rPr>
          <w:rFonts w:ascii="Arial" w:hAnsi="Arial" w:cs="Arial"/>
        </w:rPr>
        <w:t>Smluvní strany se dohodly v souladu se zákonem č. 235/2004 Sb., o dani z přidané hodnoty, ve znění pozdějších předpisů (dále jen „zákon o DPH“), na hrazení ceny za dílo postupně (dílčí plnění) na základě dílčích daňových dokladů (faktur).</w:t>
      </w:r>
    </w:p>
    <w:p w:rsidR="00F10352" w:rsidRP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F10352">
        <w:rPr>
          <w:rFonts w:ascii="Arial" w:hAnsi="Arial" w:cs="Arial"/>
        </w:rPr>
        <w:t>Faktury budou vystavovány zpravidla měsíčně dle skutečně provedených stavebních prací, dodávek a služeb na základě objednatelem schválených zjišťovacích protokolů a soupisů provedených stavebních prací, dodávek a služeb s využitím cenových údajů položkového rozpočtu zhotovitele (příloha č.1)</w:t>
      </w:r>
      <w:r w:rsidR="009840EB">
        <w:rPr>
          <w:rFonts w:ascii="Arial" w:hAnsi="Arial" w:cs="Arial"/>
        </w:rPr>
        <w:t xml:space="preserve"> </w:t>
      </w:r>
      <w:r w:rsidRPr="00F10352">
        <w:rPr>
          <w:rFonts w:ascii="Arial" w:hAnsi="Arial" w:cs="Arial"/>
        </w:rPr>
        <w:t>pro ocenění dokončených částí díla. Datem zdanitelného plnění je poslední den příslušného měsíce.</w:t>
      </w:r>
    </w:p>
    <w:p w:rsidR="00F10352" w:rsidRP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F10352">
        <w:rPr>
          <w:rFonts w:ascii="Arial" w:hAnsi="Arial" w:cs="Arial"/>
        </w:rPr>
        <w:t xml:space="preserve">Faktura musí mít náležitosti daňového dokladu podle zákona o DPH. </w:t>
      </w:r>
    </w:p>
    <w:p w:rsidR="00F10352" w:rsidRPr="00F10352" w:rsidRDefault="00F10352" w:rsidP="00F10352">
      <w:pPr>
        <w:pStyle w:val="Zkladntext"/>
        <w:tabs>
          <w:tab w:val="num" w:pos="567"/>
        </w:tabs>
        <w:rPr>
          <w:rFonts w:ascii="Arial" w:hAnsi="Arial" w:cs="Arial"/>
        </w:rPr>
      </w:pPr>
    </w:p>
    <w:p w:rsidR="000E29B9" w:rsidRDefault="00F10352" w:rsidP="00FA70D2">
      <w:pPr>
        <w:pStyle w:val="Zkladntext"/>
        <w:spacing w:before="1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F10352">
        <w:rPr>
          <w:rFonts w:ascii="Arial" w:hAnsi="Arial" w:cs="Arial"/>
        </w:rPr>
        <w:t>Zhotovitel prohlašuje, že:</w:t>
      </w:r>
      <w:r w:rsidRPr="00F10352">
        <w:rPr>
          <w:rFonts w:ascii="Arial" w:hAnsi="Arial" w:cs="Arial"/>
        </w:rPr>
        <w:br/>
        <w:t>- nemá v úmyslu nezaplatit daň z přidané hodnoty u zdanitelného plnění podle této smlouvy (dále jen „daň“),</w:t>
      </w:r>
      <w:r w:rsidRPr="00F10352">
        <w:rPr>
          <w:rFonts w:ascii="Arial" w:hAnsi="Arial" w:cs="Arial"/>
        </w:rPr>
        <w:br/>
        <w:t>- mu nejsou známy skutečnosti, nasvědčující tomu, že se dostane do postavení, kdy nemůže daň zaplatit a ani se ke dni podpisu této smlouvy v takovém postavení nenachází,</w:t>
      </w:r>
    </w:p>
    <w:p w:rsidR="000E29B9" w:rsidRDefault="000E29B9" w:rsidP="00FA70D2">
      <w:pPr>
        <w:pStyle w:val="Zkladntext"/>
        <w:spacing w:before="100"/>
        <w:jc w:val="left"/>
        <w:rPr>
          <w:rFonts w:ascii="Arial" w:hAnsi="Arial" w:cs="Arial"/>
        </w:rPr>
      </w:pPr>
      <w:r>
        <w:rPr>
          <w:rFonts w:ascii="Arial" w:hAnsi="Arial" w:cs="Arial"/>
        </w:rPr>
        <w:t>- úplata za plnění dle smlouvy není odchylná od obvyklé ceny,</w:t>
      </w:r>
      <w:r w:rsidR="00F10352" w:rsidRPr="00F10352">
        <w:rPr>
          <w:rFonts w:ascii="Arial" w:hAnsi="Arial" w:cs="Arial"/>
        </w:rPr>
        <w:br/>
        <w:t>- nezkrátí daň nebo nevyláká daňovou výhodu,</w:t>
      </w:r>
      <w:r w:rsidR="00F10352" w:rsidRPr="00F10352">
        <w:rPr>
          <w:rFonts w:ascii="Arial" w:hAnsi="Arial" w:cs="Arial"/>
        </w:rPr>
        <w:br/>
        <w:t>- nebude nespolehlivým plátcem,</w:t>
      </w:r>
    </w:p>
    <w:p w:rsidR="00F10352" w:rsidRPr="00D247C1" w:rsidRDefault="000E29B9" w:rsidP="00FA70D2">
      <w:pPr>
        <w:pStyle w:val="Zkladntext"/>
        <w:spacing w:before="10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>- úplata za plnění dle smlouvy nebude poskytnuta zcela nebo zčásti bezhotovostním převodem na účet vedený poskytovatelem platebních služeb mimo tuzemsko,</w:t>
      </w:r>
      <w:r w:rsidR="00F10352" w:rsidRPr="00F10352">
        <w:rPr>
          <w:rFonts w:ascii="Arial" w:hAnsi="Arial" w:cs="Arial"/>
        </w:rPr>
        <w:br/>
        <w:t>- bude mít u správce daně registrován bankovní účet používaný pro ekonomickou činnost,</w:t>
      </w:r>
      <w:r w:rsidR="00F10352" w:rsidRPr="00F10352">
        <w:rPr>
          <w:rFonts w:ascii="Arial" w:hAnsi="Arial" w:cs="Arial"/>
        </w:rPr>
        <w:br/>
        <w:t>- souhlasí s tím, že pokud ke dni uskutečnění zdanitelného plnění</w:t>
      </w:r>
      <w:r>
        <w:rPr>
          <w:rFonts w:ascii="Arial" w:hAnsi="Arial" w:cs="Arial"/>
        </w:rPr>
        <w:t xml:space="preserve"> nebo k okamžiku poskytnutí úplaty na plnění</w:t>
      </w:r>
      <w:r w:rsidR="00F10352" w:rsidRPr="00F10352">
        <w:rPr>
          <w:rFonts w:ascii="Arial" w:hAnsi="Arial" w:cs="Arial"/>
        </w:rPr>
        <w:t xml:space="preserve"> bude o zhotoviteli zveřejněna správcem daně skutečnost, že zhotovitel je nespolehlivým plátcem, uhradí Zlínský kraj daň z přidané hodnoty z přijatého zdanitelného plnění příslušnému správci</w:t>
      </w:r>
      <w:r w:rsidR="00F10352" w:rsidRPr="00003336">
        <w:rPr>
          <w:rFonts w:ascii="Arial" w:hAnsi="Arial" w:cs="Arial"/>
          <w:sz w:val="20"/>
        </w:rPr>
        <w:t xml:space="preserve"> daně,</w:t>
      </w:r>
      <w:r w:rsidR="00F10352" w:rsidRPr="00003336">
        <w:rPr>
          <w:rFonts w:ascii="Arial" w:hAnsi="Arial" w:cs="Arial"/>
          <w:sz w:val="20"/>
        </w:rPr>
        <w:br/>
      </w:r>
      <w:r w:rsidR="00F10352" w:rsidRPr="00F10352">
        <w:rPr>
          <w:rFonts w:ascii="Arial" w:hAnsi="Arial" w:cs="Arial"/>
        </w:rPr>
        <w:t xml:space="preserve">- souhlasí s tím, že pokud ke dni uskutečnění zdanitelného plnění </w:t>
      </w:r>
      <w:r>
        <w:rPr>
          <w:rFonts w:ascii="Arial" w:hAnsi="Arial" w:cs="Arial"/>
        </w:rPr>
        <w:t xml:space="preserve">nebo k okamžiku poskytnutí úplaty na plnění </w:t>
      </w:r>
      <w:r w:rsidR="00F10352" w:rsidRPr="00F10352">
        <w:rPr>
          <w:rFonts w:ascii="Arial" w:hAnsi="Arial" w:cs="Arial"/>
        </w:rPr>
        <w:t>bude zjištěna nesrovnalost v registraci bankovního účtu zhotovitele určeného pro ekonomickou činnost správcem daně, uhradí Zlínský kraj daň z přidané hodnoty z přijatého zdanitelného plnění příslušnému správci daně.“</w:t>
      </w:r>
    </w:p>
    <w:p w:rsidR="000C2306" w:rsidRDefault="000C2306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</w:p>
    <w:p w:rsidR="000C2306" w:rsidRDefault="000C2306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Článek IV.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Podmínky a způsob provedení díla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numPr>
          <w:ilvl w:val="0"/>
          <w:numId w:val="4"/>
        </w:numPr>
        <w:tabs>
          <w:tab w:val="left" w:pos="0"/>
          <w:tab w:val="left" w:pos="426"/>
          <w:tab w:val="left" w:pos="9072"/>
        </w:tabs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Zhotovitel se zavazuje provést dílo </w:t>
      </w:r>
      <w:r w:rsidR="00D36F82">
        <w:rPr>
          <w:rFonts w:ascii="Arial" w:hAnsi="Arial" w:cs="Arial"/>
        </w:rPr>
        <w:t>řádně</w:t>
      </w:r>
      <w:r w:rsidR="00D36F82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a včas a odběratel se zavazuje mu k tomu poskytnout potřebnou součinnost. </w:t>
      </w: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Zkladntext"/>
        <w:tabs>
          <w:tab w:val="left" w:pos="284"/>
        </w:tabs>
        <w:rPr>
          <w:rFonts w:ascii="Arial" w:hAnsi="Arial" w:cs="Arial"/>
        </w:rPr>
      </w:pPr>
      <w:r w:rsidRPr="0005129B">
        <w:rPr>
          <w:rStyle w:val="ZkladntextTun"/>
          <w:rFonts w:ascii="Arial" w:hAnsi="Arial" w:cs="Arial"/>
          <w:b w:val="0"/>
          <w:sz w:val="24"/>
          <w:szCs w:val="24"/>
        </w:rPr>
        <w:t>2.</w:t>
      </w:r>
      <w:r w:rsidRPr="0005129B">
        <w:rPr>
          <w:rFonts w:ascii="Arial" w:hAnsi="Arial" w:cs="Arial"/>
        </w:rPr>
        <w:t xml:space="preserve"> </w:t>
      </w:r>
      <w:r w:rsidR="00555E3B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Objednatel předá zhotoviteli prostory za účelem  provedení díla (dále </w:t>
      </w:r>
      <w:r w:rsidR="007C5821" w:rsidRPr="0005129B">
        <w:rPr>
          <w:rFonts w:ascii="Arial" w:hAnsi="Arial" w:cs="Arial"/>
        </w:rPr>
        <w:t>jen</w:t>
      </w:r>
      <w:r w:rsidRPr="0005129B">
        <w:rPr>
          <w:rFonts w:ascii="Arial" w:hAnsi="Arial" w:cs="Arial"/>
        </w:rPr>
        <w:t xml:space="preserve"> </w:t>
      </w:r>
      <w:r w:rsidR="007C5821" w:rsidRPr="0005129B">
        <w:rPr>
          <w:rFonts w:ascii="Arial" w:hAnsi="Arial" w:cs="Arial"/>
        </w:rPr>
        <w:t>prostory KÚ</w:t>
      </w:r>
      <w:r w:rsidRPr="0005129B">
        <w:rPr>
          <w:rFonts w:ascii="Arial" w:hAnsi="Arial" w:cs="Arial"/>
        </w:rPr>
        <w:t xml:space="preserve">) nejpozději </w:t>
      </w:r>
      <w:r w:rsidR="007C5821" w:rsidRPr="0005129B">
        <w:rPr>
          <w:rFonts w:ascii="Arial" w:hAnsi="Arial" w:cs="Arial"/>
        </w:rPr>
        <w:t>den</w:t>
      </w:r>
      <w:r w:rsidRPr="0005129B">
        <w:rPr>
          <w:rFonts w:ascii="Arial" w:hAnsi="Arial" w:cs="Arial"/>
        </w:rPr>
        <w:t xml:space="preserve"> před zahájením prací</w:t>
      </w:r>
      <w:r w:rsidR="00E51849">
        <w:rPr>
          <w:rFonts w:ascii="Arial" w:hAnsi="Arial" w:cs="Arial"/>
        </w:rPr>
        <w:t>.</w:t>
      </w:r>
      <w:r w:rsidR="004558C1" w:rsidDel="004558C1">
        <w:rPr>
          <w:rFonts w:ascii="Arial" w:hAnsi="Arial" w:cs="Arial"/>
        </w:rPr>
        <w:t xml:space="preserve"> </w:t>
      </w:r>
      <w:r w:rsidR="00E51849">
        <w:rPr>
          <w:rFonts w:ascii="Arial" w:hAnsi="Arial" w:cs="Arial"/>
        </w:rPr>
        <w:t>Postup prací bude upřesňován na jednotlivých kontrolních dnech.</w:t>
      </w:r>
      <w:r w:rsidRPr="0005129B">
        <w:rPr>
          <w:rFonts w:ascii="Arial" w:hAnsi="Arial" w:cs="Arial"/>
        </w:rPr>
        <w:t xml:space="preserve"> </w:t>
      </w:r>
      <w:r w:rsidR="007C5821" w:rsidRPr="0005129B">
        <w:rPr>
          <w:rFonts w:ascii="Arial" w:hAnsi="Arial" w:cs="Arial"/>
        </w:rPr>
        <w:t xml:space="preserve"> </w:t>
      </w: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3. </w:t>
      </w:r>
      <w:r w:rsidR="00555E3B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Objednatel umožní zhotoviteli v prostorách </w:t>
      </w:r>
      <w:r w:rsidR="007C5821" w:rsidRPr="0005129B">
        <w:rPr>
          <w:rFonts w:ascii="Arial" w:hAnsi="Arial" w:cs="Arial"/>
        </w:rPr>
        <w:t>KÚ</w:t>
      </w:r>
      <w:r w:rsidRPr="0005129B">
        <w:rPr>
          <w:rFonts w:ascii="Arial" w:hAnsi="Arial" w:cs="Arial"/>
        </w:rPr>
        <w:t xml:space="preserve"> užívat plochy nezbytně nutné pro vlastní realizaci díla a zabezpečí zhotoviteli po celou dobu provádění díla připojení k rozvodu elektrické energie, připojení na zdroj pitné vody a umožní mu použití sociálního zařízení. </w:t>
      </w:r>
      <w:r w:rsidRPr="0005129B">
        <w:rPr>
          <w:rFonts w:ascii="Arial" w:hAnsi="Arial" w:cs="Arial"/>
        </w:rPr>
        <w:tab/>
      </w:r>
      <w:r w:rsidRPr="0005129B">
        <w:rPr>
          <w:rFonts w:ascii="Arial" w:hAnsi="Arial" w:cs="Arial"/>
        </w:rPr>
        <w:tab/>
      </w:r>
    </w:p>
    <w:p w:rsidR="00421D6D" w:rsidRPr="0005129B" w:rsidRDefault="00F33AA0" w:rsidP="00F33AA0">
      <w:pPr>
        <w:pStyle w:val="Zkladntext"/>
        <w:rPr>
          <w:rFonts w:ascii="Arial" w:hAnsi="Arial" w:cs="Arial"/>
          <w:bCs/>
          <w:shd w:val="clear" w:color="auto" w:fill="FFFFFF"/>
        </w:rPr>
      </w:pPr>
      <w:r w:rsidRPr="0005129B">
        <w:rPr>
          <w:rStyle w:val="ZkladntextTun"/>
          <w:rFonts w:ascii="Arial" w:hAnsi="Arial" w:cs="Arial"/>
          <w:b w:val="0"/>
          <w:sz w:val="24"/>
          <w:szCs w:val="24"/>
        </w:rPr>
        <w:tab/>
      </w:r>
    </w:p>
    <w:p w:rsidR="00F33AA0" w:rsidRPr="0005129B" w:rsidRDefault="00555E3B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>4</w:t>
      </w:r>
      <w:r w:rsidR="00F33AA0" w:rsidRPr="0005129B">
        <w:rPr>
          <w:rFonts w:ascii="Arial" w:hAnsi="Arial" w:cs="Arial"/>
        </w:rPr>
        <w:t>. Veškeré odborné práce musí vykonávat pracovníci zhotovitele mající příslušnou kvalifikaci. Doklad o kvalifikaci pracovníků je zhotovitel povinen na požádání objednatele doložit.</w:t>
      </w:r>
    </w:p>
    <w:p w:rsidR="00F33AA0" w:rsidRPr="0005129B" w:rsidRDefault="00F33AA0" w:rsidP="00F33AA0">
      <w:pPr>
        <w:pStyle w:val="Zkladntext"/>
        <w:rPr>
          <w:rStyle w:val="ZkladntextTun"/>
          <w:rFonts w:ascii="Arial" w:hAnsi="Arial" w:cs="Arial"/>
          <w:b w:val="0"/>
          <w:sz w:val="24"/>
          <w:szCs w:val="24"/>
        </w:rPr>
      </w:pPr>
    </w:p>
    <w:p w:rsidR="00F33AA0" w:rsidRPr="0005129B" w:rsidRDefault="00555E3B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Style w:val="ZkladntextTun"/>
          <w:rFonts w:ascii="Arial" w:hAnsi="Arial" w:cs="Arial"/>
          <w:b w:val="0"/>
          <w:sz w:val="24"/>
          <w:szCs w:val="24"/>
        </w:rPr>
        <w:t>5</w:t>
      </w:r>
      <w:r w:rsidR="00F33AA0" w:rsidRPr="0005129B">
        <w:rPr>
          <w:rStyle w:val="ZkladntextTun"/>
          <w:rFonts w:ascii="Arial" w:hAnsi="Arial" w:cs="Arial"/>
          <w:b w:val="0"/>
          <w:sz w:val="24"/>
          <w:szCs w:val="24"/>
        </w:rPr>
        <w:t>.</w:t>
      </w:r>
      <w:r w:rsidRPr="0005129B">
        <w:rPr>
          <w:rStyle w:val="ZkladntextTun"/>
          <w:rFonts w:ascii="Arial" w:hAnsi="Arial" w:cs="Arial"/>
          <w:b w:val="0"/>
          <w:sz w:val="24"/>
          <w:szCs w:val="24"/>
        </w:rPr>
        <w:t xml:space="preserve"> </w:t>
      </w:r>
      <w:r w:rsidR="00F33AA0" w:rsidRPr="0005129B">
        <w:rPr>
          <w:rFonts w:ascii="Arial" w:hAnsi="Arial" w:cs="Arial"/>
        </w:rPr>
        <w:t xml:space="preserve"> Zhotovitel je při zhotovení díla povinen postupovat s odbornou péčí, podle svých nejlepších znalostí a schopností v souladu s podklady pro provedení díla, technickými normami, ČSN, zákony a vyhláškami platnými v době realizace díla a na požádání objednatele tyto skutečnosti doložit. Zhotovit</w:t>
      </w:r>
      <w:r w:rsidR="00421D6D" w:rsidRPr="0005129B">
        <w:rPr>
          <w:rFonts w:ascii="Arial" w:hAnsi="Arial" w:cs="Arial"/>
        </w:rPr>
        <w:t>el se zavazuje při své činnosti</w:t>
      </w:r>
      <w:r w:rsidR="00F33AA0" w:rsidRPr="0005129B">
        <w:rPr>
          <w:rFonts w:ascii="Arial" w:hAnsi="Arial" w:cs="Arial"/>
        </w:rPr>
        <w:t xml:space="preserve"> chránit zájmy a dobré jméno objednatele a postupovat v souladu s jeho pokyny. V případě nevhodných pokynů objednatele je zhotovitel povinen na nevhodnost těchto pokynů objednatele písemně upozornit, v opačném případě nese zhotovitel zejména odpovědnost za vady a za škodu, </w:t>
      </w:r>
      <w:r w:rsidR="00D36F82" w:rsidRPr="0005129B">
        <w:rPr>
          <w:rFonts w:ascii="Arial" w:hAnsi="Arial" w:cs="Arial"/>
        </w:rPr>
        <w:t>kter</w:t>
      </w:r>
      <w:r w:rsidR="00D36F82">
        <w:rPr>
          <w:rFonts w:ascii="Arial" w:hAnsi="Arial" w:cs="Arial"/>
        </w:rPr>
        <w:t>á</w:t>
      </w:r>
      <w:r w:rsidR="00D36F82" w:rsidRPr="0005129B">
        <w:rPr>
          <w:rFonts w:ascii="Arial" w:hAnsi="Arial" w:cs="Arial"/>
        </w:rPr>
        <w:t xml:space="preserve"> </w:t>
      </w:r>
      <w:r w:rsidR="00F33AA0" w:rsidRPr="0005129B">
        <w:rPr>
          <w:rFonts w:ascii="Arial" w:hAnsi="Arial" w:cs="Arial"/>
        </w:rPr>
        <w:t xml:space="preserve">by </w:t>
      </w:r>
      <w:r w:rsidR="00D36F82" w:rsidRPr="0005129B">
        <w:rPr>
          <w:rFonts w:ascii="Arial" w:hAnsi="Arial" w:cs="Arial"/>
        </w:rPr>
        <w:t>vznikl</w:t>
      </w:r>
      <w:r w:rsidR="00D36F82">
        <w:rPr>
          <w:rFonts w:ascii="Arial" w:hAnsi="Arial" w:cs="Arial"/>
        </w:rPr>
        <w:t>a</w:t>
      </w:r>
      <w:r w:rsidR="00D36F82" w:rsidRPr="0005129B">
        <w:rPr>
          <w:rFonts w:ascii="Arial" w:hAnsi="Arial" w:cs="Arial"/>
        </w:rPr>
        <w:t xml:space="preserve"> </w:t>
      </w:r>
      <w:r w:rsidR="00F33AA0" w:rsidRPr="0005129B">
        <w:rPr>
          <w:rFonts w:ascii="Arial" w:hAnsi="Arial" w:cs="Arial"/>
        </w:rPr>
        <w:t xml:space="preserve">v důsledku nevhodných pokynů objednatele. </w:t>
      </w:r>
    </w:p>
    <w:p w:rsidR="00F33AA0" w:rsidRPr="0005129B" w:rsidRDefault="00F33AA0" w:rsidP="00F33AA0">
      <w:pPr>
        <w:jc w:val="both"/>
        <w:rPr>
          <w:rFonts w:ascii="Arial" w:hAnsi="Arial" w:cs="Arial"/>
          <w:b/>
          <w:bCs/>
        </w:rPr>
      </w:pPr>
    </w:p>
    <w:p w:rsidR="00F33AA0" w:rsidRPr="0005129B" w:rsidRDefault="003E41E2" w:rsidP="00F33AA0">
      <w:pPr>
        <w:pStyle w:val="Seznam2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33AA0" w:rsidRPr="0005129B">
        <w:rPr>
          <w:rFonts w:ascii="Arial" w:hAnsi="Arial" w:cs="Arial"/>
        </w:rPr>
        <w:t xml:space="preserve">. Zhotovitel se zavazuje provádět dílo tak, aby nebyl narušen chod </w:t>
      </w:r>
      <w:r w:rsidR="0071447A">
        <w:rPr>
          <w:rFonts w:ascii="Arial" w:hAnsi="Arial" w:cs="Arial"/>
        </w:rPr>
        <w:t>K</w:t>
      </w:r>
      <w:r w:rsidR="007C5821" w:rsidRPr="0005129B">
        <w:rPr>
          <w:rFonts w:ascii="Arial" w:hAnsi="Arial" w:cs="Arial"/>
        </w:rPr>
        <w:t>rajského</w:t>
      </w:r>
      <w:r w:rsidR="00F33AA0" w:rsidRPr="0005129B">
        <w:rPr>
          <w:rFonts w:ascii="Arial" w:hAnsi="Arial" w:cs="Arial"/>
        </w:rPr>
        <w:t xml:space="preserve"> úřadu</w:t>
      </w:r>
      <w:r w:rsidR="002E2352">
        <w:rPr>
          <w:rFonts w:ascii="Arial" w:hAnsi="Arial" w:cs="Arial"/>
        </w:rPr>
        <w:t xml:space="preserve"> a Finančního úřadu</w:t>
      </w:r>
      <w:r w:rsidR="00DD4396">
        <w:rPr>
          <w:rFonts w:ascii="Arial" w:hAnsi="Arial" w:cs="Arial"/>
        </w:rPr>
        <w:t>,</w:t>
      </w:r>
      <w:r w:rsidR="00F33AA0" w:rsidRPr="0005129B">
        <w:rPr>
          <w:rFonts w:ascii="Arial" w:hAnsi="Arial" w:cs="Arial"/>
        </w:rPr>
        <w:t xml:space="preserve"> a zavazuje se postupovat v souladu s pokyny objednatele. </w:t>
      </w:r>
    </w:p>
    <w:p w:rsidR="00F33AA0" w:rsidRPr="0005129B" w:rsidRDefault="00F33AA0" w:rsidP="00F33AA0">
      <w:pPr>
        <w:jc w:val="both"/>
        <w:rPr>
          <w:rFonts w:ascii="Arial" w:hAnsi="Arial" w:cs="Arial"/>
          <w:b/>
          <w:bCs/>
        </w:rPr>
      </w:pPr>
    </w:p>
    <w:p w:rsidR="00F33AA0" w:rsidRPr="0005129B" w:rsidRDefault="003E41E2" w:rsidP="00F33AA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33AA0" w:rsidRPr="0005129B">
        <w:rPr>
          <w:rFonts w:ascii="Arial" w:hAnsi="Arial" w:cs="Arial"/>
        </w:rPr>
        <w:t xml:space="preserve">. Kontrola provádění díla bude vykonávána průběžně dle potřeb objednatele. Zhotovitel se zavazuje předložit objednateli na jeho žádost písemné informace o průběhu a obsahu prací, a to nejpozději do </w:t>
      </w:r>
      <w:r w:rsidR="007C5821" w:rsidRPr="0005129B">
        <w:rPr>
          <w:rFonts w:ascii="Arial" w:hAnsi="Arial" w:cs="Arial"/>
        </w:rPr>
        <w:t>druhého dne od</w:t>
      </w:r>
      <w:r w:rsidR="00F33AA0" w:rsidRPr="0005129B">
        <w:rPr>
          <w:rFonts w:ascii="Arial" w:hAnsi="Arial" w:cs="Arial"/>
        </w:rPr>
        <w:t xml:space="preserve"> doručení žádosti objednatele. Žádost objednatele může být učiněna a doručena i prostřednictvím e-mailu. </w:t>
      </w:r>
    </w:p>
    <w:p w:rsidR="00F33AA0" w:rsidRPr="0005129B" w:rsidRDefault="00F33AA0" w:rsidP="00F33AA0">
      <w:pPr>
        <w:rPr>
          <w:rFonts w:ascii="Arial" w:hAnsi="Arial" w:cs="Arial"/>
          <w:b/>
          <w:bCs/>
        </w:rPr>
      </w:pPr>
    </w:p>
    <w:p w:rsidR="00F33AA0" w:rsidRPr="0005129B" w:rsidRDefault="003E41E2" w:rsidP="00F33AA0">
      <w:pPr>
        <w:pStyle w:val="Zkladntext4"/>
        <w:shd w:val="clear" w:color="auto" w:fill="auto"/>
        <w:spacing w:before="0"/>
        <w:ind w:left="20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33AA0" w:rsidRPr="0005129B">
        <w:rPr>
          <w:rFonts w:ascii="Arial" w:hAnsi="Arial" w:cs="Arial"/>
          <w:sz w:val="24"/>
          <w:szCs w:val="24"/>
        </w:rPr>
        <w:t>. Zhotovitel se zavazuje nejméně dva pracovní dny předem písemně vyzvat objednatele ke kontrole vykonaných prací a použitých materiálů a výrobků, jejichž kvalitu nelze kontrolovat po dokončení díla. Pokud zhotovitel tento závazek nesplní, je povinen umožnit objednateli dodatečnou kontrolu a sám uhradí všechny náklady s tím spojené.</w:t>
      </w:r>
    </w:p>
    <w:p w:rsidR="00F33AA0" w:rsidRPr="0005129B" w:rsidRDefault="00F33AA0" w:rsidP="00F33AA0">
      <w:pPr>
        <w:pStyle w:val="Zkladntext4"/>
        <w:shd w:val="clear" w:color="auto" w:fill="auto"/>
        <w:spacing w:before="0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F33AA0" w:rsidRPr="0005129B" w:rsidRDefault="003E41E2" w:rsidP="00F33AA0">
      <w:pPr>
        <w:pStyle w:val="Zkladntext4"/>
        <w:shd w:val="clear" w:color="auto" w:fill="auto"/>
        <w:spacing w:before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33AA0" w:rsidRPr="0005129B">
        <w:rPr>
          <w:rFonts w:ascii="Arial" w:hAnsi="Arial" w:cs="Arial"/>
          <w:sz w:val="24"/>
          <w:szCs w:val="24"/>
        </w:rPr>
        <w:t xml:space="preserve">. Jakékoliv změny materiálu či jiné změny podmínek </w:t>
      </w:r>
      <w:r w:rsidR="002E2352">
        <w:rPr>
          <w:rFonts w:ascii="Arial" w:hAnsi="Arial" w:cs="Arial"/>
          <w:sz w:val="24"/>
          <w:szCs w:val="24"/>
        </w:rPr>
        <w:t xml:space="preserve">a způsobu provedení </w:t>
      </w:r>
      <w:r w:rsidR="00F33AA0" w:rsidRPr="0005129B">
        <w:rPr>
          <w:rFonts w:ascii="Arial" w:hAnsi="Arial" w:cs="Arial"/>
          <w:sz w:val="24"/>
          <w:szCs w:val="24"/>
        </w:rPr>
        <w:t xml:space="preserve">díla musí být předem konzultovány a dohodnuty s objednatelem </w:t>
      </w:r>
      <w:r w:rsidR="002E2352" w:rsidRPr="0005129B">
        <w:rPr>
          <w:rFonts w:ascii="Arial" w:hAnsi="Arial" w:cs="Arial"/>
          <w:sz w:val="24"/>
          <w:szCs w:val="24"/>
        </w:rPr>
        <w:t>písemn</w:t>
      </w:r>
      <w:r w:rsidR="002E2352">
        <w:rPr>
          <w:rFonts w:ascii="Arial" w:hAnsi="Arial" w:cs="Arial"/>
          <w:sz w:val="24"/>
          <w:szCs w:val="24"/>
        </w:rPr>
        <w:t>ým dodatkem</w:t>
      </w:r>
      <w:r w:rsidR="00555E3B" w:rsidRPr="0005129B">
        <w:rPr>
          <w:rFonts w:ascii="Arial" w:hAnsi="Arial" w:cs="Arial"/>
          <w:sz w:val="24"/>
          <w:szCs w:val="24"/>
        </w:rPr>
        <w:t>.</w:t>
      </w:r>
      <w:r w:rsidR="00F33AA0" w:rsidRPr="0005129B">
        <w:rPr>
          <w:rFonts w:ascii="Arial" w:hAnsi="Arial" w:cs="Arial"/>
          <w:sz w:val="24"/>
          <w:szCs w:val="24"/>
        </w:rPr>
        <w:t xml:space="preserve"> Pokud dojde ke změnám, které nebudou písemně odsouhlaseny objednatelem, může objednatel požadovat provedení prací dle rozpočtu nebo dohody nebo ponechat </w:t>
      </w:r>
      <w:r w:rsidR="002E2352">
        <w:rPr>
          <w:rFonts w:ascii="Arial" w:hAnsi="Arial" w:cs="Arial"/>
          <w:sz w:val="24"/>
          <w:szCs w:val="24"/>
        </w:rPr>
        <w:t>změnu</w:t>
      </w:r>
      <w:r w:rsidR="002E2352" w:rsidRPr="0005129B">
        <w:rPr>
          <w:rFonts w:ascii="Arial" w:hAnsi="Arial" w:cs="Arial"/>
          <w:sz w:val="24"/>
          <w:szCs w:val="24"/>
        </w:rPr>
        <w:t xml:space="preserve"> </w:t>
      </w:r>
      <w:r w:rsidR="00F33AA0" w:rsidRPr="0005129B">
        <w:rPr>
          <w:rFonts w:ascii="Arial" w:hAnsi="Arial" w:cs="Arial"/>
          <w:sz w:val="24"/>
          <w:szCs w:val="24"/>
        </w:rPr>
        <w:t>bez nároku zhotovitele na vyrovnání ceny.</w:t>
      </w:r>
      <w:r w:rsidR="00B90A62">
        <w:rPr>
          <w:rFonts w:ascii="Arial" w:hAnsi="Arial" w:cs="Arial"/>
          <w:sz w:val="24"/>
          <w:szCs w:val="24"/>
        </w:rPr>
        <w:t xml:space="preserve"> Konkrétně v</w:t>
      </w:r>
      <w:r w:rsidR="00B90A62" w:rsidRPr="00B90A62">
        <w:rPr>
          <w:rFonts w:ascii="Arial" w:hAnsi="Arial" w:cs="Arial"/>
          <w:sz w:val="24"/>
          <w:szCs w:val="24"/>
        </w:rPr>
        <w:t xml:space="preserve"> případě že dojde ke zjištění závažnějšího stavu oken, než řeší </w:t>
      </w:r>
      <w:r w:rsidR="00B90A62">
        <w:rPr>
          <w:rFonts w:ascii="Arial" w:hAnsi="Arial" w:cs="Arial"/>
          <w:sz w:val="24"/>
          <w:szCs w:val="24"/>
        </w:rPr>
        <w:t>projektová dokumentace, tj.</w:t>
      </w:r>
      <w:r w:rsidR="00B90A62" w:rsidRPr="00B90A62">
        <w:rPr>
          <w:rFonts w:ascii="Arial" w:hAnsi="Arial" w:cs="Arial"/>
          <w:sz w:val="24"/>
          <w:szCs w:val="24"/>
        </w:rPr>
        <w:t xml:space="preserve"> výměna určených okenních tabulí v počtu 44 kusů, kytování a provedení nového nátěru z</w:t>
      </w:r>
      <w:r w:rsidR="00B90A62">
        <w:rPr>
          <w:rFonts w:ascii="Arial" w:hAnsi="Arial" w:cs="Arial"/>
          <w:sz w:val="24"/>
          <w:szCs w:val="24"/>
        </w:rPr>
        <w:t> </w:t>
      </w:r>
      <w:r w:rsidR="00B90A62" w:rsidRPr="00B90A62">
        <w:rPr>
          <w:rFonts w:ascii="Arial" w:hAnsi="Arial" w:cs="Arial"/>
          <w:sz w:val="24"/>
          <w:szCs w:val="24"/>
        </w:rPr>
        <w:t>exteriéru</w:t>
      </w:r>
      <w:r w:rsidR="00B90A62">
        <w:rPr>
          <w:rFonts w:ascii="Arial" w:hAnsi="Arial" w:cs="Arial"/>
          <w:sz w:val="24"/>
          <w:szCs w:val="24"/>
        </w:rPr>
        <w:t>,</w:t>
      </w:r>
      <w:r w:rsidR="00B90A62" w:rsidRPr="00B90A62">
        <w:rPr>
          <w:rFonts w:ascii="Arial" w:hAnsi="Arial" w:cs="Arial"/>
          <w:sz w:val="24"/>
          <w:szCs w:val="24"/>
        </w:rPr>
        <w:t xml:space="preserve"> </w:t>
      </w:r>
      <w:r w:rsidR="00B90A62">
        <w:rPr>
          <w:rFonts w:ascii="Arial" w:hAnsi="Arial" w:cs="Arial"/>
          <w:sz w:val="24"/>
          <w:szCs w:val="24"/>
        </w:rPr>
        <w:t>o</w:t>
      </w:r>
      <w:r w:rsidR="00B90A62" w:rsidRPr="00B90A62">
        <w:rPr>
          <w:rFonts w:ascii="Arial" w:hAnsi="Arial" w:cs="Arial"/>
          <w:sz w:val="24"/>
          <w:szCs w:val="24"/>
        </w:rPr>
        <w:t>znač</w:t>
      </w:r>
      <w:r w:rsidR="00B90A62">
        <w:rPr>
          <w:rFonts w:ascii="Arial" w:hAnsi="Arial" w:cs="Arial"/>
          <w:sz w:val="24"/>
          <w:szCs w:val="24"/>
        </w:rPr>
        <w:t>í zhotovitel</w:t>
      </w:r>
      <w:r w:rsidR="00B90A62" w:rsidRPr="00B90A62">
        <w:rPr>
          <w:rFonts w:ascii="Arial" w:hAnsi="Arial" w:cs="Arial"/>
          <w:sz w:val="24"/>
          <w:szCs w:val="24"/>
        </w:rPr>
        <w:t xml:space="preserve"> dan</w:t>
      </w:r>
      <w:r w:rsidR="00B90A62">
        <w:rPr>
          <w:rFonts w:ascii="Arial" w:hAnsi="Arial" w:cs="Arial"/>
          <w:sz w:val="24"/>
          <w:szCs w:val="24"/>
        </w:rPr>
        <w:t>á</w:t>
      </w:r>
      <w:r w:rsidR="00B90A62" w:rsidRPr="00B90A62">
        <w:rPr>
          <w:rFonts w:ascii="Arial" w:hAnsi="Arial" w:cs="Arial"/>
          <w:sz w:val="24"/>
          <w:szCs w:val="24"/>
        </w:rPr>
        <w:t xml:space="preserve"> okna, sep</w:t>
      </w:r>
      <w:r w:rsidR="00B90A62">
        <w:rPr>
          <w:rFonts w:ascii="Arial" w:hAnsi="Arial" w:cs="Arial"/>
          <w:sz w:val="24"/>
          <w:szCs w:val="24"/>
        </w:rPr>
        <w:t>íše</w:t>
      </w:r>
      <w:r w:rsidR="00B90A62" w:rsidRPr="00B90A62">
        <w:rPr>
          <w:rFonts w:ascii="Arial" w:hAnsi="Arial" w:cs="Arial"/>
          <w:sz w:val="24"/>
          <w:szCs w:val="24"/>
        </w:rPr>
        <w:t xml:space="preserve"> základní údaj</w:t>
      </w:r>
      <w:r w:rsidR="00B90A62">
        <w:rPr>
          <w:rFonts w:ascii="Arial" w:hAnsi="Arial" w:cs="Arial"/>
          <w:sz w:val="24"/>
          <w:szCs w:val="24"/>
        </w:rPr>
        <w:t>e</w:t>
      </w:r>
      <w:r w:rsidR="00B90A62" w:rsidRPr="00B90A62">
        <w:rPr>
          <w:rFonts w:ascii="Arial" w:hAnsi="Arial" w:cs="Arial"/>
          <w:sz w:val="24"/>
          <w:szCs w:val="24"/>
        </w:rPr>
        <w:t xml:space="preserve"> o zjištěné závadě, přesné poloze okna, </w:t>
      </w:r>
      <w:r w:rsidR="00B90A62">
        <w:rPr>
          <w:rFonts w:ascii="Arial" w:hAnsi="Arial" w:cs="Arial"/>
          <w:sz w:val="24"/>
          <w:szCs w:val="24"/>
        </w:rPr>
        <w:t xml:space="preserve">pořídí </w:t>
      </w:r>
      <w:r w:rsidR="00B90A62" w:rsidRPr="00B90A62">
        <w:rPr>
          <w:rFonts w:ascii="Arial" w:hAnsi="Arial" w:cs="Arial"/>
          <w:sz w:val="24"/>
          <w:szCs w:val="24"/>
        </w:rPr>
        <w:t>fotodokumentaci s přiloženým referenčním předmětem (např. metrem)</w:t>
      </w:r>
      <w:r w:rsidR="00B90A62">
        <w:rPr>
          <w:rFonts w:ascii="Arial" w:hAnsi="Arial" w:cs="Arial"/>
          <w:sz w:val="24"/>
          <w:szCs w:val="24"/>
        </w:rPr>
        <w:t xml:space="preserve"> tak,</w:t>
      </w:r>
      <w:r w:rsidR="00B90A62" w:rsidRPr="00B90A62">
        <w:rPr>
          <w:rFonts w:ascii="Arial" w:hAnsi="Arial" w:cs="Arial"/>
          <w:sz w:val="24"/>
          <w:szCs w:val="24"/>
        </w:rPr>
        <w:t xml:space="preserve"> aby byly rozměry jasné i z fotografie. Tyto podklady budou </w:t>
      </w:r>
      <w:r w:rsidR="00B90A62">
        <w:rPr>
          <w:rFonts w:ascii="Arial" w:hAnsi="Arial" w:cs="Arial"/>
          <w:sz w:val="24"/>
          <w:szCs w:val="24"/>
        </w:rPr>
        <w:lastRenderedPageBreak/>
        <w:t>zhotovitelem</w:t>
      </w:r>
      <w:r w:rsidR="00B90A62" w:rsidRPr="00B90A62">
        <w:rPr>
          <w:rFonts w:ascii="Arial" w:hAnsi="Arial" w:cs="Arial"/>
          <w:sz w:val="24"/>
          <w:szCs w:val="24"/>
        </w:rPr>
        <w:t xml:space="preserve"> dodány </w:t>
      </w:r>
      <w:r w:rsidR="00B90A62">
        <w:rPr>
          <w:rFonts w:ascii="Arial" w:hAnsi="Arial" w:cs="Arial"/>
          <w:sz w:val="24"/>
          <w:szCs w:val="24"/>
        </w:rPr>
        <w:t>objednateli</w:t>
      </w:r>
      <w:r w:rsidR="00B90A62" w:rsidRPr="00B90A62">
        <w:rPr>
          <w:rFonts w:ascii="Arial" w:hAnsi="Arial" w:cs="Arial"/>
          <w:sz w:val="24"/>
          <w:szCs w:val="24"/>
        </w:rPr>
        <w:t>. Bude přizván autorský dozor a bude provedeno hodnocení tohoto stavu na místě.</w:t>
      </w:r>
    </w:p>
    <w:p w:rsidR="00F33AA0" w:rsidRPr="0005129B" w:rsidRDefault="00F33AA0" w:rsidP="00F33AA0">
      <w:pPr>
        <w:pStyle w:val="Zkladntext4"/>
        <w:shd w:val="clear" w:color="auto" w:fill="auto"/>
        <w:spacing w:before="0"/>
        <w:ind w:firstLine="0"/>
        <w:jc w:val="both"/>
        <w:rPr>
          <w:rFonts w:ascii="Arial" w:hAnsi="Arial" w:cs="Arial"/>
          <w:sz w:val="24"/>
          <w:szCs w:val="24"/>
        </w:rPr>
      </w:pPr>
    </w:p>
    <w:p w:rsidR="00F33AA0" w:rsidRPr="0005129B" w:rsidRDefault="003E41E2" w:rsidP="00F33AA0">
      <w:pPr>
        <w:pStyle w:val="Zkladntext4"/>
        <w:shd w:val="clear" w:color="auto" w:fill="auto"/>
        <w:spacing w:before="0" w:after="236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194E1D">
        <w:rPr>
          <w:rFonts w:ascii="Arial" w:hAnsi="Arial" w:cs="Arial"/>
          <w:color w:val="000000"/>
          <w:spacing w:val="-6"/>
          <w:sz w:val="24"/>
          <w:szCs w:val="24"/>
        </w:rPr>
        <w:t>10</w:t>
      </w:r>
      <w:r w:rsidR="00F33AA0" w:rsidRPr="00194E1D">
        <w:rPr>
          <w:rFonts w:ascii="Arial" w:hAnsi="Arial" w:cs="Arial"/>
          <w:color w:val="000000"/>
          <w:spacing w:val="-6"/>
          <w:sz w:val="24"/>
          <w:szCs w:val="24"/>
        </w:rPr>
        <w:t>. Zhotovitel odpovídá za čistotu a pořádek při provádění díla a prov</w:t>
      </w:r>
      <w:r w:rsidR="00555E3B" w:rsidRPr="00194E1D">
        <w:rPr>
          <w:rFonts w:ascii="Arial" w:hAnsi="Arial" w:cs="Arial"/>
          <w:color w:val="000000"/>
          <w:spacing w:val="-6"/>
          <w:sz w:val="24"/>
          <w:szCs w:val="24"/>
        </w:rPr>
        <w:t>ede</w:t>
      </w:r>
      <w:r w:rsidR="00F33AA0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úklid </w:t>
      </w:r>
      <w:r w:rsidR="00555E3B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po </w:t>
      </w:r>
      <w:r w:rsidR="00194E1D" w:rsidRPr="00194E1D">
        <w:rPr>
          <w:rFonts w:ascii="Arial" w:hAnsi="Arial" w:cs="Arial"/>
          <w:color w:val="000000"/>
          <w:spacing w:val="-6"/>
          <w:sz w:val="24"/>
          <w:szCs w:val="24"/>
        </w:rPr>
        <w:t>realizaci činností</w:t>
      </w:r>
      <w:r w:rsidR="00555E3B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určeného prostoru tzn.</w:t>
      </w:r>
      <w:r w:rsidR="0014205A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8F5978" w:rsidRPr="00194E1D">
        <w:rPr>
          <w:rFonts w:ascii="Arial" w:hAnsi="Arial" w:cs="Arial"/>
          <w:color w:val="000000"/>
          <w:spacing w:val="-6"/>
          <w:sz w:val="24"/>
          <w:szCs w:val="24"/>
        </w:rPr>
        <w:t>o</w:t>
      </w:r>
      <w:r w:rsidR="00555E3B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dstraní polepy </w:t>
      </w:r>
      <w:r w:rsidR="00194E1D" w:rsidRPr="00194E1D">
        <w:rPr>
          <w:rFonts w:ascii="Arial" w:hAnsi="Arial" w:cs="Arial"/>
          <w:color w:val="000000"/>
          <w:spacing w:val="-6"/>
          <w:sz w:val="24"/>
          <w:szCs w:val="24"/>
        </w:rPr>
        <w:t>oken</w:t>
      </w:r>
      <w:r w:rsidR="00460D0B" w:rsidRPr="00194E1D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="003F29AD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odstraní</w:t>
      </w:r>
      <w:r w:rsidR="00460D0B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194E1D" w:rsidRPr="00194E1D">
        <w:rPr>
          <w:rFonts w:ascii="Arial" w:hAnsi="Arial" w:cs="Arial"/>
          <w:color w:val="000000"/>
          <w:spacing w:val="-6"/>
          <w:sz w:val="24"/>
          <w:szCs w:val="24"/>
        </w:rPr>
        <w:t>barvy</w:t>
      </w:r>
      <w:r w:rsidR="003F29AD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z</w:t>
      </w:r>
      <w:r w:rsidR="0061710E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 ploch, které byly z důvodu </w:t>
      </w:r>
      <w:r w:rsidR="00194E1D" w:rsidRPr="00194E1D">
        <w:rPr>
          <w:rFonts w:ascii="Arial" w:hAnsi="Arial" w:cs="Arial"/>
          <w:color w:val="000000"/>
          <w:spacing w:val="-6"/>
          <w:sz w:val="24"/>
          <w:szCs w:val="24"/>
        </w:rPr>
        <w:t>nátěru zašpiněny</w:t>
      </w:r>
      <w:r w:rsidR="00460D0B" w:rsidRPr="00194E1D"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="00F33AA0" w:rsidRPr="00194E1D">
        <w:rPr>
          <w:rFonts w:ascii="Arial" w:hAnsi="Arial" w:cs="Arial"/>
          <w:color w:val="000000"/>
          <w:spacing w:val="-6"/>
          <w:sz w:val="24"/>
          <w:szCs w:val="24"/>
        </w:rPr>
        <w:t xml:space="preserve"> Zhotovitel je povinen na vlastní</w:t>
      </w:r>
      <w:r w:rsidR="00F33AA0" w:rsidRPr="0005129B">
        <w:rPr>
          <w:rFonts w:ascii="Arial" w:hAnsi="Arial" w:cs="Arial"/>
          <w:color w:val="000000"/>
          <w:spacing w:val="-6"/>
          <w:sz w:val="24"/>
          <w:szCs w:val="24"/>
        </w:rPr>
        <w:t xml:space="preserve"> náklad zajistit</w:t>
      </w:r>
      <w:r w:rsidR="00F33AA0" w:rsidRPr="0005129B">
        <w:rPr>
          <w:rFonts w:ascii="Arial" w:hAnsi="Arial" w:cs="Arial"/>
          <w:sz w:val="24"/>
          <w:szCs w:val="24"/>
        </w:rPr>
        <w:t xml:space="preserve"> likvidaci vzniklých odpadů v souladu s platnými právními předpisy. </w:t>
      </w:r>
    </w:p>
    <w:p w:rsidR="00F33AA0" w:rsidRPr="0005129B" w:rsidRDefault="00F33AA0" w:rsidP="00F33AA0">
      <w:pPr>
        <w:pStyle w:val="Zkladntext4"/>
        <w:shd w:val="clear" w:color="auto" w:fill="auto"/>
        <w:spacing w:before="0" w:after="236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05129B">
        <w:rPr>
          <w:rFonts w:ascii="Arial" w:hAnsi="Arial" w:cs="Arial"/>
          <w:color w:val="000000"/>
          <w:spacing w:val="-6"/>
          <w:sz w:val="24"/>
          <w:szCs w:val="24"/>
        </w:rPr>
        <w:t>1</w:t>
      </w:r>
      <w:r w:rsidR="003E41E2">
        <w:rPr>
          <w:rFonts w:ascii="Arial" w:hAnsi="Arial" w:cs="Arial"/>
          <w:color w:val="000000"/>
          <w:spacing w:val="-6"/>
          <w:sz w:val="24"/>
          <w:szCs w:val="24"/>
        </w:rPr>
        <w:t>1</w:t>
      </w:r>
      <w:r w:rsidRPr="0005129B">
        <w:rPr>
          <w:rFonts w:ascii="Arial" w:hAnsi="Arial" w:cs="Arial"/>
          <w:color w:val="000000"/>
          <w:spacing w:val="-6"/>
          <w:sz w:val="24"/>
          <w:szCs w:val="24"/>
        </w:rPr>
        <w:t xml:space="preserve">. </w:t>
      </w:r>
      <w:r w:rsidRPr="0005129B">
        <w:rPr>
          <w:rFonts w:ascii="Arial" w:hAnsi="Arial" w:cs="Arial"/>
          <w:sz w:val="24"/>
          <w:szCs w:val="24"/>
        </w:rPr>
        <w:t xml:space="preserve">Zhotovitel je povinen zabezpečit </w:t>
      </w:r>
      <w:r w:rsidR="00460D0B" w:rsidRPr="0005129B">
        <w:rPr>
          <w:rFonts w:ascii="Arial" w:hAnsi="Arial" w:cs="Arial"/>
          <w:sz w:val="24"/>
          <w:szCs w:val="24"/>
        </w:rPr>
        <w:t>prostory</w:t>
      </w:r>
      <w:r w:rsidRPr="0005129B">
        <w:rPr>
          <w:rFonts w:ascii="Arial" w:hAnsi="Arial" w:cs="Arial"/>
          <w:sz w:val="24"/>
          <w:szCs w:val="24"/>
        </w:rPr>
        <w:t xml:space="preserve"> proti úrazu třetích osob a počínat si tak, aby nedocházelo ke škodám na majetku objednatele příp. dalších subjektů. Zhotovitel odpovídá za veškerou škodu, která vznikne v souvislosti s prováděním díla dle této smlouvy.</w:t>
      </w:r>
    </w:p>
    <w:p w:rsidR="003F29AD" w:rsidRPr="0005129B" w:rsidRDefault="00421D6D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>1</w:t>
      </w:r>
      <w:r w:rsidR="003E41E2">
        <w:rPr>
          <w:rFonts w:ascii="Arial" w:hAnsi="Arial" w:cs="Arial"/>
        </w:rPr>
        <w:t>2</w:t>
      </w:r>
      <w:r w:rsidR="00F33AA0" w:rsidRPr="0005129B">
        <w:rPr>
          <w:rFonts w:ascii="Arial" w:hAnsi="Arial" w:cs="Arial"/>
        </w:rPr>
        <w:t>. Zhotovitel odpovídá za bezpečnost a ochranu zdraví svých pracovníků a pracovníků subdodavatelů, je povinen v místě plnění smlouvy dodržovat právní předpisy, zejména předpisy BOZP a protipožární předpisy. Zhotovitel</w:t>
      </w:r>
      <w:r w:rsidR="00F33AA0" w:rsidRPr="0005129B">
        <w:rPr>
          <w:rFonts w:ascii="Arial" w:hAnsi="Arial" w:cs="Arial"/>
          <w:color w:val="FF0000"/>
        </w:rPr>
        <w:t xml:space="preserve"> </w:t>
      </w:r>
      <w:r w:rsidR="00F33AA0" w:rsidRPr="0005129B">
        <w:rPr>
          <w:rFonts w:ascii="Arial" w:hAnsi="Arial" w:cs="Arial"/>
        </w:rPr>
        <w:t xml:space="preserve">je povinen umožnit pověřeným zaměstnancům objednatele prověřit dodržování požadavků v oblasti BOZP, požární ochrany </w:t>
      </w:r>
      <w:r w:rsidR="009D4062">
        <w:rPr>
          <w:rFonts w:ascii="Arial" w:hAnsi="Arial" w:cs="Arial"/>
        </w:rPr>
        <w:t>apod.</w:t>
      </w:r>
    </w:p>
    <w:p w:rsidR="003F29AD" w:rsidRPr="0005129B" w:rsidRDefault="003F29AD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3F29AD" w:rsidRDefault="003E41E2" w:rsidP="00F33AA0">
      <w:pPr>
        <w:pStyle w:val="Seznam2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3F29AD" w:rsidRPr="0005129B">
        <w:rPr>
          <w:rFonts w:ascii="Arial" w:hAnsi="Arial" w:cs="Arial"/>
        </w:rPr>
        <w:t xml:space="preserve"> Dodavatel prohlašuje, že má uzavřenou pojistnou smlouvu odpovědnosti za škody na minimální pojistnou částku ve výši 1mil. </w:t>
      </w:r>
      <w:r w:rsidR="002E2352">
        <w:rPr>
          <w:rFonts w:ascii="Arial" w:hAnsi="Arial" w:cs="Arial"/>
        </w:rPr>
        <w:t>Kč</w:t>
      </w:r>
      <w:r w:rsidR="0061710E">
        <w:rPr>
          <w:rFonts w:ascii="Arial" w:hAnsi="Arial" w:cs="Arial"/>
        </w:rPr>
        <w:t xml:space="preserve">. </w:t>
      </w:r>
      <w:r w:rsidR="003F29AD" w:rsidRPr="0005129B">
        <w:rPr>
          <w:rFonts w:ascii="Arial" w:hAnsi="Arial" w:cs="Arial"/>
        </w:rPr>
        <w:t>Kopii této pojistn</w:t>
      </w:r>
      <w:r w:rsidR="009840EB">
        <w:rPr>
          <w:rFonts w:ascii="Arial" w:hAnsi="Arial" w:cs="Arial"/>
        </w:rPr>
        <w:t>é</w:t>
      </w:r>
      <w:r w:rsidR="003F29AD" w:rsidRPr="0005129B">
        <w:rPr>
          <w:rFonts w:ascii="Arial" w:hAnsi="Arial" w:cs="Arial"/>
        </w:rPr>
        <w:t xml:space="preserve"> smlouvy je povinen na vyžádání předložit objednateli.</w:t>
      </w:r>
    </w:p>
    <w:p w:rsidR="00CE77BD" w:rsidRDefault="00CE77BD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CE77BD" w:rsidRPr="00CE77BD" w:rsidRDefault="00CE77BD" w:rsidP="00CE77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 xml:space="preserve">14. </w:t>
      </w:r>
      <w:r w:rsidRPr="00CE77BD">
        <w:rPr>
          <w:rFonts w:ascii="Arial" w:hAnsi="Arial" w:cs="Arial"/>
          <w:color w:val="000000" w:themeColor="text1"/>
        </w:rPr>
        <w:t xml:space="preserve">Zhotovitel při provádění díla využije závěsnou lávku, která je součástí budovy č.p. 21. Zhotovitel je před použitím závěsné lávky povinen nechat proškolit u společnosti GANAS, spol. s r.o., IČ: 46994181, všechny osoby, které se budou podílet na provádění díla pomocí závěsné lávky.  Uvedené osoby musí mít potřebnou zdravotní způsobilost a znalost předpisů upravujících podmínky práce ve výškách. V případě poruchy závěsné lávky nebo vlivů, které neumožní její použití, lze dílo provádět z jiného závěsného zařízení, např. ze závěsných lan, lávek atd. Náklady s tím spojené nese vždy zhotovitel. </w:t>
      </w: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</w:rPr>
      </w:pPr>
      <w:r w:rsidRPr="0005129B">
        <w:rPr>
          <w:rFonts w:ascii="Arial" w:hAnsi="Arial" w:cs="Arial"/>
          <w:b/>
        </w:rPr>
        <w:t>Článek V.</w:t>
      </w:r>
    </w:p>
    <w:p w:rsidR="00F33AA0" w:rsidRPr="0005129B" w:rsidRDefault="00F33AA0" w:rsidP="00F33AA0">
      <w:pPr>
        <w:jc w:val="center"/>
        <w:rPr>
          <w:rFonts w:ascii="Arial" w:hAnsi="Arial" w:cs="Arial"/>
          <w:b/>
          <w:bCs/>
        </w:rPr>
      </w:pPr>
      <w:r w:rsidRPr="0005129B">
        <w:rPr>
          <w:rFonts w:ascii="Arial" w:hAnsi="Arial" w:cs="Arial"/>
          <w:b/>
          <w:bCs/>
        </w:rPr>
        <w:t>Předání a převzetí díla</w:t>
      </w:r>
    </w:p>
    <w:p w:rsidR="00F33AA0" w:rsidRPr="0005129B" w:rsidRDefault="00F33AA0" w:rsidP="00F33AA0">
      <w:pPr>
        <w:pStyle w:val="Zkladntext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1. Provedení díla dle této smlouvy bude splněno ukončením všech </w:t>
      </w:r>
      <w:r w:rsidR="007E62E3">
        <w:rPr>
          <w:rFonts w:ascii="Arial" w:hAnsi="Arial" w:cs="Arial"/>
        </w:rPr>
        <w:t xml:space="preserve">dílčích plnění tj. </w:t>
      </w:r>
      <w:r w:rsidRPr="0005129B">
        <w:rPr>
          <w:rFonts w:ascii="Arial" w:hAnsi="Arial" w:cs="Arial"/>
        </w:rPr>
        <w:t xml:space="preserve">dodávek a prací, jejich předáním a převzetím v místě </w:t>
      </w:r>
      <w:r w:rsidR="00460D0B" w:rsidRPr="0005129B">
        <w:rPr>
          <w:rFonts w:ascii="Arial" w:hAnsi="Arial" w:cs="Arial"/>
        </w:rPr>
        <w:t>plnění</w:t>
      </w:r>
      <w:r w:rsidR="007E62E3">
        <w:rPr>
          <w:rFonts w:ascii="Arial" w:hAnsi="Arial" w:cs="Arial"/>
        </w:rPr>
        <w:t xml:space="preserve">. Místem plnění </w:t>
      </w:r>
      <w:r w:rsidR="00D36F82">
        <w:rPr>
          <w:rFonts w:ascii="Arial" w:hAnsi="Arial" w:cs="Arial"/>
        </w:rPr>
        <w:t>jsou</w:t>
      </w:r>
      <w:r w:rsidR="007E62E3">
        <w:rPr>
          <w:rFonts w:ascii="Arial" w:hAnsi="Arial" w:cs="Arial"/>
        </w:rPr>
        <w:t xml:space="preserve"> </w:t>
      </w:r>
      <w:r w:rsidR="00503CF4">
        <w:rPr>
          <w:rFonts w:ascii="Arial" w:hAnsi="Arial" w:cs="Arial"/>
        </w:rPr>
        <w:t xml:space="preserve">prostory užívané nebo vlastněné </w:t>
      </w:r>
      <w:r w:rsidR="00D36F82">
        <w:rPr>
          <w:rFonts w:ascii="Arial" w:hAnsi="Arial" w:cs="Arial"/>
        </w:rPr>
        <w:t>objednatelem v</w:t>
      </w:r>
      <w:r w:rsidR="007B09EB">
        <w:rPr>
          <w:rFonts w:ascii="Arial" w:hAnsi="Arial" w:cs="Arial"/>
        </w:rPr>
        <w:t> </w:t>
      </w:r>
      <w:r w:rsidR="007E62E3">
        <w:rPr>
          <w:rFonts w:ascii="Arial" w:hAnsi="Arial" w:cs="Arial"/>
        </w:rPr>
        <w:t>budov</w:t>
      </w:r>
      <w:r w:rsidR="007B09EB">
        <w:rPr>
          <w:rFonts w:ascii="Arial" w:hAnsi="Arial" w:cs="Arial"/>
        </w:rPr>
        <w:t>ě č. 21</w:t>
      </w:r>
    </w:p>
    <w:p w:rsidR="00F33AA0" w:rsidRPr="0005129B" w:rsidRDefault="00F33AA0" w:rsidP="00F33AA0">
      <w:pPr>
        <w:rPr>
          <w:rFonts w:ascii="Arial" w:hAnsi="Arial" w:cs="Arial"/>
          <w:b/>
          <w:bCs/>
        </w:rPr>
      </w:pPr>
    </w:p>
    <w:p w:rsidR="00F33AA0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2. Dokončené dílo předá zhotovitel objednateli písemným předávacím protokolem vyhotoveným zhotovitelem ve dvou stejnopisech. Předávací protokol podepíší zástupci obou smluvních stran. Protokol bude obsahovat popis předávaného a přebíraného díla a jeho kvality včetně seznamu předaných dokladů. </w:t>
      </w:r>
    </w:p>
    <w:p w:rsidR="007E62E3" w:rsidRPr="0005129B" w:rsidRDefault="007E62E3" w:rsidP="00F33AA0">
      <w:pPr>
        <w:pStyle w:val="Zkladntext"/>
        <w:rPr>
          <w:rFonts w:ascii="Arial" w:hAnsi="Arial" w:cs="Arial"/>
        </w:rPr>
      </w:pPr>
    </w:p>
    <w:p w:rsidR="00F33AA0" w:rsidRPr="0005129B" w:rsidRDefault="00F33AA0" w:rsidP="00F33AA0">
      <w:pPr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3. V předávacím protokolu budou uvedeny  případné drobné nedodělky a vady, které nebrání v řádném užívání díla spolu s termínem jejich odstranění, nejpozději však do 5 kalendářních dnů od dne předání díla. </w:t>
      </w:r>
    </w:p>
    <w:p w:rsidR="00F33AA0" w:rsidRPr="00C5144C" w:rsidRDefault="00F33AA0" w:rsidP="00F33AA0">
      <w:pPr>
        <w:widowControl w:val="0"/>
        <w:autoSpaceDE w:val="0"/>
        <w:autoSpaceDN w:val="0"/>
        <w:adjustRightInd w:val="0"/>
        <w:ind w:left="280" w:hanging="280"/>
        <w:jc w:val="both"/>
        <w:rPr>
          <w:rFonts w:ascii="Arial" w:hAnsi="Arial" w:cs="Arial"/>
          <w:color w:val="000000"/>
          <w:spacing w:val="-6"/>
        </w:rPr>
      </w:pPr>
    </w:p>
    <w:p w:rsidR="00F33AA0" w:rsidRPr="0005129B" w:rsidRDefault="00F33AA0" w:rsidP="00F33A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</w:rPr>
      </w:pPr>
      <w:r w:rsidRPr="00C5144C">
        <w:rPr>
          <w:rFonts w:ascii="Arial" w:hAnsi="Arial" w:cs="Arial"/>
          <w:color w:val="000000"/>
          <w:spacing w:val="-6"/>
        </w:rPr>
        <w:t xml:space="preserve">4. </w:t>
      </w:r>
      <w:r w:rsidRPr="0005129B">
        <w:rPr>
          <w:rFonts w:ascii="Arial" w:hAnsi="Arial" w:cs="Arial"/>
          <w:color w:val="000000"/>
          <w:spacing w:val="-6"/>
        </w:rPr>
        <w:t>Objednatel je oprávněn odmítnout převzít dílo, má-li dílo vady</w:t>
      </w:r>
      <w:r w:rsidR="003F29AD" w:rsidRPr="0005129B">
        <w:rPr>
          <w:rFonts w:ascii="Arial" w:hAnsi="Arial" w:cs="Arial"/>
          <w:color w:val="000000"/>
          <w:spacing w:val="-6"/>
        </w:rPr>
        <w:t>,</w:t>
      </w:r>
      <w:r w:rsidRPr="0005129B">
        <w:rPr>
          <w:rFonts w:ascii="Arial" w:hAnsi="Arial" w:cs="Arial"/>
          <w:color w:val="000000"/>
          <w:spacing w:val="-6"/>
        </w:rPr>
        <w:t xml:space="preserve"> které brání řádnému užívání díla. </w:t>
      </w:r>
    </w:p>
    <w:p w:rsidR="00F33AA0" w:rsidRPr="0005129B" w:rsidRDefault="00F33AA0" w:rsidP="00F33A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129B">
        <w:rPr>
          <w:rFonts w:ascii="Arial" w:hAnsi="Arial" w:cs="Arial"/>
          <w:color w:val="000000"/>
          <w:spacing w:val="-6"/>
        </w:rPr>
        <w:lastRenderedPageBreak/>
        <w:t xml:space="preserve">Rovněž tak je objednatel oprávněn odmítnout převzít dílo v případě, že dílo </w:t>
      </w:r>
      <w:r w:rsidRPr="0005129B">
        <w:rPr>
          <w:rFonts w:ascii="Arial" w:hAnsi="Arial" w:cs="Arial"/>
        </w:rPr>
        <w:t>nebude zhotoveno ř</w:t>
      </w:r>
      <w:r w:rsidR="00421D6D" w:rsidRPr="0005129B">
        <w:rPr>
          <w:rFonts w:ascii="Arial" w:hAnsi="Arial" w:cs="Arial"/>
        </w:rPr>
        <w:t>ádně v souladu s touto smlouvou</w:t>
      </w:r>
      <w:r w:rsidRPr="0005129B">
        <w:rPr>
          <w:rFonts w:ascii="Arial" w:hAnsi="Arial" w:cs="Arial"/>
        </w:rPr>
        <w:t xml:space="preserve"> a ve sjednané kvalitě.  Důvody odmítnutí převzetí díla objednatel neprodleně sdělí písemně zhotoviteli.  </w:t>
      </w:r>
    </w:p>
    <w:p w:rsidR="00F33AA0" w:rsidRPr="0005129B" w:rsidRDefault="00F33AA0" w:rsidP="00F33AA0">
      <w:pPr>
        <w:rPr>
          <w:rFonts w:ascii="Arial" w:hAnsi="Arial" w:cs="Arial"/>
          <w:b/>
          <w:bCs/>
        </w:rPr>
      </w:pPr>
    </w:p>
    <w:p w:rsidR="00F33AA0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>5. Objednatel se zavazuje převzít řádně dokončené dílo i před uplynutím dohodnuté doby plnění.</w:t>
      </w:r>
    </w:p>
    <w:p w:rsidR="00D36F82" w:rsidRDefault="00D36F82" w:rsidP="00F33AA0">
      <w:pPr>
        <w:pStyle w:val="Zkladntext"/>
        <w:rPr>
          <w:rFonts w:ascii="Arial" w:hAnsi="Arial" w:cs="Arial"/>
        </w:rPr>
      </w:pPr>
    </w:p>
    <w:p w:rsidR="00D36F82" w:rsidRPr="0005129B" w:rsidRDefault="00D36F82" w:rsidP="00F33AA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6. Při převzetí dílčího plnění se postupuje </w:t>
      </w:r>
      <w:r w:rsidR="00321D5D">
        <w:rPr>
          <w:rFonts w:ascii="Arial" w:hAnsi="Arial" w:cs="Arial"/>
        </w:rPr>
        <w:t xml:space="preserve">obdobně, jak je uvedeno v tomto článku k převzetí díla. </w:t>
      </w:r>
      <w:r>
        <w:rPr>
          <w:rFonts w:ascii="Arial" w:hAnsi="Arial" w:cs="Arial"/>
        </w:rPr>
        <w:t xml:space="preserve"> </w:t>
      </w:r>
    </w:p>
    <w:p w:rsidR="00F33AA0" w:rsidRPr="0005129B" w:rsidRDefault="00F33AA0" w:rsidP="000C2306">
      <w:pPr>
        <w:pStyle w:val="Seznam2"/>
        <w:ind w:left="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ind w:left="36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Článek VI.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 xml:space="preserve">      Záruční doba</w:t>
      </w:r>
    </w:p>
    <w:p w:rsidR="00F33AA0" w:rsidRPr="0005129B" w:rsidRDefault="00F33AA0" w:rsidP="00F33AA0">
      <w:pPr>
        <w:pStyle w:val="Seznam2"/>
        <w:ind w:left="540" w:hanging="1413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ab/>
      </w: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1. Zhotovitel zodpovídá za vady, které má předmět plnění v době jeho odevzdání objednateli a po záruční </w:t>
      </w:r>
      <w:r w:rsidR="002E2352">
        <w:rPr>
          <w:rFonts w:ascii="Arial" w:hAnsi="Arial" w:cs="Arial"/>
        </w:rPr>
        <w:t>dobu</w:t>
      </w:r>
      <w:r w:rsidRPr="0005129B">
        <w:rPr>
          <w:rFonts w:ascii="Arial" w:hAnsi="Arial" w:cs="Arial"/>
        </w:rPr>
        <w:t>.</w:t>
      </w:r>
    </w:p>
    <w:p w:rsidR="00F33AA0" w:rsidRPr="0005129B" w:rsidRDefault="00F33AA0" w:rsidP="00F33AA0">
      <w:pPr>
        <w:pStyle w:val="Seznam2"/>
        <w:ind w:left="54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2. Zhotovitel poskytuje záruku za </w:t>
      </w:r>
      <w:r w:rsidR="002E2352">
        <w:rPr>
          <w:rFonts w:ascii="Arial" w:hAnsi="Arial" w:cs="Arial"/>
        </w:rPr>
        <w:t>jakost</w:t>
      </w:r>
      <w:r w:rsidR="002E2352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>provedeného díla po dobu v délce 24 měsíců od data řádného předání díla objednateli.</w:t>
      </w:r>
    </w:p>
    <w:p w:rsidR="00F33AA0" w:rsidRPr="0005129B" w:rsidRDefault="00F33AA0" w:rsidP="00F33AA0">
      <w:pPr>
        <w:pStyle w:val="Seznam2"/>
        <w:ind w:left="540" w:hanging="1413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 </w:t>
      </w: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>3. V případě vady díla v záruční době, má objednatel právo požadovat a zhotovitel povinnost odstranit vady zdarma.</w:t>
      </w:r>
    </w:p>
    <w:p w:rsidR="00F33AA0" w:rsidRPr="0005129B" w:rsidRDefault="00F33AA0" w:rsidP="00F33AA0">
      <w:pPr>
        <w:pStyle w:val="Seznam2"/>
        <w:ind w:left="540" w:hanging="1413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4. Reklamace vad musí být objednatelem provedena </w:t>
      </w:r>
      <w:r w:rsidR="00321D5D">
        <w:rPr>
          <w:rFonts w:ascii="Arial" w:hAnsi="Arial" w:cs="Arial"/>
        </w:rPr>
        <w:t>alespoň</w:t>
      </w:r>
      <w:r w:rsidRPr="0005129B">
        <w:rPr>
          <w:rFonts w:ascii="Arial" w:hAnsi="Arial" w:cs="Arial"/>
        </w:rPr>
        <w:t xml:space="preserve"> do posledního dne záruční doby, přičemž i reklamace odeslaná objednatelem v poslední den záruční doby se považuje za včas uplatněnou. Reklamace bude zaslána zhotoviteli  písemně na adresu sídla zhotovitele. V písemném oznámení vad díla musí objednatel vady díla popsat, případně uvést jak se projevují nebo jaké mají důsledky. </w:t>
      </w: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>5. Zhotovitel je povinen nastoupit u objednatele k odstranění reklamované vady díla</w:t>
      </w:r>
      <w:r w:rsidRPr="0005129B">
        <w:rPr>
          <w:rFonts w:ascii="Arial" w:hAnsi="Arial" w:cs="Arial"/>
        </w:rPr>
        <w:br/>
        <w:t>do 7 kalendářních dnů od doručení reklamace objednatele, pokud se smluvní strany nedohodnou jinak s tím, že informuje objednatele o rozsahu a způsobu odstranění vady. Zhotovitel se zavazuje odstranit reklamovanou vadu díla v co nejkratším možném termínu, nejpozději však do 15 kalendářních dnů ode dne doručení reklamace zhotoviteli, nebude-li smluvními stranami dohodnuto jinak.</w:t>
      </w: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V případě vad díla, u kterých hrozí vznik škody na majetku, je zhotovitel povinen tuto vadu odstranit neprodleně po ohlášení této závady objednatelem. </w:t>
      </w:r>
    </w:p>
    <w:p w:rsidR="00F33AA0" w:rsidRPr="0005129B" w:rsidRDefault="00F33AA0" w:rsidP="00F33AA0">
      <w:pPr>
        <w:pStyle w:val="Zkladntext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6. V případě, že zhotovitel neodstraní vadu v termínu dle odst. 5. tohoto článku, zavazuje se nést škodu vzniklou objednateli nezajištěním odstranění závady. Objednatel má v tomto případě právo závadu odstranit na vlastní náklady a tyto náklady uplatňovat na zhotoviteli k úhradě. </w:t>
      </w:r>
    </w:p>
    <w:p w:rsidR="00F33AA0" w:rsidRPr="0005129B" w:rsidRDefault="00F33AA0" w:rsidP="00F33AA0">
      <w:pPr>
        <w:pStyle w:val="Zkladntext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pStyle w:val="Zkladntext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7. Záruční doba neběží po dobu, po kterou </w:t>
      </w:r>
      <w:r w:rsidR="00B90A62">
        <w:rPr>
          <w:rFonts w:ascii="Arial" w:hAnsi="Arial" w:cs="Arial"/>
        </w:rPr>
        <w:t>je zhotovitel v prodlení s odstraněním</w:t>
      </w:r>
      <w:r w:rsidRPr="0005129B">
        <w:rPr>
          <w:rFonts w:ascii="Arial" w:hAnsi="Arial" w:cs="Arial"/>
        </w:rPr>
        <w:t xml:space="preserve"> vad, za které odpovídá</w:t>
      </w:r>
      <w:r w:rsidR="00B90A62">
        <w:rPr>
          <w:rFonts w:ascii="Arial" w:hAnsi="Arial" w:cs="Arial"/>
        </w:rPr>
        <w:t>.</w:t>
      </w:r>
      <w:r w:rsidRPr="0005129B">
        <w:rPr>
          <w:rFonts w:ascii="Arial" w:hAnsi="Arial" w:cs="Arial"/>
        </w:rPr>
        <w:t xml:space="preserve"> </w:t>
      </w:r>
    </w:p>
    <w:p w:rsidR="00F33AA0" w:rsidRPr="0005129B" w:rsidRDefault="00F33AA0" w:rsidP="00F33AA0">
      <w:pPr>
        <w:pStyle w:val="Zkladntext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>8. Po provedení reklamační opravy sepíší odpovědní zástupci smluvních stran protokol o odstranění reklamované vady.</w:t>
      </w: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jc w:val="center"/>
        <w:rPr>
          <w:rFonts w:ascii="Arial" w:hAnsi="Arial" w:cs="Arial"/>
          <w:b/>
          <w:bCs/>
        </w:rPr>
      </w:pPr>
      <w:r w:rsidRPr="0005129B">
        <w:rPr>
          <w:rFonts w:ascii="Arial" w:hAnsi="Arial" w:cs="Arial"/>
          <w:b/>
          <w:bCs/>
        </w:rPr>
        <w:lastRenderedPageBreak/>
        <w:t>Článek VII.</w:t>
      </w:r>
    </w:p>
    <w:p w:rsidR="00F33AA0" w:rsidRPr="0005129B" w:rsidRDefault="00F33AA0" w:rsidP="00F33AA0">
      <w:pPr>
        <w:keepNext/>
        <w:jc w:val="center"/>
        <w:outlineLvl w:val="0"/>
        <w:rPr>
          <w:rFonts w:ascii="Arial" w:hAnsi="Arial" w:cs="Arial"/>
          <w:b/>
          <w:bCs/>
        </w:rPr>
      </w:pPr>
      <w:r w:rsidRPr="0005129B">
        <w:rPr>
          <w:rFonts w:ascii="Arial" w:hAnsi="Arial" w:cs="Arial"/>
          <w:b/>
          <w:bCs/>
        </w:rPr>
        <w:t xml:space="preserve">Smluvní pokuty </w:t>
      </w:r>
    </w:p>
    <w:p w:rsidR="00F33AA0" w:rsidRPr="0005129B" w:rsidRDefault="00F33AA0" w:rsidP="00F33AA0">
      <w:pPr>
        <w:jc w:val="both"/>
        <w:rPr>
          <w:rFonts w:ascii="Arial" w:hAnsi="Arial" w:cs="Arial"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1. Při </w:t>
      </w:r>
      <w:r w:rsidR="00707502">
        <w:rPr>
          <w:rFonts w:ascii="Arial" w:hAnsi="Arial" w:cs="Arial"/>
          <w:bCs/>
        </w:rPr>
        <w:t>prodlení s peněžitým plněním náleží oprávněnému zákonný úrok z prodlení</w:t>
      </w:r>
      <w:r w:rsidRPr="0005129B">
        <w:rPr>
          <w:rFonts w:ascii="Arial" w:hAnsi="Arial" w:cs="Arial"/>
          <w:bCs/>
        </w:rPr>
        <w:t>.</w:t>
      </w:r>
    </w:p>
    <w:p w:rsidR="00F33AA0" w:rsidRPr="0005129B" w:rsidRDefault="00F33AA0" w:rsidP="00F33AA0">
      <w:pPr>
        <w:rPr>
          <w:rFonts w:ascii="Arial" w:hAnsi="Arial" w:cs="Arial"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2. Při nedodržení termínu zhotovení a předání řádně provedeného díla </w:t>
      </w:r>
      <w:r w:rsidR="00321D5D">
        <w:rPr>
          <w:rFonts w:ascii="Arial" w:hAnsi="Arial" w:cs="Arial"/>
          <w:bCs/>
        </w:rPr>
        <w:t xml:space="preserve">(rovněž dílčího plnění) </w:t>
      </w:r>
      <w:r w:rsidRPr="0005129B">
        <w:rPr>
          <w:rFonts w:ascii="Arial" w:hAnsi="Arial" w:cs="Arial"/>
          <w:bCs/>
        </w:rPr>
        <w:t xml:space="preserve">v termínu dle článku II. </w:t>
      </w:r>
      <w:r w:rsidR="00B90A62" w:rsidRPr="0005129B">
        <w:rPr>
          <w:rFonts w:ascii="Arial" w:hAnsi="Arial" w:cs="Arial"/>
          <w:bCs/>
        </w:rPr>
        <w:t>této smlouvy</w:t>
      </w:r>
      <w:r w:rsidR="004558C1">
        <w:rPr>
          <w:rFonts w:ascii="Arial" w:hAnsi="Arial" w:cs="Arial"/>
          <w:bCs/>
        </w:rPr>
        <w:t>,</w:t>
      </w:r>
      <w:r w:rsidRPr="0005129B">
        <w:rPr>
          <w:rFonts w:ascii="Arial" w:hAnsi="Arial" w:cs="Arial"/>
          <w:bCs/>
        </w:rPr>
        <w:t xml:space="preserve"> je zhotovitel povinen uhradit objednateli smluvní pokutu ve výši </w:t>
      </w:r>
      <w:r w:rsidR="00707502">
        <w:rPr>
          <w:rFonts w:ascii="Arial" w:hAnsi="Arial" w:cs="Arial"/>
          <w:bCs/>
        </w:rPr>
        <w:t>500,- Kč</w:t>
      </w:r>
      <w:r w:rsidRPr="0005129B">
        <w:rPr>
          <w:rFonts w:ascii="Arial" w:hAnsi="Arial" w:cs="Arial"/>
          <w:bCs/>
        </w:rPr>
        <w:t xml:space="preserve"> za každý i započatý kalendářní den prodlení. </w:t>
      </w:r>
    </w:p>
    <w:p w:rsidR="00F33AA0" w:rsidRPr="0005129B" w:rsidRDefault="00F33AA0" w:rsidP="00F33AA0">
      <w:pPr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3. Při nedodržení termínu k vyklizení a předání </w:t>
      </w:r>
      <w:r w:rsidR="007E62E3">
        <w:rPr>
          <w:rFonts w:ascii="Arial" w:hAnsi="Arial" w:cs="Arial"/>
          <w:bCs/>
        </w:rPr>
        <w:t>místa plnění</w:t>
      </w:r>
      <w:r w:rsidRPr="0005129B">
        <w:rPr>
          <w:rFonts w:ascii="Arial" w:hAnsi="Arial" w:cs="Arial"/>
          <w:bCs/>
        </w:rPr>
        <w:t xml:space="preserve"> trvajícím déle než dva pracovní dny je zhotovitel povinen uhradit objednateli smluvní pokutu ve výši </w:t>
      </w:r>
      <w:r w:rsidR="007E62E3">
        <w:rPr>
          <w:rFonts w:ascii="Arial" w:hAnsi="Arial" w:cs="Arial"/>
          <w:bCs/>
        </w:rPr>
        <w:t>500</w:t>
      </w:r>
      <w:r w:rsidRPr="0005129B">
        <w:rPr>
          <w:rFonts w:ascii="Arial" w:hAnsi="Arial" w:cs="Arial"/>
          <w:bCs/>
        </w:rPr>
        <w:t xml:space="preserve">,- Kč za každý i započatý kalendářní den prodlení. </w:t>
      </w: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4. Při nedodržení termínu k odstranění vady dohodnutého v předávacím protokolu nebo v reklamačním řízení je zhotovitel povinen uhradit objednateli smluvní pokutu ve výši 1.000,- Kč za každou vadu a kalendářní den prodlení. </w:t>
      </w:r>
    </w:p>
    <w:p w:rsidR="00F33AA0" w:rsidRPr="0005129B" w:rsidRDefault="00F33AA0" w:rsidP="00F33AA0">
      <w:pPr>
        <w:jc w:val="both"/>
        <w:rPr>
          <w:rFonts w:ascii="Arial" w:hAnsi="Arial" w:cs="Arial"/>
          <w:b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 xml:space="preserve">5. Smluvní pokuta a úrok z prodlení jsou splatné do 21 kalendářních dnů ode dne jejich </w:t>
      </w:r>
      <w:r w:rsidR="00707502">
        <w:rPr>
          <w:rFonts w:ascii="Arial" w:hAnsi="Arial" w:cs="Arial"/>
          <w:bCs/>
        </w:rPr>
        <w:t>vyúčtování</w:t>
      </w:r>
      <w:r w:rsidR="00707502" w:rsidRPr="0005129B">
        <w:rPr>
          <w:rFonts w:ascii="Arial" w:hAnsi="Arial" w:cs="Arial"/>
          <w:bCs/>
        </w:rPr>
        <w:t xml:space="preserve"> </w:t>
      </w:r>
      <w:r w:rsidRPr="0005129B">
        <w:rPr>
          <w:rFonts w:ascii="Arial" w:hAnsi="Arial" w:cs="Arial"/>
          <w:bCs/>
        </w:rPr>
        <w:t>druhé smluvní straně.</w:t>
      </w: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</w:p>
    <w:p w:rsidR="00F33AA0" w:rsidRPr="0005129B" w:rsidRDefault="00F33AA0" w:rsidP="00F33AA0">
      <w:pPr>
        <w:jc w:val="both"/>
        <w:rPr>
          <w:rFonts w:ascii="Arial" w:hAnsi="Arial" w:cs="Arial"/>
          <w:bCs/>
        </w:rPr>
      </w:pPr>
      <w:r w:rsidRPr="0005129B">
        <w:rPr>
          <w:rFonts w:ascii="Arial" w:hAnsi="Arial" w:cs="Arial"/>
          <w:bCs/>
        </w:rPr>
        <w:t>6. Zaplacením smluvní pokuty a úroku z prodlení není dotčen nárok smluvních stran na náhradu škody v plném rozsahu ani povinnost zhotovitele řádně dokončit dílo.</w:t>
      </w: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Článek VIII.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Odstoupení od smlouvy</w:t>
      </w:r>
    </w:p>
    <w:p w:rsidR="00F33AA0" w:rsidRPr="0005129B" w:rsidRDefault="00F33AA0" w:rsidP="00F33AA0">
      <w:pPr>
        <w:pStyle w:val="Seznam2"/>
        <w:ind w:left="540" w:hanging="540"/>
        <w:jc w:val="both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>1. Každá ze smluvních stran je oprávněna od této smlouvy odstoupit v případě jejího podstatného porušení druhou smluvní stranou. Za podstatné porušení se považuje zejm.:</w:t>
      </w:r>
    </w:p>
    <w:p w:rsidR="00F33AA0" w:rsidRPr="0005129B" w:rsidRDefault="00F33AA0" w:rsidP="003E41E2">
      <w:pPr>
        <w:pStyle w:val="Seznam2"/>
        <w:ind w:left="709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- </w:t>
      </w:r>
      <w:r w:rsidR="003E41E2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objednatel je v prodlení s předáním </w:t>
      </w:r>
      <w:r w:rsidR="00321D5D">
        <w:rPr>
          <w:rFonts w:ascii="Arial" w:hAnsi="Arial" w:cs="Arial"/>
        </w:rPr>
        <w:t>místa plnění</w:t>
      </w:r>
      <w:r w:rsidR="00321D5D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trvajícím déle než 3 kalendářní </w:t>
      </w:r>
      <w:r w:rsidR="003E41E2">
        <w:rPr>
          <w:rFonts w:ascii="Arial" w:hAnsi="Arial" w:cs="Arial"/>
        </w:rPr>
        <w:t xml:space="preserve">   </w:t>
      </w:r>
      <w:r w:rsidRPr="0005129B">
        <w:rPr>
          <w:rFonts w:ascii="Arial" w:hAnsi="Arial" w:cs="Arial"/>
        </w:rPr>
        <w:t>dny,</w:t>
      </w:r>
    </w:p>
    <w:p w:rsidR="00F33AA0" w:rsidRPr="0005129B" w:rsidRDefault="003E41E2" w:rsidP="003E41E2">
      <w:pPr>
        <w:pStyle w:val="Seznam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3AA0" w:rsidRPr="0005129B">
        <w:rPr>
          <w:rFonts w:ascii="Arial" w:hAnsi="Arial" w:cs="Arial"/>
        </w:rPr>
        <w:t xml:space="preserve"> - zhotovitel neprovádí dílo </w:t>
      </w:r>
      <w:r w:rsidR="00321D5D">
        <w:rPr>
          <w:rFonts w:ascii="Arial" w:hAnsi="Arial" w:cs="Arial"/>
          <w:bCs/>
        </w:rPr>
        <w:t xml:space="preserve">(rovněž dílčí plnění) </w:t>
      </w:r>
      <w:r w:rsidR="00F33AA0" w:rsidRPr="0005129B">
        <w:rPr>
          <w:rFonts w:ascii="Arial" w:hAnsi="Arial" w:cs="Arial"/>
        </w:rPr>
        <w:t xml:space="preserve">způsobem dohodnutým </w:t>
      </w:r>
      <w:r w:rsidR="0014205A">
        <w:rPr>
          <w:rFonts w:ascii="Arial" w:hAnsi="Arial" w:cs="Arial"/>
        </w:rPr>
        <w:t xml:space="preserve"> </w:t>
      </w:r>
      <w:r w:rsidR="00F33AA0" w:rsidRPr="0005129B">
        <w:rPr>
          <w:rFonts w:ascii="Arial" w:hAnsi="Arial" w:cs="Arial"/>
        </w:rPr>
        <w:t>s objednatelem,</w:t>
      </w:r>
    </w:p>
    <w:p w:rsidR="00F33AA0" w:rsidRPr="0005129B" w:rsidRDefault="00F33AA0" w:rsidP="003E41E2">
      <w:pPr>
        <w:pStyle w:val="Seznam2"/>
        <w:numPr>
          <w:ilvl w:val="0"/>
          <w:numId w:val="2"/>
        </w:numPr>
        <w:ind w:left="709" w:hanging="283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zhotovitel je v prodlení s plněním díla </w:t>
      </w:r>
      <w:r w:rsidR="00E76E21">
        <w:rPr>
          <w:rFonts w:ascii="Arial" w:hAnsi="Arial" w:cs="Arial"/>
          <w:bCs/>
        </w:rPr>
        <w:t xml:space="preserve">(rovněž dílčího plnění) </w:t>
      </w:r>
      <w:r w:rsidRPr="0005129B">
        <w:rPr>
          <w:rFonts w:ascii="Arial" w:hAnsi="Arial" w:cs="Arial"/>
        </w:rPr>
        <w:t xml:space="preserve">dle harmonogramu prací </w:t>
      </w:r>
      <w:r w:rsidR="00E76E21">
        <w:rPr>
          <w:rFonts w:ascii="Arial" w:hAnsi="Arial" w:cs="Arial"/>
        </w:rPr>
        <w:t>nebo</w:t>
      </w:r>
      <w:r w:rsidR="00E76E21" w:rsidRPr="0005129B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s předáním </w:t>
      </w:r>
      <w:r w:rsidR="003E41E2">
        <w:rPr>
          <w:rFonts w:ascii="Arial" w:hAnsi="Arial" w:cs="Arial"/>
        </w:rPr>
        <w:t xml:space="preserve"> </w:t>
      </w:r>
      <w:r w:rsidRPr="0005129B">
        <w:rPr>
          <w:rFonts w:ascii="Arial" w:hAnsi="Arial" w:cs="Arial"/>
        </w:rPr>
        <w:t xml:space="preserve">díla </w:t>
      </w:r>
      <w:r w:rsidR="00E76E21">
        <w:rPr>
          <w:rFonts w:ascii="Arial" w:hAnsi="Arial" w:cs="Arial"/>
          <w:bCs/>
        </w:rPr>
        <w:t xml:space="preserve">(rovněž dílčího plnění) </w:t>
      </w:r>
      <w:r w:rsidRPr="0005129B">
        <w:rPr>
          <w:rFonts w:ascii="Arial" w:hAnsi="Arial" w:cs="Arial"/>
        </w:rPr>
        <w:t xml:space="preserve">o více než 10 kalendářních dnů. </w:t>
      </w:r>
    </w:p>
    <w:p w:rsidR="00F33AA0" w:rsidRPr="0005129B" w:rsidRDefault="00F33AA0" w:rsidP="00F33AA0">
      <w:pPr>
        <w:pStyle w:val="Seznam2"/>
        <w:ind w:left="84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2. </w:t>
      </w:r>
      <w:r w:rsidR="00421D6D" w:rsidRPr="0005129B">
        <w:rPr>
          <w:rFonts w:ascii="Arial" w:hAnsi="Arial" w:cs="Arial"/>
        </w:rPr>
        <w:t>Odstoupení od smlouvy musí být učiněno v písemné formě s uvedením</w:t>
      </w:r>
      <w:r w:rsidRPr="0005129B">
        <w:rPr>
          <w:rFonts w:ascii="Arial" w:hAnsi="Arial" w:cs="Arial"/>
        </w:rPr>
        <w:t xml:space="preserve"> důvodu. </w:t>
      </w:r>
      <w:r w:rsidR="002961DC">
        <w:rPr>
          <w:rFonts w:ascii="Arial" w:hAnsi="Arial" w:cs="Arial"/>
        </w:rPr>
        <w:t xml:space="preserve">  </w:t>
      </w:r>
      <w:r w:rsidRPr="0005129B">
        <w:rPr>
          <w:rFonts w:ascii="Arial" w:hAnsi="Arial" w:cs="Arial"/>
        </w:rPr>
        <w:t>Odstoupení od smlouvy je účinné dnem jeho doručení druhé smluvní straně.</w:t>
      </w:r>
    </w:p>
    <w:p w:rsidR="000C2306" w:rsidRDefault="000C2306" w:rsidP="009F5611">
      <w:pPr>
        <w:pStyle w:val="Seznam2"/>
        <w:ind w:left="0" w:firstLine="0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Článek IX.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Oprávnění k jednání</w:t>
      </w:r>
    </w:p>
    <w:p w:rsidR="00F33AA0" w:rsidRPr="0005129B" w:rsidRDefault="00F33AA0" w:rsidP="00F33AA0">
      <w:pPr>
        <w:pStyle w:val="Seznam2"/>
        <w:ind w:left="540" w:hanging="540"/>
        <w:jc w:val="center"/>
        <w:rPr>
          <w:rFonts w:ascii="Arial" w:hAnsi="Arial" w:cs="Arial"/>
          <w:b/>
        </w:rPr>
      </w:pPr>
    </w:p>
    <w:p w:rsidR="00F33AA0" w:rsidRPr="0005129B" w:rsidRDefault="00F33AA0" w:rsidP="00F33AA0">
      <w:pPr>
        <w:pStyle w:val="Seznam2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Osoba oprávněná jednat za objednatele: </w:t>
      </w:r>
      <w:r w:rsidR="00600283">
        <w:rPr>
          <w:rFonts w:ascii="Arial" w:hAnsi="Arial" w:cs="Arial"/>
        </w:rPr>
        <w:t xml:space="preserve">František Mikulička </w:t>
      </w:r>
      <w:r w:rsidRPr="0005129B">
        <w:rPr>
          <w:rFonts w:ascii="Arial" w:hAnsi="Arial" w:cs="Arial"/>
        </w:rPr>
        <w:t xml:space="preserve"> tel.</w:t>
      </w:r>
      <w:r w:rsidR="00600283">
        <w:rPr>
          <w:rFonts w:ascii="Arial" w:hAnsi="Arial" w:cs="Arial"/>
        </w:rPr>
        <w:t>577 043 226</w:t>
      </w:r>
      <w:r w:rsidRPr="0005129B">
        <w:rPr>
          <w:rFonts w:ascii="Arial" w:hAnsi="Arial" w:cs="Arial"/>
        </w:rPr>
        <w:t xml:space="preserve"> </w:t>
      </w:r>
    </w:p>
    <w:p w:rsidR="00F33AA0" w:rsidRPr="0005129B" w:rsidRDefault="00F33AA0" w:rsidP="00F33AA0">
      <w:pPr>
        <w:pStyle w:val="Seznam2"/>
        <w:tabs>
          <w:tab w:val="left" w:pos="284"/>
        </w:tabs>
        <w:ind w:left="142" w:firstLine="0"/>
        <w:jc w:val="both"/>
        <w:rPr>
          <w:rFonts w:ascii="Arial" w:hAnsi="Arial" w:cs="Arial"/>
        </w:rPr>
      </w:pPr>
    </w:p>
    <w:p w:rsidR="00F33AA0" w:rsidRDefault="00F33AA0" w:rsidP="00F33AA0">
      <w:pPr>
        <w:pStyle w:val="Seznam2"/>
        <w:ind w:left="0" w:firstLine="0"/>
        <w:jc w:val="both"/>
        <w:rPr>
          <w:rFonts w:ascii="Arial" w:hAnsi="Arial" w:cs="Arial"/>
        </w:rPr>
      </w:pPr>
      <w:r w:rsidRPr="0005129B">
        <w:rPr>
          <w:rFonts w:ascii="Arial" w:hAnsi="Arial" w:cs="Arial"/>
        </w:rPr>
        <w:t xml:space="preserve">2. Osoba oprávněná jednat za zhotovitele: </w:t>
      </w:r>
      <w:r w:rsidR="00337A1D">
        <w:rPr>
          <w:rFonts w:ascii="Arial" w:hAnsi="Arial" w:cs="Arial"/>
        </w:rPr>
        <w:t>Petr Polášek tel. 603 548</w:t>
      </w:r>
      <w:r w:rsidR="001C3F32">
        <w:rPr>
          <w:rFonts w:ascii="Arial" w:hAnsi="Arial" w:cs="Arial"/>
        </w:rPr>
        <w:t> </w:t>
      </w:r>
      <w:r w:rsidR="00337A1D">
        <w:rPr>
          <w:rFonts w:ascii="Arial" w:hAnsi="Arial" w:cs="Arial"/>
        </w:rPr>
        <w:t>945</w:t>
      </w:r>
    </w:p>
    <w:p w:rsidR="001C3F32" w:rsidRPr="0005129B" w:rsidRDefault="001C3F32" w:rsidP="00F33AA0">
      <w:pPr>
        <w:pStyle w:val="Seznam2"/>
        <w:ind w:left="0" w:firstLine="0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jc w:val="both"/>
        <w:rPr>
          <w:rFonts w:ascii="Arial" w:hAnsi="Arial" w:cs="Arial"/>
        </w:rPr>
      </w:pPr>
    </w:p>
    <w:p w:rsidR="00F33AA0" w:rsidRPr="0005129B" w:rsidRDefault="00F33AA0" w:rsidP="00F33AA0">
      <w:pPr>
        <w:pStyle w:val="Seznam2"/>
        <w:jc w:val="both"/>
        <w:rPr>
          <w:rFonts w:ascii="Arial" w:hAnsi="Arial" w:cs="Arial"/>
        </w:rPr>
      </w:pPr>
    </w:p>
    <w:p w:rsidR="00F33AA0" w:rsidRPr="0005129B" w:rsidRDefault="000C2306" w:rsidP="000C2306">
      <w:pPr>
        <w:pStyle w:val="Seznam2"/>
        <w:ind w:left="540" w:hanging="14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</w:t>
      </w:r>
      <w:r w:rsidR="00F33AA0" w:rsidRPr="0005129B">
        <w:rPr>
          <w:rFonts w:ascii="Arial" w:hAnsi="Arial" w:cs="Arial"/>
          <w:b/>
        </w:rPr>
        <w:t>Článek X.</w:t>
      </w:r>
    </w:p>
    <w:p w:rsidR="00F33AA0" w:rsidRPr="0005129B" w:rsidRDefault="00F33AA0" w:rsidP="000C2306">
      <w:pPr>
        <w:pStyle w:val="Seznam2"/>
        <w:ind w:left="540" w:hanging="540"/>
        <w:jc w:val="center"/>
        <w:rPr>
          <w:rFonts w:ascii="Arial" w:hAnsi="Arial" w:cs="Arial"/>
          <w:b/>
        </w:rPr>
      </w:pPr>
      <w:r w:rsidRPr="0005129B">
        <w:rPr>
          <w:rFonts w:ascii="Arial" w:hAnsi="Arial" w:cs="Arial"/>
          <w:b/>
        </w:rPr>
        <w:t>Závěrečná ustanovení</w:t>
      </w:r>
    </w:p>
    <w:p w:rsidR="00F33AA0" w:rsidRDefault="00F33AA0" w:rsidP="00F33AA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eastAsia="Calibri" w:hAnsi="Arial" w:cs="Arial"/>
        </w:rPr>
      </w:pPr>
      <w:r w:rsidRPr="0005129B">
        <w:rPr>
          <w:rFonts w:ascii="Arial" w:eastAsia="Calibri" w:hAnsi="Arial" w:cs="Arial"/>
        </w:rPr>
        <w:t>1. Smluvní strany prohlašují, že smlouvu před jejím podpisem pozorně přečetly, že porozuměly jejímu obsahu a se smlouvou tak, jak je sepsána bez výhrad souhlasí, na důkaz čehož připojují své podpisy.</w:t>
      </w:r>
    </w:p>
    <w:p w:rsidR="007D65E4" w:rsidRDefault="007D65E4" w:rsidP="007D65E4">
      <w:pPr>
        <w:pStyle w:val="Zkladntext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Dodavatel souhlasí s uveřejněním této smlouvy, včetně všech změn a dodatků,    v souladu se zákonem č. </w:t>
      </w:r>
      <w:r w:rsidR="00E76E21">
        <w:rPr>
          <w:rFonts w:ascii="Arial" w:hAnsi="Arial" w:cs="Arial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>/</w:t>
      </w:r>
      <w:r w:rsidR="00E76E21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 xml:space="preserve">Sb., o </w:t>
      </w:r>
      <w:r w:rsidR="00E76E21">
        <w:rPr>
          <w:rFonts w:ascii="Arial" w:hAnsi="Arial" w:cs="Arial"/>
          <w:sz w:val="24"/>
          <w:szCs w:val="24"/>
        </w:rPr>
        <w:t xml:space="preserve">zadávání </w:t>
      </w:r>
      <w:r>
        <w:rPr>
          <w:rFonts w:ascii="Arial" w:hAnsi="Arial" w:cs="Arial"/>
          <w:sz w:val="24"/>
          <w:szCs w:val="24"/>
        </w:rPr>
        <w:t>veřejných zakáz</w:t>
      </w:r>
      <w:r w:rsidR="00E76E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k, zákonem </w:t>
      </w:r>
      <w:r w:rsidR="00CB7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registru smluv) a ostatními příslušnými právními předpisy.</w:t>
      </w:r>
    </w:p>
    <w:p w:rsidR="007D65E4" w:rsidRPr="007D65E4" w:rsidRDefault="007D65E4" w:rsidP="007D65E4">
      <w:pPr>
        <w:pStyle w:val="Zkladntext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Smluvní strany prohlašují, že žádná část smlouvy nenaplňuje znaky obchodního tajemství dle § 504 zákona č. 89/2012 Sb., občanský zákoník, ve znění pozdějších předpisů. Dodavatel souhlasí se zpracováním osobních údajů v souladu se zákonem č. 101/2000 Sb., o ochraně osobních údajů a o změně některých zákonů, v platném znění.</w:t>
      </w:r>
    </w:p>
    <w:p w:rsidR="007D65E4" w:rsidRPr="0005129B" w:rsidRDefault="007631CE" w:rsidP="00F33AA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4.Tato smlouva je vyhotovena ve </w:t>
      </w:r>
      <w:r w:rsidR="009F5611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stejnopisech s platností originálu, podepsaných oprávněnými zástupci obou smluvních stran, z nichž objednatel obdrží 3 vyhotovení a dodavatel 1 vyhotovení.</w:t>
      </w:r>
    </w:p>
    <w:p w:rsidR="00F33AA0" w:rsidRPr="0005129B" w:rsidRDefault="007631CE" w:rsidP="00F33AA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F33AA0" w:rsidRPr="0005129B">
        <w:rPr>
          <w:rFonts w:ascii="Arial" w:eastAsia="Calibri" w:hAnsi="Arial" w:cs="Arial"/>
        </w:rPr>
        <w:t>. Smlouvu lze měnit pouze po vzájemné dohodě smluvních</w:t>
      </w:r>
      <w:r w:rsidR="002F5643">
        <w:rPr>
          <w:rFonts w:ascii="Arial" w:eastAsia="Calibri" w:hAnsi="Arial" w:cs="Arial"/>
        </w:rPr>
        <w:t xml:space="preserve"> stran</w:t>
      </w:r>
      <w:r w:rsidR="00F33AA0" w:rsidRPr="0005129B">
        <w:rPr>
          <w:rFonts w:ascii="Arial" w:eastAsia="Calibri" w:hAnsi="Arial" w:cs="Arial"/>
        </w:rPr>
        <w:t xml:space="preserve"> formou písemných dodatků podepsaných oběma smluvními stranami. </w:t>
      </w:r>
    </w:p>
    <w:p w:rsidR="00F33AA0" w:rsidRPr="0005129B" w:rsidRDefault="007631CE" w:rsidP="00F33AA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F33AA0" w:rsidRPr="0005129B">
        <w:rPr>
          <w:rFonts w:ascii="Arial" w:eastAsia="Calibri" w:hAnsi="Arial" w:cs="Arial"/>
        </w:rPr>
        <w:t xml:space="preserve">. Smlouva nabývá platnosti dnem jejího podpisu smluvními stranami </w:t>
      </w:r>
      <w:r w:rsidR="00B90A62" w:rsidRPr="0005129B">
        <w:rPr>
          <w:rFonts w:ascii="Arial" w:eastAsia="Calibri" w:hAnsi="Arial" w:cs="Arial"/>
        </w:rPr>
        <w:t>a účinnosti</w:t>
      </w:r>
      <w:r w:rsidR="00B90A62">
        <w:rPr>
          <w:rFonts w:ascii="Arial" w:eastAsia="Calibri" w:hAnsi="Arial" w:cs="Arial"/>
        </w:rPr>
        <w:t xml:space="preserve"> zveřejněním v registru smluv</w:t>
      </w:r>
      <w:r w:rsidR="00F33AA0" w:rsidRPr="0005129B">
        <w:rPr>
          <w:rFonts w:ascii="Arial" w:eastAsia="Calibri" w:hAnsi="Arial" w:cs="Arial"/>
        </w:rPr>
        <w:t xml:space="preserve">. </w:t>
      </w:r>
    </w:p>
    <w:p w:rsidR="00F33AA0" w:rsidRPr="0005129B" w:rsidRDefault="00F33AA0" w:rsidP="00F33A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</w:p>
    <w:p w:rsidR="00F33AA0" w:rsidRDefault="00F33AA0" w:rsidP="007E62E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 w:rsidRPr="0005129B">
        <w:rPr>
          <w:rFonts w:ascii="Arial" w:eastAsia="Calibri" w:hAnsi="Arial" w:cs="Arial"/>
        </w:rPr>
        <w:t xml:space="preserve">Přílohy: č. 1 </w:t>
      </w:r>
      <w:r w:rsidR="009F5611">
        <w:rPr>
          <w:rFonts w:ascii="Arial" w:eastAsia="Calibri" w:hAnsi="Arial" w:cs="Arial"/>
        </w:rPr>
        <w:t>Položkový rozpočet</w:t>
      </w:r>
      <w:r w:rsidR="00B56A8B">
        <w:rPr>
          <w:rFonts w:ascii="Arial" w:eastAsia="Calibri" w:hAnsi="Arial" w:cs="Arial"/>
        </w:rPr>
        <w:t>.</w:t>
      </w:r>
      <w:r w:rsidR="007E62E3">
        <w:rPr>
          <w:rFonts w:ascii="Arial" w:eastAsia="Calibri" w:hAnsi="Arial" w:cs="Arial"/>
        </w:rPr>
        <w:t xml:space="preserve"> </w:t>
      </w:r>
    </w:p>
    <w:p w:rsidR="00B90A62" w:rsidRPr="0005129B" w:rsidRDefault="00B90A62" w:rsidP="007E62E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   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634F12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634F12">
        <w:rPr>
          <w:rFonts w:ascii="Arial" w:hAnsi="Arial" w:cs="Arial"/>
          <w:sz w:val="22"/>
          <w:szCs w:val="22"/>
        </w:rPr>
        <w:t>Rozhodnuto orgánem kraje:   Rada Zlínského kraje</w:t>
      </w:r>
    </w:p>
    <w:p w:rsidR="00E53899" w:rsidRPr="00634F12" w:rsidRDefault="00E53899" w:rsidP="00E5389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634F12">
        <w:rPr>
          <w:rFonts w:ascii="Arial" w:hAnsi="Arial" w:cs="Arial"/>
          <w:sz w:val="22"/>
          <w:szCs w:val="22"/>
        </w:rPr>
        <w:t>Datum a číslo jednací:</w:t>
      </w:r>
    </w:p>
    <w:p w:rsidR="004558C1" w:rsidRDefault="004558C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4558C1" w:rsidRDefault="006E2177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 Zlíně dne</w:t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D6186">
        <w:rPr>
          <w:rFonts w:ascii="Arial" w:eastAsia="Calibri" w:hAnsi="Arial" w:cs="Arial"/>
        </w:rPr>
        <w:t xml:space="preserve">Ve Zlíně dne </w:t>
      </w:r>
    </w:p>
    <w:p w:rsidR="000E4CE0" w:rsidRDefault="000E4CE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05129B">
        <w:rPr>
          <w:rFonts w:ascii="Arial" w:eastAsia="Calibri" w:hAnsi="Arial" w:cs="Arial"/>
        </w:rPr>
        <w:t xml:space="preserve">Za </w:t>
      </w:r>
      <w:r w:rsidR="000C2306">
        <w:rPr>
          <w:rFonts w:ascii="Arial" w:eastAsia="Calibri" w:hAnsi="Arial" w:cs="Arial"/>
        </w:rPr>
        <w:t>objednatele</w:t>
      </w:r>
      <w:r w:rsidRPr="0005129B">
        <w:rPr>
          <w:rFonts w:ascii="Arial" w:eastAsia="Calibri" w:hAnsi="Arial" w:cs="Arial"/>
        </w:rPr>
        <w:t xml:space="preserve">:                                                  </w:t>
      </w:r>
      <w:r w:rsidR="004558C1">
        <w:rPr>
          <w:rFonts w:ascii="Arial" w:eastAsia="Calibri" w:hAnsi="Arial" w:cs="Arial"/>
        </w:rPr>
        <w:t>Za zhotovitele:</w:t>
      </w:r>
      <w:r w:rsidRPr="0005129B">
        <w:rPr>
          <w:rFonts w:ascii="Arial" w:eastAsia="Calibri" w:hAnsi="Arial" w:cs="Arial"/>
        </w:rPr>
        <w:t xml:space="preserve"> </w:t>
      </w:r>
    </w:p>
    <w:p w:rsidR="000C2306" w:rsidRDefault="000C2306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0C2306" w:rsidRDefault="000C2306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CA5191" w:rsidRDefault="00CA519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</w:p>
    <w:p w:rsidR="00CA5191" w:rsidRPr="00E3295D" w:rsidRDefault="000E4CE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E3295D">
        <w:rPr>
          <w:rFonts w:ascii="Arial" w:eastAsia="Calibri" w:hAnsi="Arial" w:cs="Arial"/>
        </w:rPr>
        <w:t>……………………….</w:t>
      </w:r>
    </w:p>
    <w:p w:rsidR="004558C1" w:rsidRDefault="004558C1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 w:rsidRPr="00E3295D">
        <w:rPr>
          <w:rFonts w:ascii="Arial" w:eastAsia="Calibri" w:hAnsi="Arial" w:cs="Arial"/>
        </w:rPr>
        <w:t>Jiří Čunek</w:t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0E4CE0">
        <w:rPr>
          <w:rFonts w:ascii="Arial" w:eastAsia="Calibri" w:hAnsi="Arial" w:cs="Arial"/>
        </w:rPr>
        <w:tab/>
      </w:r>
      <w:r w:rsidR="00E3295D">
        <w:rPr>
          <w:rFonts w:ascii="Arial" w:eastAsia="Calibri" w:hAnsi="Arial" w:cs="Arial"/>
        </w:rPr>
        <w:tab/>
        <w:t>Petr Polášek</w:t>
      </w:r>
    </w:p>
    <w:p w:rsidR="00F33AA0" w:rsidRPr="0005129B" w:rsidRDefault="00E3295D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</w:t>
      </w:r>
      <w:r w:rsidR="004558C1">
        <w:rPr>
          <w:rFonts w:ascii="Arial" w:eastAsia="Calibri" w:hAnsi="Arial" w:cs="Arial"/>
        </w:rPr>
        <w:t>ejtman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jednatel společnosti</w:t>
      </w:r>
    </w:p>
    <w:p w:rsidR="00F33AA0" w:rsidRPr="00DF470C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F33AA0" w:rsidRPr="00DF470C" w:rsidRDefault="00F33AA0" w:rsidP="00F33AA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B06DDC" w:rsidRDefault="00F33AA0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  <w:r w:rsidRPr="00DF470C">
        <w:rPr>
          <w:rFonts w:eastAsia="Calibri"/>
          <w:szCs w:val="20"/>
        </w:rPr>
        <w:tab/>
      </w:r>
      <w:r w:rsidRPr="00DF470C">
        <w:rPr>
          <w:rFonts w:eastAsia="Calibri"/>
          <w:szCs w:val="20"/>
        </w:rPr>
        <w:tab/>
        <w:t xml:space="preserve">                  </w:t>
      </w:r>
    </w:p>
    <w:p w:rsidR="00891A5B" w:rsidRDefault="00891A5B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891A5B" w:rsidRDefault="00891A5B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891A5B" w:rsidRDefault="00891A5B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p w:rsidR="002F77A7" w:rsidRDefault="002F77A7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  <w:sectPr w:rsidR="002F77A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77A7" w:rsidRDefault="002F77A7" w:rsidP="000C230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0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420"/>
        <w:gridCol w:w="1280"/>
        <w:gridCol w:w="1200"/>
        <w:gridCol w:w="1239"/>
        <w:gridCol w:w="1515"/>
        <w:gridCol w:w="1418"/>
        <w:gridCol w:w="567"/>
      </w:tblGrid>
      <w:tr w:rsidR="002F77A7" w:rsidRPr="002F77A7" w:rsidTr="002F77A7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2F77A7">
              <w:rPr>
                <w:rFonts w:ascii="Arial CE" w:hAnsi="Arial CE" w:cs="Arial CE"/>
                <w:b/>
                <w:bCs/>
                <w:sz w:val="28"/>
                <w:szCs w:val="28"/>
              </w:rPr>
              <w:t>Soupis stavebních prací, dodávek a služeb</w:t>
            </w:r>
          </w:p>
        </w:tc>
      </w:tr>
      <w:tr w:rsidR="002F77A7" w:rsidRPr="002F77A7" w:rsidTr="002F77A7">
        <w:trPr>
          <w:trHeight w:val="72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40"/>
              <w:rPr>
                <w:rFonts w:ascii="Arial CE" w:hAnsi="Arial CE" w:cs="Arial CE"/>
              </w:rPr>
            </w:pPr>
            <w:r w:rsidRPr="002F77A7">
              <w:rPr>
                <w:rFonts w:ascii="Arial CE" w:hAnsi="Arial CE" w:cs="Arial CE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</w:rPr>
            </w:pPr>
            <w:bookmarkStart w:id="1" w:name="RANGE!D2"/>
            <w:r w:rsidRPr="002F77A7">
              <w:rPr>
                <w:rFonts w:ascii="Arial CE" w:hAnsi="Arial CE" w:cs="Arial CE"/>
                <w:b/>
                <w:bCs/>
              </w:rPr>
              <w:t>591707</w:t>
            </w:r>
            <w:bookmarkEnd w:id="1"/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</w:rPr>
            </w:pPr>
            <w:bookmarkStart w:id="2" w:name="RANGE!E2"/>
            <w:r w:rsidRPr="002F77A7">
              <w:rPr>
                <w:rFonts w:ascii="Arial CE" w:hAnsi="Arial CE" w:cs="Arial CE"/>
                <w:b/>
                <w:bCs/>
              </w:rPr>
              <w:t>Stavební úpravy objektu administrativní budovy ve Zlíně</w:t>
            </w:r>
            <w:bookmarkEnd w:id="2"/>
          </w:p>
        </w:tc>
      </w:tr>
      <w:tr w:rsidR="002F77A7" w:rsidRPr="002F77A7" w:rsidTr="002F77A7">
        <w:trPr>
          <w:trHeight w:val="54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" w:name="RANGE!D3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01</w:t>
            </w:r>
            <w:bookmarkEnd w:id="3"/>
          </w:p>
        </w:tc>
        <w:tc>
          <w:tcPr>
            <w:tcW w:w="72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" w:name="RANGE!E3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Stavební úpravy </w:t>
            </w:r>
            <w:bookmarkEnd w:id="4"/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5" w:name="RANGE!D4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59170701A</w:t>
            </w:r>
            <w:bookmarkEnd w:id="5"/>
          </w:p>
        </w:tc>
        <w:tc>
          <w:tcPr>
            <w:tcW w:w="72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6" w:name="RANGE!E4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Stavební úpravy</w:t>
            </w:r>
            <w:bookmarkEnd w:id="6"/>
          </w:p>
        </w:tc>
      </w:tr>
      <w:tr w:rsidR="002F77A7" w:rsidRPr="002F77A7" w:rsidTr="002F77A7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Zadavatel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7" w:name="RANGE!D5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Zlínský kraj</w:t>
            </w:r>
            <w:bookmarkEnd w:id="7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8" w:name="RANGE!I5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70891320</w:t>
            </w:r>
            <w:bookmarkEnd w:id="8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9" w:name="RANGE!D6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Třída Tomáše Bati 21</w:t>
            </w:r>
            <w:bookmarkEnd w:id="9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0" w:name="RANGE!I6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CZ70891320</w:t>
            </w:r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1" w:name="RANGE!C7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76001</w:t>
            </w:r>
            <w:bookmarkEnd w:id="11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2" w:name="RANGE!D7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Zlín</w:t>
            </w:r>
            <w:bookmarkEnd w:id="12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MNO spol. s r.o.</w:t>
            </w:r>
            <w:bookmarkEnd w:id="19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0" w:name="RANGE!I11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60709677</w:t>
            </w:r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proofErr w:type="spellStart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Prtné</w:t>
            </w:r>
            <w:proofErr w:type="spellEnd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, Náves 57, 760 01 Zlín</w:t>
            </w:r>
            <w:bookmarkEnd w:id="21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2" w:name="RANGE!I12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CZ60709677</w:t>
            </w:r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3" w:name="RANGE!C13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4" w:name="RANGE!D13:G13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4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2F77A7" w:rsidRPr="002F77A7" w:rsidTr="002F77A7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2F77A7" w:rsidRPr="002F77A7" w:rsidTr="002F77A7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2 130 896,41</w:t>
            </w:r>
          </w:p>
        </w:tc>
      </w:tr>
      <w:tr w:rsidR="002F77A7" w:rsidRPr="002F77A7" w:rsidTr="002F77A7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125 000,00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sz w:val="22"/>
                <w:szCs w:val="22"/>
              </w:rPr>
              <w:t>75 000,00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2 330 896,41</w:t>
            </w:r>
          </w:p>
        </w:tc>
      </w:tr>
      <w:tr w:rsidR="002F77A7" w:rsidRPr="002F77A7" w:rsidTr="002F77A7">
        <w:trPr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5" w:name="RANGE!D14"/>
            <w:bookmarkStart w:id="26" w:name="RANGE!E23"/>
            <w:bookmarkEnd w:id="25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  <w:bookmarkEnd w:id="26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7" w:name="RANGE!G23"/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8" w:name="RANGE!G24"/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2F77A7" w:rsidRPr="002F77A7" w:rsidTr="002F77A7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9" w:name="RANGE!E25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0" w:name="RANGE!G25"/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2 330 896,41</w:t>
            </w:r>
            <w:bookmarkEnd w:id="3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4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1" w:name="RANGE!G26"/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489 488,25</w:t>
            </w:r>
            <w:bookmarkEnd w:id="3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2F77A7" w:rsidRPr="002F77A7" w:rsidTr="002F77A7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2" w:name="RANGE!G27"/>
            <w:r w:rsidRPr="002F77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2F77A7" w:rsidRPr="002F77A7" w:rsidTr="002F77A7">
        <w:trPr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2F77A7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1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3" w:name="RANGE!G28"/>
            <w:bookmarkStart w:id="34" w:name="RANGE!G29"/>
            <w:bookmarkEnd w:id="33"/>
            <w:r w:rsidRPr="002F77A7">
              <w:rPr>
                <w:rFonts w:ascii="Arial CE" w:hAnsi="Arial CE" w:cs="Arial CE"/>
                <w:b/>
                <w:bCs/>
                <w:sz w:val="26"/>
                <w:szCs w:val="26"/>
              </w:rPr>
              <w:t>2 820 384,66</w:t>
            </w:r>
            <w:bookmarkEnd w:id="34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5" w:name="RANGE!J29"/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  <w:bookmarkEnd w:id="35"/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6" w:name="_GoBack"/>
            <w:bookmarkEnd w:id="3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F77A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</w:tr>
      <w:tr w:rsidR="002F77A7" w:rsidRPr="002F77A7" w:rsidTr="002F77A7">
        <w:trPr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</w:rPr>
            </w:pPr>
            <w:r w:rsidRPr="002F77A7"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</w:tr>
      <w:tr w:rsidR="002F77A7" w:rsidRPr="002F77A7" w:rsidTr="002F77A7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7A7" w:rsidRPr="002F77A7" w:rsidRDefault="002F77A7" w:rsidP="002F77A7">
            <w:pPr>
              <w:rPr>
                <w:sz w:val="20"/>
                <w:szCs w:val="20"/>
              </w:rPr>
            </w:pP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783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Nátěry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1 860 461,40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80</w:t>
            </w: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787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Zasklívání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270 435,01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ON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Ostatní náklady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75 000,00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</w:tr>
      <w:tr w:rsidR="002F77A7" w:rsidRPr="002F77A7" w:rsidTr="002F77A7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2 330 896,41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F77A7" w:rsidRPr="002F77A7" w:rsidRDefault="002F77A7" w:rsidP="002F77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2F77A7"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</w:tr>
    </w:tbl>
    <w:p w:rsidR="002F77A7" w:rsidRDefault="002F77A7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  <w:sectPr w:rsidR="009C4AF8" w:rsidSect="002F77A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C4AF8" w:rsidRDefault="009C4AF8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14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93"/>
        <w:gridCol w:w="5978"/>
        <w:gridCol w:w="656"/>
        <w:gridCol w:w="1257"/>
        <w:gridCol w:w="1091"/>
        <w:gridCol w:w="1460"/>
        <w:gridCol w:w="736"/>
        <w:gridCol w:w="976"/>
        <w:gridCol w:w="896"/>
      </w:tblGrid>
      <w:tr w:rsidR="009C4AF8" w:rsidRPr="009C4AF8" w:rsidTr="009C4AF8">
        <w:trPr>
          <w:trHeight w:val="315"/>
        </w:trPr>
        <w:tc>
          <w:tcPr>
            <w:tcW w:w="1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C4AF8">
              <w:rPr>
                <w:rFonts w:ascii="Arial CE" w:hAnsi="Arial CE" w:cs="Arial CE"/>
                <w:b/>
                <w:bCs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50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591707</w:t>
            </w: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Stavební úpravy objektu administrativní budovy ve Zlíně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50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01</w:t>
            </w: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 xml:space="preserve">Stavební úpravy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50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59170701A</w:t>
            </w: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Stavební úpravy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7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9C4AF8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9C4AF8">
              <w:rPr>
                <w:rFonts w:ascii="Arial CE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 xml:space="preserve">Cen. </w:t>
            </w:r>
            <w:proofErr w:type="gramStart"/>
            <w:r w:rsidRPr="009C4AF8">
              <w:rPr>
                <w:rFonts w:ascii="Arial CE" w:hAnsi="Arial CE" w:cs="Arial CE"/>
                <w:sz w:val="20"/>
                <w:szCs w:val="20"/>
              </w:rPr>
              <w:t>soustava</w:t>
            </w:r>
            <w:proofErr w:type="gramEnd"/>
            <w:r w:rsidRPr="009C4AF8">
              <w:rPr>
                <w:rFonts w:ascii="Arial CE" w:hAnsi="Arial CE" w:cs="Arial CE"/>
                <w:sz w:val="20"/>
                <w:szCs w:val="20"/>
              </w:rPr>
              <w:t xml:space="preserve"> / platnost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sz w:val="20"/>
                <w:szCs w:val="20"/>
              </w:rPr>
              <w:t>Cenová úroveň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1 860 461,40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78320101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Odstranění nátěrů z rámů oken,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3 796,86000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125,00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474 607,50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odměřeno z DWG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101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5,5*3,0*32+6,3*66,2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945,06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102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5,5*3,0*11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181,5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103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2,4*3,0*28+3,6*3,0+5,5*3,0*28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674,4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104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5,5*3,0*16+5,55*66,2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631,41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105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5,5*3,0*54+1,6*3,3+5,55*66,2+2,4*3,0*14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1364,49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78320102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Nátěr oken syntetický 2x základ, 3 x email,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3 796,86000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365,00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1 385 853,90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Položka pořadí 1 : 3796,86000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3796,86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Zasklívání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270 435,01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787600801R01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Vysklívání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oken o ploše do 1 m2,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35,49840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12 424,44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odměřeno z DWG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1,54*0,56*21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18,1104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1,35*0,56*23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17,388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787622280R01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Zasklívání oken s </w:t>
            </w: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podtmelením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a zatmelením,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35,49840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590,00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20 944,06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Položka pořadí 3 : 35,49840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35,4984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4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lastRenderedPageBreak/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787600901R01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Oprava zasklívání oken - přetmelení s odstraněním starého tmelu,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4 778,94600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186 378,89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odměřeno z DWG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Začátek provozního součtu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</w:t>
            </w:r>
            <w:proofErr w:type="spellStart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101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((1,6+0,57)*2*15)*32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2083,2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(1,54+0,56)*2*448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1881,6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</w:t>
            </w:r>
            <w:proofErr w:type="spellStart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102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((1,6+0,57)*2*15)*11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716,1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</w:t>
            </w:r>
            <w:proofErr w:type="spellStart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103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((1,12+0,57)*2*10)*14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473,2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(1,6+0,57)*2*10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43,4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(1,6+0,57)*2*15*28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1822,8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((1,6+0,57)*2*5)*14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303,8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</w:t>
            </w:r>
            <w:proofErr w:type="spellStart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104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((1,6+0,57)*2*15)*16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1041,6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(1,35+0,56)*2*468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1787,76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</w:t>
            </w:r>
            <w:proofErr w:type="spellStart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vč</w:t>
            </w:r>
            <w:proofErr w:type="spellEnd"/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105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((1,6+0,57)*2*15)*54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3515,4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(1,35+0,56)*2*468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1787,76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((1,12+0,57)*2*10)*14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473,2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DE3801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DE3801"/>
                <w:sz w:val="16"/>
                <w:szCs w:val="16"/>
              </w:rPr>
              <w:t xml:space="preserve">  Mezisoučet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DE3801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DE3801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DE3801"/>
                <w:sz w:val="16"/>
                <w:szCs w:val="16"/>
              </w:rPr>
              <w:t>15929,82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DE380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80"/>
                <w:sz w:val="16"/>
                <w:szCs w:val="16"/>
              </w:rPr>
              <w:t>Konec provozního součtu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rozsah oprav </w:t>
            </w: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30% : 15929,82*0,3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4778,946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998787206R01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Přesun hmot pro zasklívání, práce ze závěsné plošiny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37 500,00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Ceny z položek s pořadovými čísly: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3,4,5, :</w:t>
            </w:r>
            <w:proofErr w:type="gram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Součet: : 3625,67780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3625,6778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979011211R01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Svislá doprava suti, práce ze závěsné plošiny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2 900,00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1 029,44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Demontážní hmotnosti z položek s pořadovými čísly: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3, :</w:t>
            </w:r>
            <w:proofErr w:type="gram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Součet: : 0,35498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2 800,00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993,94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rts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17/I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RTS 17/ I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Demontážní hmotnosti z položek s pořadovými čísly: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3, :</w:t>
            </w:r>
            <w:proofErr w:type="gram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Součet: : 0,35498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lastRenderedPageBreak/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6,74470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10 117,05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rts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17/I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RTS 17/ I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Demontážní hmotnosti z položek s pořadovými čísly: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3, :</w:t>
            </w:r>
            <w:proofErr w:type="gram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Součet: : 6,74470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6,7447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979990162R01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suti - sklo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2 950,00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1 047,19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RTS 17/ I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Demontážní hmotnosti z položek s pořadovými čísly: 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3, :</w:t>
            </w:r>
            <w:proofErr w:type="gramEnd"/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Součet: : 0,35498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00FF"/>
                <w:sz w:val="16"/>
                <w:szCs w:val="16"/>
              </w:rPr>
              <w:t>0,35498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005121 R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Zařízení staveniště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50 000,00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rts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17/I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00"/>
                <w:sz w:val="16"/>
                <w:szCs w:val="16"/>
              </w:rPr>
              <w:t>Veškeré náklady spojené s vybudováním, provozem a odstraněním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005122 R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Provozní vlivy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75 000,00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rts</w:t>
            </w:r>
            <w:proofErr w:type="spellEnd"/>
            <w:r w:rsidRPr="009C4AF8">
              <w:rPr>
                <w:rFonts w:ascii="Arial CE" w:hAnsi="Arial CE" w:cs="Arial CE"/>
                <w:sz w:val="16"/>
                <w:szCs w:val="16"/>
              </w:rPr>
              <w:t xml:space="preserve"> 17/I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11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00"/>
                <w:sz w:val="16"/>
                <w:szCs w:val="16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 Po dobu stavebních a montážních prací bude na stavbě průběžně prováděn úklid. Finální úpravy povrchů stavebních konstrukcí a zabudovaných výrobků budou chráněny před poškozením následně prováděnými pracemi. Na staveniště bude po domluvě s investorem umístěno patřičné znamení se zákazem pohybu nepovolaným (třetím) osobám.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Ostatní náklady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0092T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Vedlejší náklady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75 000,00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C4AF8"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9C4AF8" w:rsidRPr="009C4AF8" w:rsidTr="009C4AF8">
        <w:trPr>
          <w:trHeight w:val="67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9C4AF8">
              <w:rPr>
                <w:rFonts w:ascii="Arial CE" w:hAnsi="Arial CE" w:cs="Arial CE"/>
                <w:color w:val="008000"/>
                <w:sz w:val="16"/>
                <w:szCs w:val="16"/>
              </w:rPr>
              <w:t>Ostatními náklady dodavatele spojené se splněním povinností dodavatele vyplývajících z obchodních či jiných podmínek zadávací dokumentace. Specifikace nového zasklení: bude stanovena podmínka na předložení vzorku skla a jeho porovnání se stávajícím zasklením. Bude předložen k posouzení vzorový úsek nátěru oken, pro posouzení shodné barevnosti.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C4AF8">
              <w:rPr>
                <w:rFonts w:ascii="Arial CE" w:hAnsi="Arial CE" w:cs="Arial CE"/>
                <w:b/>
                <w:bCs/>
                <w:sz w:val="20"/>
                <w:szCs w:val="20"/>
              </w:rPr>
              <w:t>2 330 896,41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  <w:tr w:rsidR="009C4AF8" w:rsidRPr="009C4AF8" w:rsidTr="009C4AF8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AF8" w:rsidRPr="009C4AF8" w:rsidRDefault="009C4AF8" w:rsidP="009C4AF8">
            <w:pPr>
              <w:rPr>
                <w:sz w:val="20"/>
                <w:szCs w:val="20"/>
              </w:rPr>
            </w:pPr>
          </w:p>
        </w:tc>
      </w:tr>
    </w:tbl>
    <w:p w:rsidR="00891A5B" w:rsidRDefault="00891A5B" w:rsidP="000C2306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891A5B" w:rsidSect="009C4AF8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06" w:rsidRDefault="00B30906" w:rsidP="00744738">
      <w:r>
        <w:separator/>
      </w:r>
    </w:p>
  </w:endnote>
  <w:endnote w:type="continuationSeparator" w:id="0">
    <w:p w:rsidR="00B30906" w:rsidRDefault="00B30906" w:rsidP="0074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3892"/>
      <w:docPartObj>
        <w:docPartGallery w:val="Page Numbers (Bottom of Page)"/>
        <w:docPartUnique/>
      </w:docPartObj>
    </w:sdtPr>
    <w:sdtEndPr/>
    <w:sdtContent>
      <w:p w:rsidR="00B02F0F" w:rsidRDefault="00B02F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F1">
          <w:rPr>
            <w:noProof/>
          </w:rPr>
          <w:t>13</w:t>
        </w:r>
        <w:r>
          <w:fldChar w:fldCharType="end"/>
        </w:r>
      </w:p>
    </w:sdtContent>
  </w:sdt>
  <w:p w:rsidR="00B02F0F" w:rsidRDefault="00B02F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06" w:rsidRDefault="00B30906" w:rsidP="00744738">
      <w:r>
        <w:separator/>
      </w:r>
    </w:p>
  </w:footnote>
  <w:footnote w:type="continuationSeparator" w:id="0">
    <w:p w:rsidR="00B30906" w:rsidRDefault="00B30906" w:rsidP="0074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0F" w:rsidRPr="008B3AC5" w:rsidRDefault="00B02F0F">
    <w:pPr>
      <w:pStyle w:val="Zhlav"/>
      <w:rPr>
        <w:rFonts w:ascii="Arial" w:hAnsi="Arial" w:cs="Arial"/>
        <w:b/>
      </w:rPr>
    </w:pPr>
    <w:r>
      <w:tab/>
    </w:r>
    <w:r>
      <w:tab/>
    </w:r>
    <w:r w:rsidRPr="00355374">
      <w:rPr>
        <w:rFonts w:ascii="Arial" w:hAnsi="Arial" w:cs="Arial"/>
        <w:b/>
      </w:rPr>
      <w:t>D/1804/2017/KŘHS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D21"/>
    <w:multiLevelType w:val="hybridMultilevel"/>
    <w:tmpl w:val="5A62B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ABF"/>
    <w:multiLevelType w:val="hybridMultilevel"/>
    <w:tmpl w:val="7B46C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C79"/>
    <w:multiLevelType w:val="hybridMultilevel"/>
    <w:tmpl w:val="3990C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140D"/>
    <w:multiLevelType w:val="hybridMultilevel"/>
    <w:tmpl w:val="CF720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24E3B"/>
    <w:multiLevelType w:val="hybridMultilevel"/>
    <w:tmpl w:val="F0BE2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7E97"/>
    <w:multiLevelType w:val="hybridMultilevel"/>
    <w:tmpl w:val="94A65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A2A"/>
    <w:multiLevelType w:val="hybridMultilevel"/>
    <w:tmpl w:val="C9F2D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00F6"/>
    <w:multiLevelType w:val="multilevel"/>
    <w:tmpl w:val="93D4993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0D0CBB"/>
    <w:multiLevelType w:val="hybridMultilevel"/>
    <w:tmpl w:val="5DB8BC8C"/>
    <w:lvl w:ilvl="0" w:tplc="BCCED7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1110"/>
    <w:multiLevelType w:val="hybridMultilevel"/>
    <w:tmpl w:val="642698F6"/>
    <w:lvl w:ilvl="0" w:tplc="9AA4F50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BE0BBD"/>
    <w:multiLevelType w:val="hybridMultilevel"/>
    <w:tmpl w:val="75C0CD66"/>
    <w:lvl w:ilvl="0" w:tplc="E9620F40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24756"/>
    <w:multiLevelType w:val="hybridMultilevel"/>
    <w:tmpl w:val="E82A20D0"/>
    <w:lvl w:ilvl="0" w:tplc="6DA25C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C71"/>
    <w:multiLevelType w:val="hybridMultilevel"/>
    <w:tmpl w:val="923A3B84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96A"/>
    <w:multiLevelType w:val="hybridMultilevel"/>
    <w:tmpl w:val="3D9E3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34B"/>
    <w:multiLevelType w:val="hybridMultilevel"/>
    <w:tmpl w:val="2FF07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65CC"/>
    <w:multiLevelType w:val="hybridMultilevel"/>
    <w:tmpl w:val="35F2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34B22"/>
    <w:multiLevelType w:val="hybridMultilevel"/>
    <w:tmpl w:val="1966C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27C33"/>
    <w:multiLevelType w:val="multilevel"/>
    <w:tmpl w:val="20D4E0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8605812"/>
    <w:multiLevelType w:val="hybridMultilevel"/>
    <w:tmpl w:val="52D8B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9BC0532"/>
    <w:multiLevelType w:val="hybridMultilevel"/>
    <w:tmpl w:val="F162E5CE"/>
    <w:lvl w:ilvl="0" w:tplc="C0A63C46">
      <w:start w:val="7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44635"/>
    <w:multiLevelType w:val="hybridMultilevel"/>
    <w:tmpl w:val="5A7CAB8A"/>
    <w:lvl w:ilvl="0" w:tplc="040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21"/>
  </w:num>
  <w:num w:numId="9">
    <w:abstractNumId w:val="1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0"/>
    <w:rsid w:val="00000C2B"/>
    <w:rsid w:val="00003556"/>
    <w:rsid w:val="00005799"/>
    <w:rsid w:val="0000599E"/>
    <w:rsid w:val="00006303"/>
    <w:rsid w:val="00007AFF"/>
    <w:rsid w:val="00010085"/>
    <w:rsid w:val="0001106A"/>
    <w:rsid w:val="000150E6"/>
    <w:rsid w:val="0001623F"/>
    <w:rsid w:val="00023FF9"/>
    <w:rsid w:val="00030CB8"/>
    <w:rsid w:val="00032EB1"/>
    <w:rsid w:val="0003393E"/>
    <w:rsid w:val="00034BBD"/>
    <w:rsid w:val="0003573F"/>
    <w:rsid w:val="0003723F"/>
    <w:rsid w:val="00040889"/>
    <w:rsid w:val="00042B11"/>
    <w:rsid w:val="00043067"/>
    <w:rsid w:val="000432C6"/>
    <w:rsid w:val="00046770"/>
    <w:rsid w:val="000506BC"/>
    <w:rsid w:val="0005129B"/>
    <w:rsid w:val="00051D41"/>
    <w:rsid w:val="00053A1C"/>
    <w:rsid w:val="00060CD5"/>
    <w:rsid w:val="00061A4C"/>
    <w:rsid w:val="00065CE6"/>
    <w:rsid w:val="00065DC7"/>
    <w:rsid w:val="00070853"/>
    <w:rsid w:val="000722D8"/>
    <w:rsid w:val="00077F84"/>
    <w:rsid w:val="0008184E"/>
    <w:rsid w:val="00082C1A"/>
    <w:rsid w:val="0008593E"/>
    <w:rsid w:val="00085C14"/>
    <w:rsid w:val="00085C93"/>
    <w:rsid w:val="000900AC"/>
    <w:rsid w:val="00093FAE"/>
    <w:rsid w:val="000951B1"/>
    <w:rsid w:val="000A03BA"/>
    <w:rsid w:val="000A11E0"/>
    <w:rsid w:val="000A3471"/>
    <w:rsid w:val="000A5ECA"/>
    <w:rsid w:val="000A6DE6"/>
    <w:rsid w:val="000B1255"/>
    <w:rsid w:val="000B1394"/>
    <w:rsid w:val="000B3D92"/>
    <w:rsid w:val="000B4EBC"/>
    <w:rsid w:val="000B6329"/>
    <w:rsid w:val="000C2306"/>
    <w:rsid w:val="000C31EF"/>
    <w:rsid w:val="000C5C4B"/>
    <w:rsid w:val="000C5F27"/>
    <w:rsid w:val="000C627A"/>
    <w:rsid w:val="000C6B7C"/>
    <w:rsid w:val="000C7203"/>
    <w:rsid w:val="000C7F3E"/>
    <w:rsid w:val="000D215D"/>
    <w:rsid w:val="000E29B9"/>
    <w:rsid w:val="000E4CE0"/>
    <w:rsid w:val="000F1F95"/>
    <w:rsid w:val="000F2016"/>
    <w:rsid w:val="000F3865"/>
    <w:rsid w:val="000F5B62"/>
    <w:rsid w:val="00101026"/>
    <w:rsid w:val="00103BEC"/>
    <w:rsid w:val="001049C4"/>
    <w:rsid w:val="00105C5A"/>
    <w:rsid w:val="00105C98"/>
    <w:rsid w:val="001073E5"/>
    <w:rsid w:val="00110425"/>
    <w:rsid w:val="00111D03"/>
    <w:rsid w:val="00111DBC"/>
    <w:rsid w:val="00112A58"/>
    <w:rsid w:val="00113E3F"/>
    <w:rsid w:val="00115549"/>
    <w:rsid w:val="00116827"/>
    <w:rsid w:val="00121409"/>
    <w:rsid w:val="00121F32"/>
    <w:rsid w:val="00124AB5"/>
    <w:rsid w:val="001266B9"/>
    <w:rsid w:val="001270D4"/>
    <w:rsid w:val="00127606"/>
    <w:rsid w:val="00127FC4"/>
    <w:rsid w:val="001333D9"/>
    <w:rsid w:val="00133E99"/>
    <w:rsid w:val="0014205A"/>
    <w:rsid w:val="00143634"/>
    <w:rsid w:val="001440CC"/>
    <w:rsid w:val="001465B9"/>
    <w:rsid w:val="00150582"/>
    <w:rsid w:val="00150982"/>
    <w:rsid w:val="00151A3A"/>
    <w:rsid w:val="00151A6A"/>
    <w:rsid w:val="00153246"/>
    <w:rsid w:val="00161DA2"/>
    <w:rsid w:val="0016229D"/>
    <w:rsid w:val="00166729"/>
    <w:rsid w:val="00166EF8"/>
    <w:rsid w:val="00167148"/>
    <w:rsid w:val="00172105"/>
    <w:rsid w:val="00173223"/>
    <w:rsid w:val="001740D5"/>
    <w:rsid w:val="00174772"/>
    <w:rsid w:val="00180B81"/>
    <w:rsid w:val="001812E3"/>
    <w:rsid w:val="00181F33"/>
    <w:rsid w:val="00185A29"/>
    <w:rsid w:val="001872C5"/>
    <w:rsid w:val="001876FC"/>
    <w:rsid w:val="001922FB"/>
    <w:rsid w:val="0019301F"/>
    <w:rsid w:val="00194E1D"/>
    <w:rsid w:val="00196A1D"/>
    <w:rsid w:val="00196FA4"/>
    <w:rsid w:val="00197BD5"/>
    <w:rsid w:val="00197FEC"/>
    <w:rsid w:val="001A0636"/>
    <w:rsid w:val="001A3404"/>
    <w:rsid w:val="001A4769"/>
    <w:rsid w:val="001A770B"/>
    <w:rsid w:val="001B055B"/>
    <w:rsid w:val="001B0EFC"/>
    <w:rsid w:val="001B2FC9"/>
    <w:rsid w:val="001B415A"/>
    <w:rsid w:val="001B5AE7"/>
    <w:rsid w:val="001B62E7"/>
    <w:rsid w:val="001C2919"/>
    <w:rsid w:val="001C2E3A"/>
    <w:rsid w:val="001C3065"/>
    <w:rsid w:val="001C369A"/>
    <w:rsid w:val="001C3F32"/>
    <w:rsid w:val="001D212F"/>
    <w:rsid w:val="001D2169"/>
    <w:rsid w:val="001D3A53"/>
    <w:rsid w:val="001D7ABE"/>
    <w:rsid w:val="001E18F3"/>
    <w:rsid w:val="001E203B"/>
    <w:rsid w:val="001E241A"/>
    <w:rsid w:val="001E2E33"/>
    <w:rsid w:val="001E3EB3"/>
    <w:rsid w:val="001E5B73"/>
    <w:rsid w:val="001F09C2"/>
    <w:rsid w:val="001F0A98"/>
    <w:rsid w:val="001F2FD9"/>
    <w:rsid w:val="001F337C"/>
    <w:rsid w:val="001F3C47"/>
    <w:rsid w:val="001F6E98"/>
    <w:rsid w:val="001F7BB0"/>
    <w:rsid w:val="001F7C6B"/>
    <w:rsid w:val="001F7DD0"/>
    <w:rsid w:val="00202FF3"/>
    <w:rsid w:val="00204361"/>
    <w:rsid w:val="00210F34"/>
    <w:rsid w:val="002131B3"/>
    <w:rsid w:val="002140E2"/>
    <w:rsid w:val="00214506"/>
    <w:rsid w:val="0022350A"/>
    <w:rsid w:val="00224DB7"/>
    <w:rsid w:val="00226B54"/>
    <w:rsid w:val="00230298"/>
    <w:rsid w:val="0023176E"/>
    <w:rsid w:val="0023318E"/>
    <w:rsid w:val="002340B0"/>
    <w:rsid w:val="00235FC3"/>
    <w:rsid w:val="00241F3B"/>
    <w:rsid w:val="002439D4"/>
    <w:rsid w:val="00243B7E"/>
    <w:rsid w:val="0024737E"/>
    <w:rsid w:val="00250814"/>
    <w:rsid w:val="00252536"/>
    <w:rsid w:val="002525F0"/>
    <w:rsid w:val="002539F8"/>
    <w:rsid w:val="00256D17"/>
    <w:rsid w:val="002570B3"/>
    <w:rsid w:val="002573CF"/>
    <w:rsid w:val="00266633"/>
    <w:rsid w:val="002675B9"/>
    <w:rsid w:val="0026771C"/>
    <w:rsid w:val="00270039"/>
    <w:rsid w:val="002706BC"/>
    <w:rsid w:val="00274974"/>
    <w:rsid w:val="00275A1E"/>
    <w:rsid w:val="00277EEC"/>
    <w:rsid w:val="00281A9A"/>
    <w:rsid w:val="00281E85"/>
    <w:rsid w:val="00286DBE"/>
    <w:rsid w:val="00287BCB"/>
    <w:rsid w:val="00287C7A"/>
    <w:rsid w:val="00290147"/>
    <w:rsid w:val="00291F5A"/>
    <w:rsid w:val="002961DC"/>
    <w:rsid w:val="002963A4"/>
    <w:rsid w:val="002968F3"/>
    <w:rsid w:val="002A00AA"/>
    <w:rsid w:val="002A3A63"/>
    <w:rsid w:val="002A404C"/>
    <w:rsid w:val="002A487B"/>
    <w:rsid w:val="002A4C36"/>
    <w:rsid w:val="002A5405"/>
    <w:rsid w:val="002B0381"/>
    <w:rsid w:val="002B725C"/>
    <w:rsid w:val="002C07CE"/>
    <w:rsid w:val="002C3CE4"/>
    <w:rsid w:val="002C6CB5"/>
    <w:rsid w:val="002D2288"/>
    <w:rsid w:val="002D4CBD"/>
    <w:rsid w:val="002D51F4"/>
    <w:rsid w:val="002D6947"/>
    <w:rsid w:val="002D771F"/>
    <w:rsid w:val="002D778E"/>
    <w:rsid w:val="002D797D"/>
    <w:rsid w:val="002D7BFE"/>
    <w:rsid w:val="002E089F"/>
    <w:rsid w:val="002E12E7"/>
    <w:rsid w:val="002E2352"/>
    <w:rsid w:val="002E51A3"/>
    <w:rsid w:val="002E6386"/>
    <w:rsid w:val="002F1146"/>
    <w:rsid w:val="002F2371"/>
    <w:rsid w:val="002F2995"/>
    <w:rsid w:val="002F5643"/>
    <w:rsid w:val="002F6747"/>
    <w:rsid w:val="002F77A7"/>
    <w:rsid w:val="0030012B"/>
    <w:rsid w:val="0030049C"/>
    <w:rsid w:val="00300ACD"/>
    <w:rsid w:val="00303F50"/>
    <w:rsid w:val="003065A8"/>
    <w:rsid w:val="003113E4"/>
    <w:rsid w:val="003141D3"/>
    <w:rsid w:val="00315F46"/>
    <w:rsid w:val="0031672D"/>
    <w:rsid w:val="0031685D"/>
    <w:rsid w:val="00321D5D"/>
    <w:rsid w:val="00330422"/>
    <w:rsid w:val="00330718"/>
    <w:rsid w:val="00331FF3"/>
    <w:rsid w:val="00333B38"/>
    <w:rsid w:val="00335576"/>
    <w:rsid w:val="00336890"/>
    <w:rsid w:val="00337A1D"/>
    <w:rsid w:val="003401CC"/>
    <w:rsid w:val="00342A58"/>
    <w:rsid w:val="00345FB6"/>
    <w:rsid w:val="003472E1"/>
    <w:rsid w:val="003514FE"/>
    <w:rsid w:val="0035436F"/>
    <w:rsid w:val="00354716"/>
    <w:rsid w:val="00355374"/>
    <w:rsid w:val="003555E3"/>
    <w:rsid w:val="003557D7"/>
    <w:rsid w:val="00355BA2"/>
    <w:rsid w:val="00356EC7"/>
    <w:rsid w:val="003601BA"/>
    <w:rsid w:val="00360963"/>
    <w:rsid w:val="00364F5D"/>
    <w:rsid w:val="00365030"/>
    <w:rsid w:val="00366411"/>
    <w:rsid w:val="00366AB4"/>
    <w:rsid w:val="00373CB9"/>
    <w:rsid w:val="0037640F"/>
    <w:rsid w:val="00376C3B"/>
    <w:rsid w:val="00382622"/>
    <w:rsid w:val="003842BC"/>
    <w:rsid w:val="00384CB1"/>
    <w:rsid w:val="00384F7F"/>
    <w:rsid w:val="003869DF"/>
    <w:rsid w:val="003927AD"/>
    <w:rsid w:val="00394F6F"/>
    <w:rsid w:val="00396091"/>
    <w:rsid w:val="003A1803"/>
    <w:rsid w:val="003A1FA4"/>
    <w:rsid w:val="003A58C0"/>
    <w:rsid w:val="003B0141"/>
    <w:rsid w:val="003B0927"/>
    <w:rsid w:val="003B1FB4"/>
    <w:rsid w:val="003C154F"/>
    <w:rsid w:val="003C1755"/>
    <w:rsid w:val="003C3825"/>
    <w:rsid w:val="003C7DF3"/>
    <w:rsid w:val="003D0824"/>
    <w:rsid w:val="003D0CFC"/>
    <w:rsid w:val="003D1F54"/>
    <w:rsid w:val="003D45D5"/>
    <w:rsid w:val="003D7ED4"/>
    <w:rsid w:val="003E047C"/>
    <w:rsid w:val="003E0B94"/>
    <w:rsid w:val="003E2486"/>
    <w:rsid w:val="003E26F6"/>
    <w:rsid w:val="003E41E2"/>
    <w:rsid w:val="003F29AD"/>
    <w:rsid w:val="003F3CC3"/>
    <w:rsid w:val="003F480D"/>
    <w:rsid w:val="003F61FD"/>
    <w:rsid w:val="003F6E70"/>
    <w:rsid w:val="0040050C"/>
    <w:rsid w:val="00402313"/>
    <w:rsid w:val="00404B3F"/>
    <w:rsid w:val="004071B6"/>
    <w:rsid w:val="00420260"/>
    <w:rsid w:val="00420F3A"/>
    <w:rsid w:val="00421231"/>
    <w:rsid w:val="00421906"/>
    <w:rsid w:val="00421A3A"/>
    <w:rsid w:val="00421D6D"/>
    <w:rsid w:val="004258E6"/>
    <w:rsid w:val="0042654E"/>
    <w:rsid w:val="00426FB9"/>
    <w:rsid w:val="00427123"/>
    <w:rsid w:val="00430343"/>
    <w:rsid w:val="00430D58"/>
    <w:rsid w:val="00432542"/>
    <w:rsid w:val="00432D03"/>
    <w:rsid w:val="004333F5"/>
    <w:rsid w:val="0043472A"/>
    <w:rsid w:val="0043502D"/>
    <w:rsid w:val="004357C3"/>
    <w:rsid w:val="00435945"/>
    <w:rsid w:val="00435C15"/>
    <w:rsid w:val="004413B6"/>
    <w:rsid w:val="00442156"/>
    <w:rsid w:val="0044368D"/>
    <w:rsid w:val="00444511"/>
    <w:rsid w:val="004466D3"/>
    <w:rsid w:val="004507A9"/>
    <w:rsid w:val="00451B7A"/>
    <w:rsid w:val="004536EE"/>
    <w:rsid w:val="00455878"/>
    <w:rsid w:val="004558C1"/>
    <w:rsid w:val="00460D0B"/>
    <w:rsid w:val="00460E7B"/>
    <w:rsid w:val="00461A5F"/>
    <w:rsid w:val="00461C5B"/>
    <w:rsid w:val="004643AE"/>
    <w:rsid w:val="00464FFC"/>
    <w:rsid w:val="00466530"/>
    <w:rsid w:val="004676EB"/>
    <w:rsid w:val="00467E7A"/>
    <w:rsid w:val="004716F9"/>
    <w:rsid w:val="00471A70"/>
    <w:rsid w:val="004741E2"/>
    <w:rsid w:val="00474DA7"/>
    <w:rsid w:val="00476E47"/>
    <w:rsid w:val="004774FA"/>
    <w:rsid w:val="00481F75"/>
    <w:rsid w:val="00484D56"/>
    <w:rsid w:val="004850A3"/>
    <w:rsid w:val="004856AB"/>
    <w:rsid w:val="00486B97"/>
    <w:rsid w:val="004900EA"/>
    <w:rsid w:val="004935FC"/>
    <w:rsid w:val="00494370"/>
    <w:rsid w:val="004A0476"/>
    <w:rsid w:val="004A1E13"/>
    <w:rsid w:val="004A3475"/>
    <w:rsid w:val="004A71F2"/>
    <w:rsid w:val="004B07D8"/>
    <w:rsid w:val="004B247B"/>
    <w:rsid w:val="004B4510"/>
    <w:rsid w:val="004B51B7"/>
    <w:rsid w:val="004B6814"/>
    <w:rsid w:val="004C176B"/>
    <w:rsid w:val="004C2F9F"/>
    <w:rsid w:val="004C3B19"/>
    <w:rsid w:val="004C4921"/>
    <w:rsid w:val="004C55C4"/>
    <w:rsid w:val="004C6A32"/>
    <w:rsid w:val="004C747B"/>
    <w:rsid w:val="004D056D"/>
    <w:rsid w:val="004D1EED"/>
    <w:rsid w:val="004E1E78"/>
    <w:rsid w:val="004E38B1"/>
    <w:rsid w:val="004E4F26"/>
    <w:rsid w:val="004E5CDC"/>
    <w:rsid w:val="004E5EDA"/>
    <w:rsid w:val="004F3961"/>
    <w:rsid w:val="004F7DEB"/>
    <w:rsid w:val="005010D0"/>
    <w:rsid w:val="005035F2"/>
    <w:rsid w:val="00503CF4"/>
    <w:rsid w:val="00507415"/>
    <w:rsid w:val="00507D4A"/>
    <w:rsid w:val="00512D81"/>
    <w:rsid w:val="005136C8"/>
    <w:rsid w:val="005137F4"/>
    <w:rsid w:val="0051573F"/>
    <w:rsid w:val="00515B82"/>
    <w:rsid w:val="00516B2E"/>
    <w:rsid w:val="00516C82"/>
    <w:rsid w:val="00516DDC"/>
    <w:rsid w:val="005176CE"/>
    <w:rsid w:val="00517B45"/>
    <w:rsid w:val="00522B69"/>
    <w:rsid w:val="00523B51"/>
    <w:rsid w:val="00524AE9"/>
    <w:rsid w:val="00525063"/>
    <w:rsid w:val="00526F25"/>
    <w:rsid w:val="00527485"/>
    <w:rsid w:val="0053045B"/>
    <w:rsid w:val="00532BE5"/>
    <w:rsid w:val="00532ED1"/>
    <w:rsid w:val="00536A7A"/>
    <w:rsid w:val="00536A8A"/>
    <w:rsid w:val="00542911"/>
    <w:rsid w:val="00545B76"/>
    <w:rsid w:val="00545D33"/>
    <w:rsid w:val="005475A3"/>
    <w:rsid w:val="00550126"/>
    <w:rsid w:val="0055433D"/>
    <w:rsid w:val="00554E61"/>
    <w:rsid w:val="00554FC9"/>
    <w:rsid w:val="00555E3B"/>
    <w:rsid w:val="00560085"/>
    <w:rsid w:val="00561820"/>
    <w:rsid w:val="00562178"/>
    <w:rsid w:val="005626A2"/>
    <w:rsid w:val="005632AE"/>
    <w:rsid w:val="0056432D"/>
    <w:rsid w:val="0057031E"/>
    <w:rsid w:val="00571310"/>
    <w:rsid w:val="00575F4F"/>
    <w:rsid w:val="00580FB9"/>
    <w:rsid w:val="005866A4"/>
    <w:rsid w:val="00590D96"/>
    <w:rsid w:val="00590DE6"/>
    <w:rsid w:val="00592318"/>
    <w:rsid w:val="0059272D"/>
    <w:rsid w:val="005933BA"/>
    <w:rsid w:val="00593D23"/>
    <w:rsid w:val="00593D25"/>
    <w:rsid w:val="00593EDD"/>
    <w:rsid w:val="00595832"/>
    <w:rsid w:val="005A0D65"/>
    <w:rsid w:val="005A35A7"/>
    <w:rsid w:val="005A3A1B"/>
    <w:rsid w:val="005A4067"/>
    <w:rsid w:val="005A4F6D"/>
    <w:rsid w:val="005A5FCE"/>
    <w:rsid w:val="005A6071"/>
    <w:rsid w:val="005A6BCC"/>
    <w:rsid w:val="005A75A3"/>
    <w:rsid w:val="005B2A7A"/>
    <w:rsid w:val="005B2B9A"/>
    <w:rsid w:val="005B2EC7"/>
    <w:rsid w:val="005B4D01"/>
    <w:rsid w:val="005B7D9E"/>
    <w:rsid w:val="005C3FA4"/>
    <w:rsid w:val="005C40EF"/>
    <w:rsid w:val="005C463E"/>
    <w:rsid w:val="005C62D2"/>
    <w:rsid w:val="005D02F9"/>
    <w:rsid w:val="005D0F50"/>
    <w:rsid w:val="005D30E0"/>
    <w:rsid w:val="005D5881"/>
    <w:rsid w:val="005D62C7"/>
    <w:rsid w:val="005D76AE"/>
    <w:rsid w:val="005E29FD"/>
    <w:rsid w:val="005E2C3B"/>
    <w:rsid w:val="005E51F7"/>
    <w:rsid w:val="005E5D3C"/>
    <w:rsid w:val="005F0E4C"/>
    <w:rsid w:val="005F3063"/>
    <w:rsid w:val="005F378E"/>
    <w:rsid w:val="005F5093"/>
    <w:rsid w:val="005F6E15"/>
    <w:rsid w:val="005F7475"/>
    <w:rsid w:val="00600283"/>
    <w:rsid w:val="006004DB"/>
    <w:rsid w:val="006009EC"/>
    <w:rsid w:val="006058E7"/>
    <w:rsid w:val="00606AD9"/>
    <w:rsid w:val="00611FF7"/>
    <w:rsid w:val="00613246"/>
    <w:rsid w:val="0061710E"/>
    <w:rsid w:val="00621519"/>
    <w:rsid w:val="00621C5B"/>
    <w:rsid w:val="00622ED3"/>
    <w:rsid w:val="00624958"/>
    <w:rsid w:val="00624CBA"/>
    <w:rsid w:val="00624DAD"/>
    <w:rsid w:val="00625312"/>
    <w:rsid w:val="006264BD"/>
    <w:rsid w:val="00634067"/>
    <w:rsid w:val="00634BC0"/>
    <w:rsid w:val="0063628C"/>
    <w:rsid w:val="006364C1"/>
    <w:rsid w:val="00637328"/>
    <w:rsid w:val="00637AC5"/>
    <w:rsid w:val="00637EAE"/>
    <w:rsid w:val="00641CEF"/>
    <w:rsid w:val="00644786"/>
    <w:rsid w:val="00646BFA"/>
    <w:rsid w:val="00651561"/>
    <w:rsid w:val="006518E8"/>
    <w:rsid w:val="00652B62"/>
    <w:rsid w:val="00655A73"/>
    <w:rsid w:val="00662FDD"/>
    <w:rsid w:val="006655BF"/>
    <w:rsid w:val="006679AE"/>
    <w:rsid w:val="00672F02"/>
    <w:rsid w:val="006741D9"/>
    <w:rsid w:val="00674E26"/>
    <w:rsid w:val="0067700A"/>
    <w:rsid w:val="006776FF"/>
    <w:rsid w:val="00684BDC"/>
    <w:rsid w:val="00687D43"/>
    <w:rsid w:val="00693C54"/>
    <w:rsid w:val="0069547E"/>
    <w:rsid w:val="0069628E"/>
    <w:rsid w:val="006A21BC"/>
    <w:rsid w:val="006A251E"/>
    <w:rsid w:val="006A2575"/>
    <w:rsid w:val="006A37FA"/>
    <w:rsid w:val="006A5A03"/>
    <w:rsid w:val="006B0692"/>
    <w:rsid w:val="006B35F9"/>
    <w:rsid w:val="006B42F2"/>
    <w:rsid w:val="006B4AAD"/>
    <w:rsid w:val="006B7FC8"/>
    <w:rsid w:val="006C0CEF"/>
    <w:rsid w:val="006C15F3"/>
    <w:rsid w:val="006C3AED"/>
    <w:rsid w:val="006C3C93"/>
    <w:rsid w:val="006C6382"/>
    <w:rsid w:val="006C7B36"/>
    <w:rsid w:val="006D2FC1"/>
    <w:rsid w:val="006D6624"/>
    <w:rsid w:val="006E0061"/>
    <w:rsid w:val="006E02DF"/>
    <w:rsid w:val="006E08D7"/>
    <w:rsid w:val="006E1EDC"/>
    <w:rsid w:val="006E2177"/>
    <w:rsid w:val="006E309E"/>
    <w:rsid w:val="006E3523"/>
    <w:rsid w:val="006E47AF"/>
    <w:rsid w:val="006E5694"/>
    <w:rsid w:val="006E65FB"/>
    <w:rsid w:val="006E6F91"/>
    <w:rsid w:val="006F0DE7"/>
    <w:rsid w:val="006F5084"/>
    <w:rsid w:val="006F6BE5"/>
    <w:rsid w:val="006F7167"/>
    <w:rsid w:val="0070034D"/>
    <w:rsid w:val="00702FC9"/>
    <w:rsid w:val="0070482A"/>
    <w:rsid w:val="0070543C"/>
    <w:rsid w:val="0070559D"/>
    <w:rsid w:val="00706B46"/>
    <w:rsid w:val="00707502"/>
    <w:rsid w:val="007135E0"/>
    <w:rsid w:val="00713DA3"/>
    <w:rsid w:val="0071447A"/>
    <w:rsid w:val="00723A32"/>
    <w:rsid w:val="007265DE"/>
    <w:rsid w:val="00730D82"/>
    <w:rsid w:val="007371B3"/>
    <w:rsid w:val="007418C7"/>
    <w:rsid w:val="00741CC0"/>
    <w:rsid w:val="00744738"/>
    <w:rsid w:val="00744DD3"/>
    <w:rsid w:val="0075127C"/>
    <w:rsid w:val="007552E0"/>
    <w:rsid w:val="00757567"/>
    <w:rsid w:val="00757C67"/>
    <w:rsid w:val="00760516"/>
    <w:rsid w:val="00762076"/>
    <w:rsid w:val="007620DE"/>
    <w:rsid w:val="007628CD"/>
    <w:rsid w:val="007628E5"/>
    <w:rsid w:val="007631CE"/>
    <w:rsid w:val="00764740"/>
    <w:rsid w:val="00764A41"/>
    <w:rsid w:val="00764BA5"/>
    <w:rsid w:val="007679FC"/>
    <w:rsid w:val="007715CA"/>
    <w:rsid w:val="00773231"/>
    <w:rsid w:val="0077402C"/>
    <w:rsid w:val="0077520B"/>
    <w:rsid w:val="00776EF5"/>
    <w:rsid w:val="00777E11"/>
    <w:rsid w:val="0078068F"/>
    <w:rsid w:val="007833BA"/>
    <w:rsid w:val="00784179"/>
    <w:rsid w:val="00784CD2"/>
    <w:rsid w:val="00784DC8"/>
    <w:rsid w:val="00785453"/>
    <w:rsid w:val="00785592"/>
    <w:rsid w:val="00786054"/>
    <w:rsid w:val="007863C8"/>
    <w:rsid w:val="00787FA1"/>
    <w:rsid w:val="00790597"/>
    <w:rsid w:val="00793954"/>
    <w:rsid w:val="007A0E34"/>
    <w:rsid w:val="007A25E7"/>
    <w:rsid w:val="007A3F19"/>
    <w:rsid w:val="007A53FE"/>
    <w:rsid w:val="007A628A"/>
    <w:rsid w:val="007A6756"/>
    <w:rsid w:val="007A75B5"/>
    <w:rsid w:val="007B0874"/>
    <w:rsid w:val="007B09EB"/>
    <w:rsid w:val="007B0F44"/>
    <w:rsid w:val="007B1042"/>
    <w:rsid w:val="007B195B"/>
    <w:rsid w:val="007B3381"/>
    <w:rsid w:val="007B5019"/>
    <w:rsid w:val="007B5066"/>
    <w:rsid w:val="007B616F"/>
    <w:rsid w:val="007B68FD"/>
    <w:rsid w:val="007B7569"/>
    <w:rsid w:val="007B7726"/>
    <w:rsid w:val="007C04D0"/>
    <w:rsid w:val="007C04D8"/>
    <w:rsid w:val="007C1167"/>
    <w:rsid w:val="007C30EA"/>
    <w:rsid w:val="007C5821"/>
    <w:rsid w:val="007C6AD2"/>
    <w:rsid w:val="007D38F8"/>
    <w:rsid w:val="007D3972"/>
    <w:rsid w:val="007D65E4"/>
    <w:rsid w:val="007E038E"/>
    <w:rsid w:val="007E03EC"/>
    <w:rsid w:val="007E1661"/>
    <w:rsid w:val="007E3279"/>
    <w:rsid w:val="007E347C"/>
    <w:rsid w:val="007E3A05"/>
    <w:rsid w:val="007E561B"/>
    <w:rsid w:val="007E577D"/>
    <w:rsid w:val="007E62E3"/>
    <w:rsid w:val="007F08E0"/>
    <w:rsid w:val="007F0D04"/>
    <w:rsid w:val="007F5709"/>
    <w:rsid w:val="007F6BC0"/>
    <w:rsid w:val="007F73C4"/>
    <w:rsid w:val="008020D2"/>
    <w:rsid w:val="0080269A"/>
    <w:rsid w:val="00802F92"/>
    <w:rsid w:val="00806017"/>
    <w:rsid w:val="008074DF"/>
    <w:rsid w:val="008135CD"/>
    <w:rsid w:val="008140FE"/>
    <w:rsid w:val="00820170"/>
    <w:rsid w:val="00820494"/>
    <w:rsid w:val="00825343"/>
    <w:rsid w:val="0082758F"/>
    <w:rsid w:val="008275AA"/>
    <w:rsid w:val="00830765"/>
    <w:rsid w:val="0083112F"/>
    <w:rsid w:val="008311C4"/>
    <w:rsid w:val="00831B73"/>
    <w:rsid w:val="008356A6"/>
    <w:rsid w:val="00836556"/>
    <w:rsid w:val="00842318"/>
    <w:rsid w:val="00843DAC"/>
    <w:rsid w:val="00846189"/>
    <w:rsid w:val="008479FA"/>
    <w:rsid w:val="008512E2"/>
    <w:rsid w:val="00856A3F"/>
    <w:rsid w:val="00857CCD"/>
    <w:rsid w:val="00860599"/>
    <w:rsid w:val="00860F4D"/>
    <w:rsid w:val="00861AB0"/>
    <w:rsid w:val="0086377A"/>
    <w:rsid w:val="00863A6E"/>
    <w:rsid w:val="00864439"/>
    <w:rsid w:val="008653F5"/>
    <w:rsid w:val="00866179"/>
    <w:rsid w:val="008665F4"/>
    <w:rsid w:val="008666E1"/>
    <w:rsid w:val="008739F5"/>
    <w:rsid w:val="00874240"/>
    <w:rsid w:val="00876660"/>
    <w:rsid w:val="008810B8"/>
    <w:rsid w:val="008822F5"/>
    <w:rsid w:val="008875B9"/>
    <w:rsid w:val="008875EB"/>
    <w:rsid w:val="00891166"/>
    <w:rsid w:val="00891A5B"/>
    <w:rsid w:val="008A1820"/>
    <w:rsid w:val="008A1D5A"/>
    <w:rsid w:val="008A229C"/>
    <w:rsid w:val="008A258E"/>
    <w:rsid w:val="008A55D6"/>
    <w:rsid w:val="008A7FBF"/>
    <w:rsid w:val="008B3AC5"/>
    <w:rsid w:val="008B3CA1"/>
    <w:rsid w:val="008B3F68"/>
    <w:rsid w:val="008B7CFA"/>
    <w:rsid w:val="008C0980"/>
    <w:rsid w:val="008C29C0"/>
    <w:rsid w:val="008C305E"/>
    <w:rsid w:val="008C3494"/>
    <w:rsid w:val="008C42DD"/>
    <w:rsid w:val="008C6F54"/>
    <w:rsid w:val="008D70C4"/>
    <w:rsid w:val="008E0024"/>
    <w:rsid w:val="008E01D8"/>
    <w:rsid w:val="008E0DD0"/>
    <w:rsid w:val="008E1167"/>
    <w:rsid w:val="008F364E"/>
    <w:rsid w:val="008F4668"/>
    <w:rsid w:val="008F5978"/>
    <w:rsid w:val="008F5A61"/>
    <w:rsid w:val="008F754E"/>
    <w:rsid w:val="008F77C8"/>
    <w:rsid w:val="008F79B5"/>
    <w:rsid w:val="009032A6"/>
    <w:rsid w:val="00903B8F"/>
    <w:rsid w:val="00904181"/>
    <w:rsid w:val="009059C0"/>
    <w:rsid w:val="00905F45"/>
    <w:rsid w:val="0090669A"/>
    <w:rsid w:val="00906CB4"/>
    <w:rsid w:val="00907C1E"/>
    <w:rsid w:val="009103CE"/>
    <w:rsid w:val="00911394"/>
    <w:rsid w:val="009121CF"/>
    <w:rsid w:val="009123E9"/>
    <w:rsid w:val="00914AF3"/>
    <w:rsid w:val="00917A9B"/>
    <w:rsid w:val="00920BC3"/>
    <w:rsid w:val="00921683"/>
    <w:rsid w:val="009240EF"/>
    <w:rsid w:val="00924C0E"/>
    <w:rsid w:val="00925F53"/>
    <w:rsid w:val="00926455"/>
    <w:rsid w:val="00926F45"/>
    <w:rsid w:val="00931FCE"/>
    <w:rsid w:val="0093247E"/>
    <w:rsid w:val="009325C7"/>
    <w:rsid w:val="00936209"/>
    <w:rsid w:val="009404A2"/>
    <w:rsid w:val="0094164E"/>
    <w:rsid w:val="0094167E"/>
    <w:rsid w:val="00944256"/>
    <w:rsid w:val="00944D58"/>
    <w:rsid w:val="00944E97"/>
    <w:rsid w:val="009469AE"/>
    <w:rsid w:val="0095028C"/>
    <w:rsid w:val="00950337"/>
    <w:rsid w:val="00952165"/>
    <w:rsid w:val="00952938"/>
    <w:rsid w:val="00952B1D"/>
    <w:rsid w:val="00953ECC"/>
    <w:rsid w:val="0096068E"/>
    <w:rsid w:val="009617D4"/>
    <w:rsid w:val="00961C0F"/>
    <w:rsid w:val="00961E31"/>
    <w:rsid w:val="009630C3"/>
    <w:rsid w:val="0096359E"/>
    <w:rsid w:val="00963710"/>
    <w:rsid w:val="00964C46"/>
    <w:rsid w:val="00965059"/>
    <w:rsid w:val="00966E3F"/>
    <w:rsid w:val="009671C2"/>
    <w:rsid w:val="00967F34"/>
    <w:rsid w:val="00973D57"/>
    <w:rsid w:val="0097465A"/>
    <w:rsid w:val="00975388"/>
    <w:rsid w:val="00976B46"/>
    <w:rsid w:val="00977355"/>
    <w:rsid w:val="009807A3"/>
    <w:rsid w:val="00980952"/>
    <w:rsid w:val="009835F2"/>
    <w:rsid w:val="009839BB"/>
    <w:rsid w:val="00983A61"/>
    <w:rsid w:val="009840EB"/>
    <w:rsid w:val="00984AA9"/>
    <w:rsid w:val="00986376"/>
    <w:rsid w:val="00987B0D"/>
    <w:rsid w:val="009909DD"/>
    <w:rsid w:val="0099112F"/>
    <w:rsid w:val="00992CA7"/>
    <w:rsid w:val="00994FFF"/>
    <w:rsid w:val="00995343"/>
    <w:rsid w:val="00995ADA"/>
    <w:rsid w:val="00996419"/>
    <w:rsid w:val="009977C5"/>
    <w:rsid w:val="009A14AB"/>
    <w:rsid w:val="009A2408"/>
    <w:rsid w:val="009A2650"/>
    <w:rsid w:val="009A5DC1"/>
    <w:rsid w:val="009A602C"/>
    <w:rsid w:val="009A7DD1"/>
    <w:rsid w:val="009A7FF0"/>
    <w:rsid w:val="009B1D1F"/>
    <w:rsid w:val="009B2B37"/>
    <w:rsid w:val="009B3357"/>
    <w:rsid w:val="009B4141"/>
    <w:rsid w:val="009B7CAD"/>
    <w:rsid w:val="009C0F7D"/>
    <w:rsid w:val="009C147F"/>
    <w:rsid w:val="009C3DDC"/>
    <w:rsid w:val="009C3E1B"/>
    <w:rsid w:val="009C4AF8"/>
    <w:rsid w:val="009D0A84"/>
    <w:rsid w:val="009D0F86"/>
    <w:rsid w:val="009D4062"/>
    <w:rsid w:val="009D411A"/>
    <w:rsid w:val="009D44F2"/>
    <w:rsid w:val="009D577F"/>
    <w:rsid w:val="009D5D90"/>
    <w:rsid w:val="009D6AA7"/>
    <w:rsid w:val="009E0126"/>
    <w:rsid w:val="009E1F67"/>
    <w:rsid w:val="009E3791"/>
    <w:rsid w:val="009E6BA3"/>
    <w:rsid w:val="009F0F39"/>
    <w:rsid w:val="009F10B7"/>
    <w:rsid w:val="009F1E78"/>
    <w:rsid w:val="009F24B8"/>
    <w:rsid w:val="009F4BF3"/>
    <w:rsid w:val="009F5611"/>
    <w:rsid w:val="009F640D"/>
    <w:rsid w:val="009F677D"/>
    <w:rsid w:val="009F7463"/>
    <w:rsid w:val="00A00B63"/>
    <w:rsid w:val="00A013A2"/>
    <w:rsid w:val="00A01691"/>
    <w:rsid w:val="00A0206B"/>
    <w:rsid w:val="00A02CE0"/>
    <w:rsid w:val="00A04B96"/>
    <w:rsid w:val="00A04EC2"/>
    <w:rsid w:val="00A063E2"/>
    <w:rsid w:val="00A06C90"/>
    <w:rsid w:val="00A10B5E"/>
    <w:rsid w:val="00A123B4"/>
    <w:rsid w:val="00A12855"/>
    <w:rsid w:val="00A136FB"/>
    <w:rsid w:val="00A13BC1"/>
    <w:rsid w:val="00A14098"/>
    <w:rsid w:val="00A16DA1"/>
    <w:rsid w:val="00A17259"/>
    <w:rsid w:val="00A2166C"/>
    <w:rsid w:val="00A24195"/>
    <w:rsid w:val="00A2574D"/>
    <w:rsid w:val="00A257E1"/>
    <w:rsid w:val="00A26788"/>
    <w:rsid w:val="00A270D3"/>
    <w:rsid w:val="00A31DD9"/>
    <w:rsid w:val="00A3275A"/>
    <w:rsid w:val="00A32B07"/>
    <w:rsid w:val="00A33B54"/>
    <w:rsid w:val="00A363CF"/>
    <w:rsid w:val="00A36774"/>
    <w:rsid w:val="00A367FC"/>
    <w:rsid w:val="00A37AA5"/>
    <w:rsid w:val="00A37B4C"/>
    <w:rsid w:val="00A42E2E"/>
    <w:rsid w:val="00A42FB3"/>
    <w:rsid w:val="00A43386"/>
    <w:rsid w:val="00A44C30"/>
    <w:rsid w:val="00A4748A"/>
    <w:rsid w:val="00A52991"/>
    <w:rsid w:val="00A54406"/>
    <w:rsid w:val="00A55450"/>
    <w:rsid w:val="00A557FD"/>
    <w:rsid w:val="00A56B90"/>
    <w:rsid w:val="00A61429"/>
    <w:rsid w:val="00A632A7"/>
    <w:rsid w:val="00A67F6C"/>
    <w:rsid w:val="00A70E0C"/>
    <w:rsid w:val="00A72253"/>
    <w:rsid w:val="00A72B62"/>
    <w:rsid w:val="00A84E2E"/>
    <w:rsid w:val="00A85E88"/>
    <w:rsid w:val="00A904F6"/>
    <w:rsid w:val="00A90699"/>
    <w:rsid w:val="00A91B1D"/>
    <w:rsid w:val="00A958B0"/>
    <w:rsid w:val="00A977AF"/>
    <w:rsid w:val="00A97974"/>
    <w:rsid w:val="00AA0345"/>
    <w:rsid w:val="00AA202C"/>
    <w:rsid w:val="00AA4E1C"/>
    <w:rsid w:val="00AA66F2"/>
    <w:rsid w:val="00AA77FC"/>
    <w:rsid w:val="00AB114C"/>
    <w:rsid w:val="00AB1794"/>
    <w:rsid w:val="00AB2163"/>
    <w:rsid w:val="00AB2E07"/>
    <w:rsid w:val="00AB4045"/>
    <w:rsid w:val="00AB4454"/>
    <w:rsid w:val="00AB5C47"/>
    <w:rsid w:val="00AB7DBD"/>
    <w:rsid w:val="00AC0140"/>
    <w:rsid w:val="00AC258B"/>
    <w:rsid w:val="00AC29D8"/>
    <w:rsid w:val="00AC46A4"/>
    <w:rsid w:val="00AC4C8F"/>
    <w:rsid w:val="00AC7E30"/>
    <w:rsid w:val="00AD1DB7"/>
    <w:rsid w:val="00AD2352"/>
    <w:rsid w:val="00AD6ADD"/>
    <w:rsid w:val="00AD6EB9"/>
    <w:rsid w:val="00AE1E07"/>
    <w:rsid w:val="00AE488A"/>
    <w:rsid w:val="00AE5289"/>
    <w:rsid w:val="00AE54F5"/>
    <w:rsid w:val="00AF1716"/>
    <w:rsid w:val="00AF1B5A"/>
    <w:rsid w:val="00AF289B"/>
    <w:rsid w:val="00AF29DB"/>
    <w:rsid w:val="00AF4F73"/>
    <w:rsid w:val="00AF6206"/>
    <w:rsid w:val="00AF72CB"/>
    <w:rsid w:val="00B007E2"/>
    <w:rsid w:val="00B02290"/>
    <w:rsid w:val="00B02F0F"/>
    <w:rsid w:val="00B031C0"/>
    <w:rsid w:val="00B05D1D"/>
    <w:rsid w:val="00B0640E"/>
    <w:rsid w:val="00B0657A"/>
    <w:rsid w:val="00B06DDC"/>
    <w:rsid w:val="00B16811"/>
    <w:rsid w:val="00B16DE6"/>
    <w:rsid w:val="00B1702E"/>
    <w:rsid w:val="00B17D21"/>
    <w:rsid w:val="00B20EA6"/>
    <w:rsid w:val="00B21377"/>
    <w:rsid w:val="00B21CBB"/>
    <w:rsid w:val="00B25B0F"/>
    <w:rsid w:val="00B27046"/>
    <w:rsid w:val="00B30906"/>
    <w:rsid w:val="00B31109"/>
    <w:rsid w:val="00B3110C"/>
    <w:rsid w:val="00B361BF"/>
    <w:rsid w:val="00B3675D"/>
    <w:rsid w:val="00B40126"/>
    <w:rsid w:val="00B410A2"/>
    <w:rsid w:val="00B41AEF"/>
    <w:rsid w:val="00B42E0A"/>
    <w:rsid w:val="00B43817"/>
    <w:rsid w:val="00B442C9"/>
    <w:rsid w:val="00B444A4"/>
    <w:rsid w:val="00B45785"/>
    <w:rsid w:val="00B4697F"/>
    <w:rsid w:val="00B538A5"/>
    <w:rsid w:val="00B53FF5"/>
    <w:rsid w:val="00B56A8B"/>
    <w:rsid w:val="00B57503"/>
    <w:rsid w:val="00B6270D"/>
    <w:rsid w:val="00B627BF"/>
    <w:rsid w:val="00B62BB1"/>
    <w:rsid w:val="00B639CD"/>
    <w:rsid w:val="00B676A8"/>
    <w:rsid w:val="00B71F17"/>
    <w:rsid w:val="00B721D2"/>
    <w:rsid w:val="00B75156"/>
    <w:rsid w:val="00B762EB"/>
    <w:rsid w:val="00B7787A"/>
    <w:rsid w:val="00B823B5"/>
    <w:rsid w:val="00B82755"/>
    <w:rsid w:val="00B831EA"/>
    <w:rsid w:val="00B87038"/>
    <w:rsid w:val="00B90A62"/>
    <w:rsid w:val="00B90B69"/>
    <w:rsid w:val="00B923B8"/>
    <w:rsid w:val="00B94EB4"/>
    <w:rsid w:val="00B94F84"/>
    <w:rsid w:val="00B95569"/>
    <w:rsid w:val="00B9573E"/>
    <w:rsid w:val="00B95D09"/>
    <w:rsid w:val="00B97591"/>
    <w:rsid w:val="00BA2F3D"/>
    <w:rsid w:val="00BA4260"/>
    <w:rsid w:val="00BA5002"/>
    <w:rsid w:val="00BA531D"/>
    <w:rsid w:val="00BA53E4"/>
    <w:rsid w:val="00BA63F4"/>
    <w:rsid w:val="00BA6B42"/>
    <w:rsid w:val="00BB272E"/>
    <w:rsid w:val="00BB5481"/>
    <w:rsid w:val="00BB697B"/>
    <w:rsid w:val="00BB71C8"/>
    <w:rsid w:val="00BB7ED9"/>
    <w:rsid w:val="00BC0BF0"/>
    <w:rsid w:val="00BC4AEA"/>
    <w:rsid w:val="00BC6F6B"/>
    <w:rsid w:val="00BC7EF3"/>
    <w:rsid w:val="00BD006E"/>
    <w:rsid w:val="00BD3A51"/>
    <w:rsid w:val="00BD447E"/>
    <w:rsid w:val="00BD4A94"/>
    <w:rsid w:val="00BD55EA"/>
    <w:rsid w:val="00BD5DDC"/>
    <w:rsid w:val="00BD5FE3"/>
    <w:rsid w:val="00BD7118"/>
    <w:rsid w:val="00BD7379"/>
    <w:rsid w:val="00BE30CF"/>
    <w:rsid w:val="00BE4977"/>
    <w:rsid w:val="00BE51FC"/>
    <w:rsid w:val="00BE57BB"/>
    <w:rsid w:val="00BE64C9"/>
    <w:rsid w:val="00BE6C7D"/>
    <w:rsid w:val="00BE7C0F"/>
    <w:rsid w:val="00BE7F46"/>
    <w:rsid w:val="00BF0186"/>
    <w:rsid w:val="00BF178A"/>
    <w:rsid w:val="00BF242B"/>
    <w:rsid w:val="00C0480E"/>
    <w:rsid w:val="00C10155"/>
    <w:rsid w:val="00C10639"/>
    <w:rsid w:val="00C121B7"/>
    <w:rsid w:val="00C12ADB"/>
    <w:rsid w:val="00C1406B"/>
    <w:rsid w:val="00C14673"/>
    <w:rsid w:val="00C15289"/>
    <w:rsid w:val="00C1533D"/>
    <w:rsid w:val="00C1582B"/>
    <w:rsid w:val="00C20512"/>
    <w:rsid w:val="00C20ED0"/>
    <w:rsid w:val="00C24248"/>
    <w:rsid w:val="00C262D4"/>
    <w:rsid w:val="00C26420"/>
    <w:rsid w:val="00C275B4"/>
    <w:rsid w:val="00C27D13"/>
    <w:rsid w:val="00C3089B"/>
    <w:rsid w:val="00C31E88"/>
    <w:rsid w:val="00C353A7"/>
    <w:rsid w:val="00C36F98"/>
    <w:rsid w:val="00C4071D"/>
    <w:rsid w:val="00C4214A"/>
    <w:rsid w:val="00C478AE"/>
    <w:rsid w:val="00C47EB4"/>
    <w:rsid w:val="00C5144C"/>
    <w:rsid w:val="00C578FE"/>
    <w:rsid w:val="00C63518"/>
    <w:rsid w:val="00C64FDE"/>
    <w:rsid w:val="00C65624"/>
    <w:rsid w:val="00C658D8"/>
    <w:rsid w:val="00C65CD4"/>
    <w:rsid w:val="00C71BC2"/>
    <w:rsid w:val="00C75391"/>
    <w:rsid w:val="00C76C9B"/>
    <w:rsid w:val="00C77A90"/>
    <w:rsid w:val="00C81AC3"/>
    <w:rsid w:val="00C81F56"/>
    <w:rsid w:val="00C8292B"/>
    <w:rsid w:val="00C873F0"/>
    <w:rsid w:val="00C94C9B"/>
    <w:rsid w:val="00C96A2D"/>
    <w:rsid w:val="00CA1C7B"/>
    <w:rsid w:val="00CA1ECD"/>
    <w:rsid w:val="00CA20CE"/>
    <w:rsid w:val="00CA5191"/>
    <w:rsid w:val="00CB1F8A"/>
    <w:rsid w:val="00CB22FD"/>
    <w:rsid w:val="00CB715E"/>
    <w:rsid w:val="00CC00E3"/>
    <w:rsid w:val="00CC09C5"/>
    <w:rsid w:val="00CC1782"/>
    <w:rsid w:val="00CC2D0F"/>
    <w:rsid w:val="00CC454A"/>
    <w:rsid w:val="00CC6D10"/>
    <w:rsid w:val="00CD09BB"/>
    <w:rsid w:val="00CD0A06"/>
    <w:rsid w:val="00CD49E1"/>
    <w:rsid w:val="00CD6186"/>
    <w:rsid w:val="00CD6486"/>
    <w:rsid w:val="00CE269A"/>
    <w:rsid w:val="00CE2CD7"/>
    <w:rsid w:val="00CE37F2"/>
    <w:rsid w:val="00CE5D04"/>
    <w:rsid w:val="00CE77BD"/>
    <w:rsid w:val="00CE78EA"/>
    <w:rsid w:val="00CE7EF3"/>
    <w:rsid w:val="00CF3EEB"/>
    <w:rsid w:val="00CF4126"/>
    <w:rsid w:val="00CF4C73"/>
    <w:rsid w:val="00CF7CAE"/>
    <w:rsid w:val="00D0359F"/>
    <w:rsid w:val="00D03F42"/>
    <w:rsid w:val="00D04B89"/>
    <w:rsid w:val="00D063A1"/>
    <w:rsid w:val="00D07F87"/>
    <w:rsid w:val="00D10FD6"/>
    <w:rsid w:val="00D113B6"/>
    <w:rsid w:val="00D11851"/>
    <w:rsid w:val="00D1253F"/>
    <w:rsid w:val="00D14936"/>
    <w:rsid w:val="00D15E28"/>
    <w:rsid w:val="00D2138C"/>
    <w:rsid w:val="00D21970"/>
    <w:rsid w:val="00D21E90"/>
    <w:rsid w:val="00D232FA"/>
    <w:rsid w:val="00D2405B"/>
    <w:rsid w:val="00D25E87"/>
    <w:rsid w:val="00D25F74"/>
    <w:rsid w:val="00D26A4C"/>
    <w:rsid w:val="00D270F1"/>
    <w:rsid w:val="00D305B0"/>
    <w:rsid w:val="00D3315E"/>
    <w:rsid w:val="00D332CC"/>
    <w:rsid w:val="00D33362"/>
    <w:rsid w:val="00D33480"/>
    <w:rsid w:val="00D35299"/>
    <w:rsid w:val="00D36F82"/>
    <w:rsid w:val="00D420D7"/>
    <w:rsid w:val="00D42767"/>
    <w:rsid w:val="00D45C39"/>
    <w:rsid w:val="00D46D4B"/>
    <w:rsid w:val="00D50735"/>
    <w:rsid w:val="00D531FF"/>
    <w:rsid w:val="00D5330E"/>
    <w:rsid w:val="00D57108"/>
    <w:rsid w:val="00D603E1"/>
    <w:rsid w:val="00D609EC"/>
    <w:rsid w:val="00D60DDD"/>
    <w:rsid w:val="00D61D59"/>
    <w:rsid w:val="00D63607"/>
    <w:rsid w:val="00D63AF8"/>
    <w:rsid w:val="00D63DEE"/>
    <w:rsid w:val="00D64AE7"/>
    <w:rsid w:val="00D65691"/>
    <w:rsid w:val="00D662A6"/>
    <w:rsid w:val="00D66EA1"/>
    <w:rsid w:val="00D676E5"/>
    <w:rsid w:val="00D71849"/>
    <w:rsid w:val="00D73636"/>
    <w:rsid w:val="00D75591"/>
    <w:rsid w:val="00D76736"/>
    <w:rsid w:val="00D76F64"/>
    <w:rsid w:val="00D80148"/>
    <w:rsid w:val="00D81B8B"/>
    <w:rsid w:val="00D82E0E"/>
    <w:rsid w:val="00D85168"/>
    <w:rsid w:val="00D864E8"/>
    <w:rsid w:val="00D9177D"/>
    <w:rsid w:val="00D93C87"/>
    <w:rsid w:val="00D942A1"/>
    <w:rsid w:val="00DA15A1"/>
    <w:rsid w:val="00DA5E75"/>
    <w:rsid w:val="00DA7F5F"/>
    <w:rsid w:val="00DB12BC"/>
    <w:rsid w:val="00DB3713"/>
    <w:rsid w:val="00DB3C63"/>
    <w:rsid w:val="00DB4652"/>
    <w:rsid w:val="00DB4CE9"/>
    <w:rsid w:val="00DB634C"/>
    <w:rsid w:val="00DC16F4"/>
    <w:rsid w:val="00DC3978"/>
    <w:rsid w:val="00DC528A"/>
    <w:rsid w:val="00DD04A7"/>
    <w:rsid w:val="00DD4396"/>
    <w:rsid w:val="00DD5C1C"/>
    <w:rsid w:val="00DD7295"/>
    <w:rsid w:val="00DD7B29"/>
    <w:rsid w:val="00DE0E53"/>
    <w:rsid w:val="00DE3B89"/>
    <w:rsid w:val="00DE3E9A"/>
    <w:rsid w:val="00DE4157"/>
    <w:rsid w:val="00DE5598"/>
    <w:rsid w:val="00DE5DBB"/>
    <w:rsid w:val="00DE6C80"/>
    <w:rsid w:val="00DE73DA"/>
    <w:rsid w:val="00DF39E2"/>
    <w:rsid w:val="00DF6B9C"/>
    <w:rsid w:val="00E0000A"/>
    <w:rsid w:val="00E05861"/>
    <w:rsid w:val="00E058E7"/>
    <w:rsid w:val="00E06359"/>
    <w:rsid w:val="00E077E5"/>
    <w:rsid w:val="00E1082B"/>
    <w:rsid w:val="00E10B1C"/>
    <w:rsid w:val="00E10E98"/>
    <w:rsid w:val="00E11273"/>
    <w:rsid w:val="00E13267"/>
    <w:rsid w:val="00E14441"/>
    <w:rsid w:val="00E152AC"/>
    <w:rsid w:val="00E15495"/>
    <w:rsid w:val="00E15F45"/>
    <w:rsid w:val="00E20AB8"/>
    <w:rsid w:val="00E2144D"/>
    <w:rsid w:val="00E2482E"/>
    <w:rsid w:val="00E276D8"/>
    <w:rsid w:val="00E314EB"/>
    <w:rsid w:val="00E3295D"/>
    <w:rsid w:val="00E337C7"/>
    <w:rsid w:val="00E36F48"/>
    <w:rsid w:val="00E3729D"/>
    <w:rsid w:val="00E42247"/>
    <w:rsid w:val="00E43EDD"/>
    <w:rsid w:val="00E44355"/>
    <w:rsid w:val="00E447EC"/>
    <w:rsid w:val="00E50E80"/>
    <w:rsid w:val="00E51849"/>
    <w:rsid w:val="00E52818"/>
    <w:rsid w:val="00E52EBC"/>
    <w:rsid w:val="00E53899"/>
    <w:rsid w:val="00E53C75"/>
    <w:rsid w:val="00E568AD"/>
    <w:rsid w:val="00E60B6A"/>
    <w:rsid w:val="00E661CB"/>
    <w:rsid w:val="00E66BB3"/>
    <w:rsid w:val="00E66E1C"/>
    <w:rsid w:val="00E6799B"/>
    <w:rsid w:val="00E679C8"/>
    <w:rsid w:val="00E7186F"/>
    <w:rsid w:val="00E74BA5"/>
    <w:rsid w:val="00E76E21"/>
    <w:rsid w:val="00E80801"/>
    <w:rsid w:val="00E80AE0"/>
    <w:rsid w:val="00E81BAB"/>
    <w:rsid w:val="00E82005"/>
    <w:rsid w:val="00E82E2A"/>
    <w:rsid w:val="00E8334F"/>
    <w:rsid w:val="00E86448"/>
    <w:rsid w:val="00E905CC"/>
    <w:rsid w:val="00E92DA0"/>
    <w:rsid w:val="00E944F8"/>
    <w:rsid w:val="00E947FC"/>
    <w:rsid w:val="00E961F6"/>
    <w:rsid w:val="00E9779F"/>
    <w:rsid w:val="00EA13C9"/>
    <w:rsid w:val="00EA3E3B"/>
    <w:rsid w:val="00EA6D70"/>
    <w:rsid w:val="00EA6D79"/>
    <w:rsid w:val="00EB0AA6"/>
    <w:rsid w:val="00EB2325"/>
    <w:rsid w:val="00EB33E0"/>
    <w:rsid w:val="00EB4FE7"/>
    <w:rsid w:val="00EB622C"/>
    <w:rsid w:val="00EC02E7"/>
    <w:rsid w:val="00EC1274"/>
    <w:rsid w:val="00EC24F5"/>
    <w:rsid w:val="00EC3F37"/>
    <w:rsid w:val="00EC4512"/>
    <w:rsid w:val="00EC4A67"/>
    <w:rsid w:val="00EC5E8E"/>
    <w:rsid w:val="00ED7F60"/>
    <w:rsid w:val="00EE3872"/>
    <w:rsid w:val="00EE4FC0"/>
    <w:rsid w:val="00EE72DA"/>
    <w:rsid w:val="00EE7EB1"/>
    <w:rsid w:val="00EF3523"/>
    <w:rsid w:val="00EF458E"/>
    <w:rsid w:val="00EF5942"/>
    <w:rsid w:val="00EF6C01"/>
    <w:rsid w:val="00F019E3"/>
    <w:rsid w:val="00F0611A"/>
    <w:rsid w:val="00F07F82"/>
    <w:rsid w:val="00F10352"/>
    <w:rsid w:val="00F10787"/>
    <w:rsid w:val="00F10AA5"/>
    <w:rsid w:val="00F145B8"/>
    <w:rsid w:val="00F206E0"/>
    <w:rsid w:val="00F228E3"/>
    <w:rsid w:val="00F23846"/>
    <w:rsid w:val="00F23FC9"/>
    <w:rsid w:val="00F25F13"/>
    <w:rsid w:val="00F26858"/>
    <w:rsid w:val="00F304BA"/>
    <w:rsid w:val="00F312EF"/>
    <w:rsid w:val="00F33AA0"/>
    <w:rsid w:val="00F36C24"/>
    <w:rsid w:val="00F36C88"/>
    <w:rsid w:val="00F406A2"/>
    <w:rsid w:val="00F40792"/>
    <w:rsid w:val="00F40EB6"/>
    <w:rsid w:val="00F44503"/>
    <w:rsid w:val="00F46677"/>
    <w:rsid w:val="00F47367"/>
    <w:rsid w:val="00F477BA"/>
    <w:rsid w:val="00F50E92"/>
    <w:rsid w:val="00F55230"/>
    <w:rsid w:val="00F553AC"/>
    <w:rsid w:val="00F575C0"/>
    <w:rsid w:val="00F5788D"/>
    <w:rsid w:val="00F61583"/>
    <w:rsid w:val="00F66F73"/>
    <w:rsid w:val="00F67C3F"/>
    <w:rsid w:val="00F71FF5"/>
    <w:rsid w:val="00F72ED3"/>
    <w:rsid w:val="00F76B02"/>
    <w:rsid w:val="00F80C99"/>
    <w:rsid w:val="00F80D22"/>
    <w:rsid w:val="00F82CF2"/>
    <w:rsid w:val="00F82DA8"/>
    <w:rsid w:val="00F848F7"/>
    <w:rsid w:val="00F85F4A"/>
    <w:rsid w:val="00F87AD0"/>
    <w:rsid w:val="00F90935"/>
    <w:rsid w:val="00F90FC6"/>
    <w:rsid w:val="00F9304C"/>
    <w:rsid w:val="00F9339E"/>
    <w:rsid w:val="00FA0AC7"/>
    <w:rsid w:val="00FA16E3"/>
    <w:rsid w:val="00FA70D2"/>
    <w:rsid w:val="00FB6485"/>
    <w:rsid w:val="00FC17FA"/>
    <w:rsid w:val="00FC2BBA"/>
    <w:rsid w:val="00FC31DD"/>
    <w:rsid w:val="00FC3E61"/>
    <w:rsid w:val="00FC64EF"/>
    <w:rsid w:val="00FC721D"/>
    <w:rsid w:val="00FC7AD4"/>
    <w:rsid w:val="00FD0311"/>
    <w:rsid w:val="00FD067A"/>
    <w:rsid w:val="00FD4F65"/>
    <w:rsid w:val="00FD5955"/>
    <w:rsid w:val="00FD5E66"/>
    <w:rsid w:val="00FD5FB1"/>
    <w:rsid w:val="00FD7E0C"/>
    <w:rsid w:val="00FE1368"/>
    <w:rsid w:val="00FE5FD4"/>
    <w:rsid w:val="00FE73A9"/>
    <w:rsid w:val="00FE7AC4"/>
    <w:rsid w:val="00FF006E"/>
    <w:rsid w:val="00FF117C"/>
    <w:rsid w:val="00FF2647"/>
    <w:rsid w:val="00FF544F"/>
    <w:rsid w:val="00FF54D7"/>
    <w:rsid w:val="00FF6599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8DCD-9A52-45B0-815C-3C3E43B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33AA0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33AA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33AA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33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F33AA0"/>
    <w:pPr>
      <w:ind w:left="566" w:hanging="283"/>
    </w:pPr>
  </w:style>
  <w:style w:type="paragraph" w:styleId="Podtitul">
    <w:name w:val="Subtitle"/>
    <w:basedOn w:val="Normln"/>
    <w:next w:val="Normln"/>
    <w:link w:val="PodtitulChar"/>
    <w:uiPriority w:val="11"/>
    <w:qFormat/>
    <w:rsid w:val="00F33AA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F33AA0"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4"/>
    <w:rsid w:val="00F33AA0"/>
    <w:rPr>
      <w:sz w:val="23"/>
      <w:szCs w:val="23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F33AA0"/>
    <w:pPr>
      <w:shd w:val="clear" w:color="auto" w:fill="FFFFFF"/>
      <w:spacing w:before="36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ZkladntextTun">
    <w:name w:val="Základní text + Tučné"/>
    <w:rsid w:val="00F33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820494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110425"/>
  </w:style>
  <w:style w:type="character" w:styleId="Odkaznakoment">
    <w:name w:val="annotation reference"/>
    <w:basedOn w:val="Standardnpsmoodstavce"/>
    <w:uiPriority w:val="99"/>
    <w:semiHidden/>
    <w:unhideWhenUsed/>
    <w:rsid w:val="005E5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D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D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D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3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4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4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D65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D65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rsid w:val="00831B73"/>
    <w:pPr>
      <w:widowControl w:val="0"/>
      <w:ind w:right="-92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0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3854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FMIB, s.r.o.</Company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Zlámal</dc:creator>
  <cp:lastModifiedBy>Lancevská Marina</cp:lastModifiedBy>
  <cp:revision>7</cp:revision>
  <cp:lastPrinted>2017-03-21T15:06:00Z</cp:lastPrinted>
  <dcterms:created xsi:type="dcterms:W3CDTF">2017-09-13T09:23:00Z</dcterms:created>
  <dcterms:modified xsi:type="dcterms:W3CDTF">2017-09-14T10:10:00Z</dcterms:modified>
</cp:coreProperties>
</file>