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10146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40481</wp:posOffset>
            </wp:positionV>
            <wp:extent cx="2886075" cy="12382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3943350</wp:posOffset>
            </wp:positionH>
            <wp:positionV relativeFrom="line">
              <wp:posOffset>-157004</wp:posOffset>
            </wp:positionV>
            <wp:extent cx="3038475" cy="8763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8475" cy="876300"/>
                    </a:xfrm>
                    <a:custGeom>
                      <a:rect l="l" t="t" r="r" b="b"/>
                      <a:pathLst>
                        <a:path w="3038475" h="876300">
                          <a:moveTo>
                            <a:pt x="0" y="876300"/>
                          </a:moveTo>
                          <a:lnTo>
                            <a:pt x="3038475" y="876300"/>
                          </a:lnTo>
                          <a:lnTo>
                            <a:pt x="3038475" y="0"/>
                          </a:lnTo>
                          <a:lnTo>
                            <a:pt x="0" y="0"/>
                          </a:lnTo>
                          <a:lnTo>
                            <a:pt x="0" y="8763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73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972110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857810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222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811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6"/>
                            <w:sz w:val="16"/>
                            <w:szCs w:val="16"/>
                          </w:rPr>
                          <w:t>999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34131</wp:posOffset>
            </wp:positionV>
            <wp:extent cx="219075" cy="1238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34131</wp:posOffset>
            </wp:positionV>
            <wp:extent cx="190500" cy="1238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123825"/>
                    </a:xfrm>
                    <a:custGeom>
                      <a:rect l="l" t="t" r="r" b="b"/>
                      <a:pathLst>
                        <a:path w="190500" h="123825">
                          <a:moveTo>
                            <a:pt x="0" y="123825"/>
                          </a:moveTo>
                          <a:lnTo>
                            <a:pt x="190500" y="123825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05.01.2026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20260105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-92869</wp:posOffset>
            </wp:positionV>
            <wp:extent cx="6829425" cy="38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00" w:after="0" w:line="165" w:lineRule="exact"/>
        <w:ind w:left="485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ACNATAC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10MG/G+0,25MG/G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2883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AERIUS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1X120ML+LZ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4" w:hanging="4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1745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AKNENORMIN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KKÉ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TOBOLKY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30X10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4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ALPECIN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Energizer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Coffein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Shampoo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C1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375ml	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9241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ALPICORT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SOL 100ML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AMBROBENE </w:t>
      </w:r>
      <w:hyperlink r:id="rId123" w:history="1">
        <w:r>
          <w:rPr lang="en-US" sz="16" baseline="0" dirty="0">
            <w:jc w:val="left"/>
            <w:rFonts w:ascii="Calibri" w:hAnsi="Calibri" w:cs="Calibri"/>
            <w:color w:val="000000"/>
            <w:w w:val="98"/>
            <w:sz w:val="16"/>
            <w:szCs w:val="16"/>
          </w:rPr>
          <w:t>7.5MG/ML	</w:t>
        </w:r>
      </w:hyperlink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 100ML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20209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ANALERGIN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2796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APIDRA 100 JEDNOTEK/ML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SDR INJ SOL 5X3ML S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AQUA PRO INJECTIONE BRAUN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SOL 20X10ML-PLA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4621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ASPIRIN-C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EFF 10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ATARAX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OBD 25X25MG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 20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90X20MG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1289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15X100MG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AZOPT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6232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BETADINE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D3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LEMON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1000MG/800IU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9445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CIPRINOL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10X250MG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21610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CLARINASE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REPETABS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CLENSIA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4+4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COLCHICUM-DISPERT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20X500R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COMBAIR 100mcg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 SOL PSS 180DAVE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COMBAIR NEXTHALER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200MCG/6MCG/DÁV INH PLV 1X120DÁV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DALACIN 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16X300MG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0.125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16956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DIKY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4%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DOLFORIN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MCG/H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EMP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5X4.8MG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132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DOPEGYT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50X250MG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13884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DORETA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37,5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MG/325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17933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DORETA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MG/650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401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DOXYBENE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NOB10X200MG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ENTEROL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CPS DUR10X250MG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ERDOHerbal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medový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sirup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140ml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ERDOMED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225MG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GRA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ERDOMED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20X300MG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ESSENTIALE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27655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125MCG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12093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EWOFEX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FAKTU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50MG/G+10MG/G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1X20G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24525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FLUCINAR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0,25MG/G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700"/>
        </w:tabs>
        <w:spacing w:before="16" w:after="0" w:line="225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16565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FLUTIFORM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MIKROGRAMU/10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PSS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DAV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FORXIGA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90X1X10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FRAMYKOIN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1X10GM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1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144780</wp:posOffset>
            </wp:positionV>
            <wp:extent cx="6829425" cy="1905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10146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7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 40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50X40MG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500991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GÁZA SKLÁDANÁ KOMPRESY NESTERILNÍ STERILUX ES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7,5X7,5CM,8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VRSTEV,100KS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GINGIO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100X40M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HERPESIN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1X5GM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5%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ICHTOXYL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Jelení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ů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j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sí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kem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zahradním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pomá.na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rty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4.5g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25143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JUZIMETTE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50MG/1000MG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56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KARPAL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AKUT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7665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KETONAL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KINEDRYL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KLACID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27599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LESCOL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28(2X14)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18742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LETROX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100X50R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11406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LOZAP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ZENTIVA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315" w:right="105" w:firstLine="1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MAGNESII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LACTICI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TBL.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MEDIC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100X0.5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MEFIX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5CM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10M,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KS,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HYPOALERGENNÍ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FIXACE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MICTONORM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1381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MILGAMMA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21628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 300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90X300MG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1769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MIRZATEN 30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90X30MG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17076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MOMMOX 0,05 MG/DAVKU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NAS SPR SUS 140X50R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24658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MORFIN SULFÁT ARDEZ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 POR GTT SOL 1X20ML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500016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NÁPLAST HYPOALERGENNÍ CURAPOR 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5X7CM,SAMOLEPÍCÍ,S POLŠTÁ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KEM,5 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NASONEX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50MCG/DÁV NAS SPR SUS 140DÁV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Neutrogena NR krém na ruce neparfemovaný 75ml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 40 MG ENTEROSOLVENTNI 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ENT 28X40MG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21696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NORETHISTERON ZENTIVA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45X5MG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87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OPHTHALMO-SEPTONEX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OPH 1X5GM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25854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ORGAMETRIL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PAMYCON NA PRIPRAVU KAPEK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DRM PLV SOL 1X1LAH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PRONTOFLEX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100MG/ML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PROTHAZIN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25MG TBL FLM 20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9420"/>
          <w:tab w:val="left" w:pos="10620"/>
        </w:tabs>
        <w:spacing w:before="4" w:after="0" w:line="240" w:lineRule="exact"/>
        <w:ind w:left="40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500262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PROUŽKY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DIAGNOSTICKÉ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CALLA(PRO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ZP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KOD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0085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PROUŽKY TESTOVACÍ DO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PROVERA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NOB 24 II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22474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RAMIPRIL ACTAVIS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RELVAR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ELLIPTA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92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MIKROGRAMU/22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1X30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RYTMONORM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150MG TBL FLM 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19805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SANVAL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100X10M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SIRDALUD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SOFTACORT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3,35MG/ML OPH GTT SOL MDC 30(3X10)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SORVASTA PLUS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40MG/10MG TBL FLM 30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STILNOX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23958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TEBOFORTAN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240MG TBL FLM 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500767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TENA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BED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PLUS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WINGS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SECURE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ZONE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180X80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PODLOŽKY ABSORP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 SE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TIAPRIDAL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TRAMAL KAPKY 100 MG/1 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GTT SOL 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19096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TRIPLIXAM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MG/1,25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MG/5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TRITACE 5 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TWICOR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VALTRICOM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10MG/160MG/12,5MG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17266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VELMARI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3MG/0,02MG TBL FLM 3X28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8478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VIDISIC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3X10GM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WELLION MEDFINE PLUS JEHLY PRO INZULÍNOVÁ PERA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 PRO VŠECHNA INZULÍNOVÁ PERA, VEL.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26275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XALACOM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0,05MG/ML+5MG/ML OPH GTT SOL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ZALDIAR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23661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ZLYNDA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3X28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8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119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10146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216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55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ZOVIRAX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800MG TBL NOB 35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40" w:firstLine="0"/>
        <w:jc w:val="right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63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820,39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K</w:t>
      </w:r>
      <w:r>
        <w:rPr lang="en-US" sz="19" baseline="0" dirty="0">
          <w:jc w:val="left"/>
          <w:rFonts w:ascii="Calibri" w:hAnsi="Calibri" w:cs="Calibri"/>
          <w:color w:val="000000"/>
          <w:spacing w:val="-17"/>
          <w:w w:val="109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151765</wp:posOffset>
            </wp:positionV>
            <wp:extent cx="6829425" cy="1905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461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#406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461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5" Type="http://schemas.openxmlformats.org/officeDocument/2006/relationships/image" Target="media/image115.png"/><Relationship Id="rId123" Type="http://schemas.openxmlformats.org/officeDocument/2006/relationships/hyperlink" TargetMode="External" Target="http://7.5MG/ML"/><Relationship Id="rId126" Type="http://schemas.openxmlformats.org/officeDocument/2006/relationships/image" Target="media/image126.png"/><Relationship Id="rId136" Type="http://schemas.openxmlformats.org/officeDocument/2006/relationships/image" Target="media/image1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2026-01-06T05:39:24Z</dcterms:created>
  <dcterms:modified xsi:type="dcterms:W3CDTF">2026-01-06T05:39:24Z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