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26AA" w14:textId="77777777" w:rsidR="00004EF0" w:rsidRDefault="00004EF0" w:rsidP="00BB5759">
      <w:pPr>
        <w:pStyle w:val="RLNzevsmlouvy"/>
        <w:spacing w:after="0" w:line="280" w:lineRule="atLeast"/>
      </w:pPr>
      <w:bookmarkStart w:id="0" w:name="OLE_LINK1"/>
      <w:bookmarkStart w:id="1" w:name="OLE_LINK2"/>
    </w:p>
    <w:p w14:paraId="4F12D7B6" w14:textId="77777777" w:rsidR="00B03BDA" w:rsidRDefault="009057C2" w:rsidP="00BB5759">
      <w:pPr>
        <w:pStyle w:val="RLNzevsmlouvy"/>
        <w:spacing w:after="0" w:line="280" w:lineRule="atLeast"/>
      </w:pPr>
      <w:r>
        <w:t xml:space="preserve">DODATEK č. </w:t>
      </w:r>
      <w:r w:rsidR="008A2796">
        <w:t>1</w:t>
      </w:r>
      <w:r w:rsidR="0065619E">
        <w:t xml:space="preserve"> </w:t>
      </w:r>
    </w:p>
    <w:p w14:paraId="61E84B2D" w14:textId="20EA51BD" w:rsidR="00206A4E" w:rsidRPr="00B03BDA" w:rsidRDefault="00B16230" w:rsidP="00BB5759">
      <w:pPr>
        <w:pStyle w:val="RLNzevsmlouvy"/>
        <w:spacing w:after="0" w:line="280" w:lineRule="atLeast"/>
        <w:rPr>
          <w:sz w:val="28"/>
          <w:szCs w:val="28"/>
        </w:rPr>
      </w:pPr>
      <w:r w:rsidRPr="00B03BDA">
        <w:rPr>
          <w:sz w:val="28"/>
          <w:szCs w:val="28"/>
        </w:rPr>
        <w:t xml:space="preserve">k servisní </w:t>
      </w:r>
      <w:r w:rsidR="008A2796" w:rsidRPr="00B03BDA">
        <w:rPr>
          <w:sz w:val="28"/>
          <w:szCs w:val="28"/>
        </w:rPr>
        <w:t xml:space="preserve">SMLOUVĚ </w:t>
      </w:r>
      <w:r w:rsidRPr="00B03BDA">
        <w:rPr>
          <w:sz w:val="28"/>
          <w:szCs w:val="28"/>
        </w:rPr>
        <w:t xml:space="preserve">na poskytování </w:t>
      </w:r>
      <w:r w:rsidR="008A2796" w:rsidRPr="00B03BDA">
        <w:rPr>
          <w:sz w:val="28"/>
          <w:szCs w:val="28"/>
        </w:rPr>
        <w:t>SLUŽEB</w:t>
      </w:r>
      <w:r w:rsidRPr="00B03BDA">
        <w:rPr>
          <w:sz w:val="28"/>
          <w:szCs w:val="28"/>
        </w:rPr>
        <w:t xml:space="preserve"> provozní podpory a dalšího rozvoje JPŘ PSV</w:t>
      </w:r>
    </w:p>
    <w:bookmarkEnd w:id="0"/>
    <w:bookmarkEnd w:id="1"/>
    <w:p w14:paraId="68025280" w14:textId="77777777" w:rsidR="004F0B7B" w:rsidRDefault="004F0B7B" w:rsidP="00BB5759">
      <w:pPr>
        <w:pStyle w:val="RLdajeosmluvnstran"/>
        <w:spacing w:before="120" w:after="0" w:line="280" w:lineRule="atLeast"/>
      </w:pPr>
    </w:p>
    <w:p w14:paraId="3D96BA97" w14:textId="3205CD0A" w:rsidR="00607561" w:rsidRPr="00B03BDA" w:rsidRDefault="00B03BDA" w:rsidP="00567D72">
      <w:pPr>
        <w:pStyle w:val="RLdajeosmluvnstran"/>
        <w:spacing w:before="120" w:after="360" w:line="280" w:lineRule="atLeast"/>
        <w:rPr>
          <w:b/>
          <w:bCs/>
        </w:rPr>
      </w:pPr>
      <w:r w:rsidRPr="00B03BDA">
        <w:rPr>
          <w:b/>
          <w:bCs/>
        </w:rPr>
        <w:t>SMLUVNÍ STRANY</w:t>
      </w:r>
    </w:p>
    <w:p w14:paraId="3E2A6414" w14:textId="77777777" w:rsidR="00120172" w:rsidRPr="00FF479E" w:rsidRDefault="00120172" w:rsidP="00567D72">
      <w:pPr>
        <w:pStyle w:val="RLdajeosmluvnstran"/>
        <w:spacing w:before="120" w:after="0" w:line="280" w:lineRule="atLeast"/>
        <w:rPr>
          <w:b/>
        </w:rPr>
      </w:pPr>
      <w:r w:rsidRPr="00FF479E">
        <w:rPr>
          <w:b/>
        </w:rPr>
        <w:t>Česká republika – Ministerstvo práce a sociálních věcí</w:t>
      </w:r>
    </w:p>
    <w:p w14:paraId="3D96BA99" w14:textId="7CCDFC40" w:rsidR="00607561" w:rsidRPr="00FF479E" w:rsidRDefault="00607561" w:rsidP="00567D72">
      <w:pPr>
        <w:pStyle w:val="RLdajeosmluvnstran"/>
        <w:spacing w:before="120" w:after="0" w:line="280" w:lineRule="atLeast"/>
      </w:pPr>
      <w:r w:rsidRPr="00FF479E">
        <w:t xml:space="preserve">se sídlem: </w:t>
      </w:r>
      <w:r w:rsidR="00120172" w:rsidRPr="00FF479E">
        <w:t>Na Poříčním právu 1/376, 128 0</w:t>
      </w:r>
      <w:r w:rsidR="008C1528">
        <w:t>0</w:t>
      </w:r>
      <w:r w:rsidR="00120172" w:rsidRPr="00FF479E">
        <w:t xml:space="preserve"> Praha 2</w:t>
      </w:r>
    </w:p>
    <w:p w14:paraId="5493D308" w14:textId="46AE9C0C" w:rsidR="00120172" w:rsidRDefault="00607561" w:rsidP="00567D72">
      <w:pPr>
        <w:pStyle w:val="RLdajeosmluvnstran"/>
        <w:spacing w:before="120" w:after="0" w:line="280" w:lineRule="atLeast"/>
      </w:pPr>
      <w:r w:rsidRPr="00FF479E">
        <w:t>IČ</w:t>
      </w:r>
      <w:r w:rsidR="004C1863" w:rsidRPr="00FF479E">
        <w:t>O</w:t>
      </w:r>
      <w:r w:rsidRPr="00FF479E">
        <w:t xml:space="preserve">: </w:t>
      </w:r>
      <w:r w:rsidR="00120172" w:rsidRPr="00FF479E">
        <w:t>00551023</w:t>
      </w:r>
    </w:p>
    <w:p w14:paraId="07DD1767" w14:textId="513A95C9" w:rsidR="00B16230" w:rsidRDefault="00B16230" w:rsidP="00567D72">
      <w:pPr>
        <w:pStyle w:val="RLdajeosmluvnstran"/>
        <w:spacing w:before="120" w:after="0" w:line="280" w:lineRule="atLeast"/>
        <w:rPr>
          <w:szCs w:val="22"/>
        </w:rPr>
      </w:pPr>
      <w:r w:rsidRPr="00432C3C">
        <w:rPr>
          <w:szCs w:val="22"/>
        </w:rPr>
        <w:t xml:space="preserve">bank. spojení: </w:t>
      </w:r>
      <w:r w:rsidRPr="00191BF2">
        <w:rPr>
          <w:szCs w:val="22"/>
        </w:rPr>
        <w:t>Česká národní banka, pobočka Praha, Na Příkopě 864/28, Praha 1, Nové Město, PSČ 115 03</w:t>
      </w:r>
    </w:p>
    <w:p w14:paraId="4D2560F7" w14:textId="125FFF98" w:rsidR="00B16230" w:rsidRPr="00FF479E" w:rsidRDefault="00B16230" w:rsidP="00567D72">
      <w:pPr>
        <w:pStyle w:val="RLdajeosmluvnstran"/>
        <w:spacing w:before="120" w:after="0" w:line="280" w:lineRule="atLeast"/>
      </w:pPr>
      <w:r>
        <w:t xml:space="preserve">číslo účtu: </w:t>
      </w:r>
      <w:r w:rsidRPr="00191BF2">
        <w:rPr>
          <w:smallCaps/>
          <w:szCs w:val="22"/>
        </w:rPr>
        <w:t>2229001/0710</w:t>
      </w:r>
    </w:p>
    <w:p w14:paraId="30B94BE4" w14:textId="2BBE3482" w:rsidR="00055172" w:rsidRPr="00FF479E" w:rsidRDefault="006E3C19" w:rsidP="00567D72">
      <w:pPr>
        <w:pStyle w:val="RLdajeosmluvnstran"/>
        <w:spacing w:before="120" w:after="0" w:line="280" w:lineRule="atLeast"/>
      </w:pPr>
      <w:r w:rsidRPr="00FF479E">
        <w:t>zastoupená</w:t>
      </w:r>
      <w:r w:rsidR="00607561" w:rsidRPr="00FF479E">
        <w:t>:</w:t>
      </w:r>
      <w:r w:rsidR="006E7188" w:rsidRPr="00FF479E">
        <w:t xml:space="preserve"> </w:t>
      </w:r>
      <w:r w:rsidR="00037D82" w:rsidRPr="00037D82">
        <w:t xml:space="preserve">Ing. Karlem </w:t>
      </w:r>
      <w:proofErr w:type="spellStart"/>
      <w:r w:rsidR="00037D82" w:rsidRPr="00037D82">
        <w:t>Trpkošem</w:t>
      </w:r>
      <w:proofErr w:type="spellEnd"/>
      <w:r w:rsidR="00037D82" w:rsidRPr="00037D82">
        <w:t>, vrchním ředitelem sekce informačních technologií</w:t>
      </w:r>
    </w:p>
    <w:p w14:paraId="3D96BA9D" w14:textId="478649D0" w:rsidR="00607561" w:rsidRPr="00FF479E" w:rsidRDefault="00607561" w:rsidP="00567D72">
      <w:pPr>
        <w:pStyle w:val="RLdajeosmluvnstran"/>
        <w:spacing w:before="120" w:after="0" w:line="280" w:lineRule="atLeast"/>
      </w:pPr>
      <w:r w:rsidRPr="00FF479E">
        <w:t>(dále jen „</w:t>
      </w:r>
      <w:r w:rsidRPr="00FF479E">
        <w:rPr>
          <w:b/>
        </w:rPr>
        <w:t>Objednatel</w:t>
      </w:r>
      <w:r w:rsidR="008C1528">
        <w:t>“ nebo „</w:t>
      </w:r>
      <w:r w:rsidR="008C1528" w:rsidRPr="008C1528">
        <w:rPr>
          <w:b/>
          <w:bCs/>
        </w:rPr>
        <w:t>MPSV</w:t>
      </w:r>
      <w:r w:rsidR="008C1528">
        <w:t>“</w:t>
      </w:r>
      <w:r w:rsidRPr="00FF479E">
        <w:t>)</w:t>
      </w:r>
    </w:p>
    <w:p w14:paraId="3D96BAA1" w14:textId="330FD327" w:rsidR="00607561" w:rsidRPr="00FF479E" w:rsidRDefault="00976169" w:rsidP="00567D72">
      <w:pPr>
        <w:spacing w:before="360" w:after="360" w:line="280" w:lineRule="atLeast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a</w:t>
      </w:r>
    </w:p>
    <w:p w14:paraId="460B4DCE" w14:textId="1A509B8B" w:rsidR="00A33C7E" w:rsidRPr="0065619E" w:rsidRDefault="00B16230" w:rsidP="00567D72">
      <w:pPr>
        <w:pStyle w:val="RLdajeosmluvnstran"/>
        <w:spacing w:before="120" w:after="0" w:line="280" w:lineRule="atLeast"/>
        <w:rPr>
          <w:b/>
          <w:bCs/>
        </w:rPr>
      </w:pPr>
      <w:proofErr w:type="spellStart"/>
      <w:r>
        <w:rPr>
          <w:b/>
          <w:bCs/>
        </w:rPr>
        <w:t>Asseco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Central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Europe</w:t>
      </w:r>
      <w:proofErr w:type="spellEnd"/>
      <w:r>
        <w:rPr>
          <w:b/>
          <w:bCs/>
        </w:rPr>
        <w:t>, a.s.</w:t>
      </w:r>
    </w:p>
    <w:p w14:paraId="201996BD" w14:textId="41483E73" w:rsidR="00432C3C" w:rsidRPr="00432C3C" w:rsidRDefault="00432C3C" w:rsidP="00567D72">
      <w:pPr>
        <w:pStyle w:val="RLdajeosmluvnstran"/>
        <w:spacing w:before="120" w:after="0" w:line="280" w:lineRule="atLeast"/>
        <w:rPr>
          <w:szCs w:val="22"/>
        </w:rPr>
      </w:pPr>
      <w:r w:rsidRPr="00432C3C">
        <w:rPr>
          <w:szCs w:val="22"/>
        </w:rPr>
        <w:t xml:space="preserve">se sídlem: </w:t>
      </w:r>
      <w:r w:rsidR="00B16230">
        <w:rPr>
          <w:szCs w:val="22"/>
        </w:rPr>
        <w:t>Budějovická 778/</w:t>
      </w:r>
      <w:proofErr w:type="gramStart"/>
      <w:r w:rsidR="00B16230">
        <w:rPr>
          <w:szCs w:val="22"/>
        </w:rPr>
        <w:t>3a</w:t>
      </w:r>
      <w:proofErr w:type="gramEnd"/>
      <w:r w:rsidR="00B16230">
        <w:rPr>
          <w:szCs w:val="22"/>
        </w:rPr>
        <w:t>, Michle, 140 00 Praha 4</w:t>
      </w:r>
    </w:p>
    <w:p w14:paraId="10B8836D" w14:textId="43560919" w:rsidR="00432C3C" w:rsidRPr="00432C3C" w:rsidRDefault="00432C3C" w:rsidP="00567D72">
      <w:pPr>
        <w:pStyle w:val="RLdajeosmluvnstran"/>
        <w:spacing w:before="120" w:after="0" w:line="280" w:lineRule="atLeast"/>
        <w:rPr>
          <w:szCs w:val="22"/>
        </w:rPr>
      </w:pPr>
      <w:r w:rsidRPr="00432C3C">
        <w:rPr>
          <w:szCs w:val="22"/>
        </w:rPr>
        <w:t xml:space="preserve">IČO: </w:t>
      </w:r>
      <w:r w:rsidR="00B16230">
        <w:rPr>
          <w:szCs w:val="22"/>
        </w:rPr>
        <w:t>27074358</w:t>
      </w:r>
      <w:r w:rsidRPr="00432C3C">
        <w:rPr>
          <w:szCs w:val="22"/>
        </w:rPr>
        <w:t xml:space="preserve">, DIČ: </w:t>
      </w:r>
      <w:r w:rsidR="00B16230">
        <w:rPr>
          <w:szCs w:val="22"/>
        </w:rPr>
        <w:t>CZ27074358</w:t>
      </w:r>
    </w:p>
    <w:p w14:paraId="6160D769" w14:textId="69701891" w:rsidR="00B16230" w:rsidRPr="00191BF2" w:rsidRDefault="00432C3C" w:rsidP="00567D72">
      <w:pPr>
        <w:pStyle w:val="RLdajeosmluvnstran"/>
        <w:spacing w:before="120" w:after="0" w:line="280" w:lineRule="atLeast"/>
        <w:rPr>
          <w:szCs w:val="22"/>
        </w:rPr>
      </w:pPr>
      <w:r w:rsidRPr="00432C3C">
        <w:rPr>
          <w:szCs w:val="22"/>
        </w:rPr>
        <w:t xml:space="preserve">společnost </w:t>
      </w:r>
      <w:r w:rsidR="00B16230" w:rsidRPr="00191BF2">
        <w:rPr>
          <w:szCs w:val="22"/>
        </w:rPr>
        <w:t>zapsaná v obchodním rejstříku vedeném</w:t>
      </w:r>
      <w:r w:rsidR="00B16230">
        <w:rPr>
          <w:szCs w:val="22"/>
        </w:rPr>
        <w:t>u Městským soudem v Praze</w:t>
      </w:r>
      <w:r w:rsidR="00B16230" w:rsidRPr="00191BF2">
        <w:rPr>
          <w:i/>
          <w:szCs w:val="22"/>
        </w:rPr>
        <w:t xml:space="preserve">, </w:t>
      </w:r>
      <w:r w:rsidR="00B16230" w:rsidRPr="00191BF2">
        <w:rPr>
          <w:szCs w:val="22"/>
        </w:rPr>
        <w:t>oddíl</w:t>
      </w:r>
      <w:r w:rsidR="00B16230">
        <w:rPr>
          <w:szCs w:val="22"/>
        </w:rPr>
        <w:t xml:space="preserve"> B</w:t>
      </w:r>
      <w:r w:rsidR="00B16230" w:rsidRPr="00191BF2">
        <w:rPr>
          <w:szCs w:val="22"/>
        </w:rPr>
        <w:t>, vložka</w:t>
      </w:r>
      <w:r w:rsidR="00B16230">
        <w:rPr>
          <w:szCs w:val="22"/>
        </w:rPr>
        <w:t xml:space="preserve"> 8525</w:t>
      </w:r>
    </w:p>
    <w:p w14:paraId="3F23D0C7" w14:textId="77777777" w:rsidR="00F7314C" w:rsidRDefault="00432C3C" w:rsidP="00567D72">
      <w:pPr>
        <w:pStyle w:val="RLdajeosmluvnstran"/>
        <w:spacing w:before="120" w:after="0" w:line="280" w:lineRule="atLeast"/>
        <w:rPr>
          <w:szCs w:val="22"/>
        </w:rPr>
      </w:pPr>
      <w:r w:rsidRPr="00432C3C">
        <w:rPr>
          <w:szCs w:val="22"/>
        </w:rPr>
        <w:t xml:space="preserve">bank. spojení: </w:t>
      </w:r>
      <w:r w:rsidR="00F7314C" w:rsidRPr="00F7314C">
        <w:rPr>
          <w:i/>
          <w:iCs/>
          <w:color w:val="FFFFFF" w:themeColor="background1"/>
          <w:szCs w:val="22"/>
          <w:highlight w:val="black"/>
        </w:rPr>
        <w:t>neveřejný údaj</w:t>
      </w:r>
    </w:p>
    <w:p w14:paraId="7E872E5B" w14:textId="71431E5B" w:rsidR="00432C3C" w:rsidRPr="00432C3C" w:rsidRDefault="00432C3C" w:rsidP="00567D72">
      <w:pPr>
        <w:pStyle w:val="RLdajeosmluvnstran"/>
        <w:spacing w:before="120" w:after="0" w:line="280" w:lineRule="atLeast"/>
        <w:rPr>
          <w:szCs w:val="22"/>
        </w:rPr>
      </w:pPr>
      <w:r w:rsidRPr="00432C3C">
        <w:rPr>
          <w:szCs w:val="22"/>
        </w:rPr>
        <w:t xml:space="preserve">č. účtu: </w:t>
      </w:r>
      <w:r w:rsidR="00F7314C" w:rsidRPr="00F7314C">
        <w:rPr>
          <w:i/>
          <w:iCs/>
          <w:color w:val="FFFFFF" w:themeColor="background1"/>
          <w:szCs w:val="22"/>
          <w:highlight w:val="black"/>
        </w:rPr>
        <w:t>neveřejný údaj</w:t>
      </w:r>
    </w:p>
    <w:p w14:paraId="694732E1" w14:textId="7DF83176" w:rsidR="00432C3C" w:rsidRDefault="00432C3C" w:rsidP="00567D72">
      <w:pPr>
        <w:pStyle w:val="RLdajeosmluvnstran"/>
        <w:spacing w:before="120" w:after="0" w:line="280" w:lineRule="atLeast"/>
        <w:rPr>
          <w:szCs w:val="22"/>
        </w:rPr>
      </w:pPr>
      <w:r w:rsidRPr="00432C3C">
        <w:rPr>
          <w:szCs w:val="22"/>
        </w:rPr>
        <w:t>zastoupená</w:t>
      </w:r>
      <w:r w:rsidR="00B16230" w:rsidRPr="00B16230">
        <w:rPr>
          <w:szCs w:val="22"/>
        </w:rPr>
        <w:t xml:space="preserve"> </w:t>
      </w:r>
      <w:r w:rsidR="00B16230">
        <w:rPr>
          <w:szCs w:val="22"/>
        </w:rPr>
        <w:t>Mgr. Jiřím Winklerem, prokuristou</w:t>
      </w:r>
    </w:p>
    <w:p w14:paraId="3D96BAA9" w14:textId="16395B71" w:rsidR="00607561" w:rsidRDefault="00607561" w:rsidP="00567D72">
      <w:pPr>
        <w:pStyle w:val="RLdajeosmluvnstran"/>
        <w:spacing w:before="120" w:after="0" w:line="280" w:lineRule="atLeast"/>
        <w:rPr>
          <w:szCs w:val="22"/>
        </w:rPr>
      </w:pPr>
      <w:r w:rsidRPr="00FF479E">
        <w:rPr>
          <w:szCs w:val="22"/>
        </w:rPr>
        <w:t>(dále jen „</w:t>
      </w:r>
      <w:r w:rsidR="00902894" w:rsidRPr="00FF479E">
        <w:rPr>
          <w:b/>
          <w:bCs/>
        </w:rPr>
        <w:t>Poskytovatel</w:t>
      </w:r>
      <w:r w:rsidRPr="00FF479E">
        <w:rPr>
          <w:szCs w:val="22"/>
        </w:rPr>
        <w:t>“)</w:t>
      </w:r>
    </w:p>
    <w:p w14:paraId="00FBB214" w14:textId="3F9EB466" w:rsidR="00D577C0" w:rsidRDefault="00D577C0" w:rsidP="00567D72">
      <w:pPr>
        <w:pStyle w:val="RLdajeosmluvnstran"/>
        <w:spacing w:before="240" w:after="0" w:line="280" w:lineRule="atLeast"/>
        <w:rPr>
          <w:szCs w:val="22"/>
        </w:rPr>
      </w:pPr>
      <w:r>
        <w:rPr>
          <w:szCs w:val="22"/>
        </w:rPr>
        <w:t xml:space="preserve">(Poskytovatel a Objednatel společně </w:t>
      </w:r>
      <w:r w:rsidRPr="00D577C0">
        <w:rPr>
          <w:szCs w:val="22"/>
        </w:rPr>
        <w:t>„</w:t>
      </w:r>
      <w:r w:rsidR="00B03BDA">
        <w:rPr>
          <w:b/>
          <w:szCs w:val="22"/>
        </w:rPr>
        <w:t>S</w:t>
      </w:r>
      <w:r w:rsidRPr="00D577C0">
        <w:rPr>
          <w:b/>
          <w:szCs w:val="22"/>
        </w:rPr>
        <w:t>trany</w:t>
      </w:r>
      <w:r w:rsidRPr="00D577C0">
        <w:rPr>
          <w:szCs w:val="22"/>
        </w:rPr>
        <w:t>“</w:t>
      </w:r>
      <w:r w:rsidR="00B16230">
        <w:rPr>
          <w:szCs w:val="22"/>
        </w:rPr>
        <w:t xml:space="preserve"> a každá z nich samostatně „</w:t>
      </w:r>
      <w:r w:rsidR="00B16230" w:rsidRPr="00B16230">
        <w:rPr>
          <w:b/>
          <w:bCs/>
          <w:szCs w:val="22"/>
        </w:rPr>
        <w:t>Strana</w:t>
      </w:r>
      <w:r w:rsidR="00B16230">
        <w:rPr>
          <w:szCs w:val="22"/>
        </w:rPr>
        <w:t>“</w:t>
      </w:r>
      <w:r w:rsidRPr="00D577C0">
        <w:rPr>
          <w:szCs w:val="22"/>
        </w:rPr>
        <w:t>)</w:t>
      </w:r>
    </w:p>
    <w:p w14:paraId="3D96BAAD" w14:textId="423B0080" w:rsidR="00607561" w:rsidRPr="00440018" w:rsidRDefault="001A735C" w:rsidP="001A735C">
      <w:pPr>
        <w:spacing w:before="360" w:after="0" w:line="280" w:lineRule="atLeast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níže uvedené dne, měsíce a roku u</w:t>
      </w:r>
      <w:r w:rsidR="00607561" w:rsidRPr="00FF479E">
        <w:rPr>
          <w:szCs w:val="22"/>
          <w:lang w:eastAsia="en-US"/>
        </w:rPr>
        <w:t xml:space="preserve">zavřely </w:t>
      </w:r>
      <w:r w:rsidR="00D56332">
        <w:rPr>
          <w:szCs w:val="22"/>
        </w:rPr>
        <w:t xml:space="preserve">tento </w:t>
      </w:r>
      <w:r w:rsidR="008C1528">
        <w:rPr>
          <w:szCs w:val="22"/>
        </w:rPr>
        <w:t>d</w:t>
      </w:r>
      <w:r w:rsidR="0065619E">
        <w:rPr>
          <w:szCs w:val="22"/>
        </w:rPr>
        <w:t>odate</w:t>
      </w:r>
      <w:r w:rsidR="009057C2">
        <w:rPr>
          <w:szCs w:val="22"/>
        </w:rPr>
        <w:t xml:space="preserve">k č. </w:t>
      </w:r>
      <w:r w:rsidR="00EC4B9E">
        <w:rPr>
          <w:szCs w:val="22"/>
        </w:rPr>
        <w:t>1</w:t>
      </w:r>
      <w:r w:rsidR="0065619E">
        <w:rPr>
          <w:szCs w:val="22"/>
        </w:rPr>
        <w:t xml:space="preserve"> k</w:t>
      </w:r>
      <w:r w:rsidR="00B16230">
        <w:rPr>
          <w:szCs w:val="22"/>
        </w:rPr>
        <w:t> servisní smlouvě na poskytování služeb provozní podpory a dalšího rozvoje JPŘ PSV</w:t>
      </w:r>
      <w:r>
        <w:rPr>
          <w:szCs w:val="22"/>
        </w:rPr>
        <w:t>,</w:t>
      </w:r>
      <w:r w:rsidR="0065619E">
        <w:rPr>
          <w:szCs w:val="22"/>
        </w:rPr>
        <w:t xml:space="preserve"> uzavřené </w:t>
      </w:r>
      <w:r w:rsidR="0065619E" w:rsidRPr="009057C2">
        <w:rPr>
          <w:szCs w:val="22"/>
        </w:rPr>
        <w:t>v</w:t>
      </w:r>
      <w:r w:rsidR="0065619E" w:rsidRPr="00FF479E">
        <w:rPr>
          <w:szCs w:val="22"/>
        </w:rPr>
        <w:t xml:space="preserve"> souladu s ustanovením</w:t>
      </w:r>
      <w:r w:rsidR="00607561" w:rsidRPr="00FF479E">
        <w:rPr>
          <w:szCs w:val="22"/>
          <w:lang w:eastAsia="en-US"/>
        </w:rPr>
        <w:t xml:space="preserve"> </w:t>
      </w:r>
      <w:r w:rsidR="00214B35" w:rsidRPr="00FF479E">
        <w:rPr>
          <w:szCs w:val="22"/>
          <w:lang w:eastAsia="en-US"/>
        </w:rPr>
        <w:t xml:space="preserve">§ </w:t>
      </w:r>
      <w:r w:rsidR="00B16230">
        <w:rPr>
          <w:szCs w:val="22"/>
          <w:lang w:eastAsia="en-US"/>
        </w:rPr>
        <w:t>1746 odst. 2</w:t>
      </w:r>
      <w:r w:rsidR="00214B35" w:rsidRPr="00FF479E">
        <w:rPr>
          <w:szCs w:val="22"/>
          <w:lang w:eastAsia="en-US"/>
        </w:rPr>
        <w:t xml:space="preserve"> a násl. zákona č. 89/2012 Sb., občanský zákoník</w:t>
      </w:r>
      <w:r w:rsidR="00F25045">
        <w:rPr>
          <w:szCs w:val="22"/>
          <w:lang w:eastAsia="en-US"/>
        </w:rPr>
        <w:t>, ve znění pozdějších předpisů</w:t>
      </w:r>
      <w:r w:rsidR="00DF4FAB" w:rsidRPr="00FF479E">
        <w:rPr>
          <w:szCs w:val="22"/>
          <w:lang w:eastAsia="en-US"/>
        </w:rPr>
        <w:t xml:space="preserve"> </w:t>
      </w:r>
      <w:r w:rsidR="00607561" w:rsidRPr="00FF479E">
        <w:rPr>
          <w:szCs w:val="22"/>
          <w:lang w:eastAsia="en-US"/>
        </w:rPr>
        <w:t>(dále jen „</w:t>
      </w:r>
      <w:r w:rsidR="0065619E" w:rsidRPr="0065619E">
        <w:rPr>
          <w:b/>
          <w:bCs/>
          <w:lang w:eastAsia="en-US"/>
        </w:rPr>
        <w:t>Dodatek</w:t>
      </w:r>
      <w:r w:rsidR="008C1528">
        <w:rPr>
          <w:b/>
          <w:bCs/>
          <w:lang w:eastAsia="en-US"/>
        </w:rPr>
        <w:t xml:space="preserve"> č. 1</w:t>
      </w:r>
      <w:r w:rsidR="00440018" w:rsidRPr="00440018">
        <w:rPr>
          <w:bCs/>
          <w:lang w:eastAsia="en-US"/>
        </w:rPr>
        <w:t>“</w:t>
      </w:r>
      <w:r w:rsidR="00607561" w:rsidRPr="00440018">
        <w:rPr>
          <w:szCs w:val="22"/>
          <w:lang w:eastAsia="en-US"/>
        </w:rPr>
        <w:t>)</w:t>
      </w:r>
      <w:r w:rsidR="00703DD2">
        <w:rPr>
          <w:szCs w:val="22"/>
          <w:lang w:eastAsia="en-US"/>
        </w:rPr>
        <w:t>.</w:t>
      </w:r>
    </w:p>
    <w:p w14:paraId="3D96BAAE" w14:textId="2315AC85" w:rsidR="00EC245F" w:rsidRDefault="0065619E" w:rsidP="00B03BDA">
      <w:pPr>
        <w:pStyle w:val="RLProhlensmluvnchstran"/>
        <w:spacing w:before="240" w:after="0" w:line="280" w:lineRule="atLeast"/>
      </w:pPr>
      <w:r w:rsidRPr="00A42B5B">
        <w:rPr>
          <w:rFonts w:cs="Arial"/>
          <w:szCs w:val="22"/>
        </w:rPr>
        <w:t>Smluvní strany, vědomy si svých závazků v</w:t>
      </w:r>
      <w:r>
        <w:rPr>
          <w:rFonts w:cs="Arial"/>
          <w:szCs w:val="22"/>
        </w:rPr>
        <w:t> tomto Dodatku</w:t>
      </w:r>
      <w:r w:rsidRPr="00A42B5B">
        <w:rPr>
          <w:rFonts w:cs="Arial"/>
          <w:szCs w:val="22"/>
        </w:rPr>
        <w:t xml:space="preserve"> </w:t>
      </w:r>
      <w:r w:rsidR="008C1528">
        <w:rPr>
          <w:rFonts w:cs="Arial"/>
          <w:szCs w:val="22"/>
        </w:rPr>
        <w:t xml:space="preserve">č. 1 </w:t>
      </w:r>
      <w:r w:rsidRPr="00A42B5B">
        <w:rPr>
          <w:rFonts w:cs="Arial"/>
          <w:szCs w:val="22"/>
        </w:rPr>
        <w:t xml:space="preserve">obsažených a s úmyslem být </w:t>
      </w:r>
      <w:r>
        <w:rPr>
          <w:rFonts w:cs="Arial"/>
          <w:szCs w:val="22"/>
        </w:rPr>
        <w:t>tímto Dodatkem</w:t>
      </w:r>
      <w:r w:rsidRPr="00A42B5B">
        <w:rPr>
          <w:rFonts w:cs="Arial"/>
          <w:szCs w:val="22"/>
        </w:rPr>
        <w:t xml:space="preserve"> </w:t>
      </w:r>
      <w:r w:rsidR="008C1528">
        <w:rPr>
          <w:rFonts w:cs="Arial"/>
          <w:szCs w:val="22"/>
        </w:rPr>
        <w:t>č. 1</w:t>
      </w:r>
      <w:r w:rsidR="00E43EC3">
        <w:rPr>
          <w:rFonts w:cs="Arial"/>
          <w:szCs w:val="22"/>
        </w:rPr>
        <w:t xml:space="preserve"> </w:t>
      </w:r>
      <w:r w:rsidRPr="00A42B5B">
        <w:rPr>
          <w:rFonts w:cs="Arial"/>
          <w:szCs w:val="22"/>
        </w:rPr>
        <w:t xml:space="preserve">vázány, dohodly se na následujícím znění </w:t>
      </w:r>
      <w:r w:rsidR="008C1528">
        <w:rPr>
          <w:rFonts w:cs="Arial"/>
          <w:szCs w:val="22"/>
        </w:rPr>
        <w:t xml:space="preserve">tohoto </w:t>
      </w:r>
      <w:r>
        <w:rPr>
          <w:rFonts w:cs="Arial"/>
          <w:szCs w:val="22"/>
        </w:rPr>
        <w:t>Dodatku</w:t>
      </w:r>
      <w:r w:rsidR="008C1528">
        <w:rPr>
          <w:rFonts w:cs="Arial"/>
          <w:szCs w:val="22"/>
        </w:rPr>
        <w:t xml:space="preserve"> č. 1</w:t>
      </w:r>
      <w:r w:rsidR="00EC245F" w:rsidRPr="00FF479E">
        <w:t>:</w:t>
      </w:r>
    </w:p>
    <w:p w14:paraId="4D8051F2" w14:textId="77777777" w:rsidR="00D732EB" w:rsidRPr="00FF479E" w:rsidRDefault="00D732EB" w:rsidP="00BB5759">
      <w:pPr>
        <w:pStyle w:val="RLProhlensmluvnchstran"/>
        <w:spacing w:before="120" w:after="0" w:line="280" w:lineRule="atLeast"/>
      </w:pPr>
    </w:p>
    <w:p w14:paraId="7CCFB352" w14:textId="77777777" w:rsidR="00B03BDA" w:rsidRDefault="00B03BDA" w:rsidP="00B03BDA">
      <w:pPr>
        <w:pStyle w:val="RLlneksmlouvy"/>
        <w:keepNext w:val="0"/>
        <w:numPr>
          <w:ilvl w:val="0"/>
          <w:numId w:val="0"/>
        </w:numPr>
        <w:spacing w:before="120" w:line="280" w:lineRule="atLeast"/>
        <w:ind w:left="737" w:hanging="737"/>
        <w:rPr>
          <w:szCs w:val="22"/>
        </w:rPr>
      </w:pPr>
    </w:p>
    <w:p w14:paraId="157908C9" w14:textId="77777777" w:rsidR="00B03BDA" w:rsidRDefault="00B03BDA" w:rsidP="00B03BDA">
      <w:pPr>
        <w:pStyle w:val="RLlneksmlouvy"/>
        <w:keepNext w:val="0"/>
        <w:numPr>
          <w:ilvl w:val="0"/>
          <w:numId w:val="0"/>
        </w:numPr>
        <w:spacing w:before="120" w:line="280" w:lineRule="atLeast"/>
        <w:ind w:left="737" w:hanging="737"/>
        <w:rPr>
          <w:szCs w:val="22"/>
        </w:rPr>
      </w:pPr>
    </w:p>
    <w:p w14:paraId="3D96BAAF" w14:textId="471F43CE" w:rsidR="000F7E77" w:rsidRPr="00B03BDA" w:rsidRDefault="0065619E" w:rsidP="00B03BDA">
      <w:pPr>
        <w:pStyle w:val="RLlneksmlouvy"/>
        <w:keepNext w:val="0"/>
        <w:spacing w:line="280" w:lineRule="atLeast"/>
      </w:pPr>
      <w:r w:rsidRPr="00B03BDA">
        <w:lastRenderedPageBreak/>
        <w:t>PREAMBULE</w:t>
      </w:r>
    </w:p>
    <w:p w14:paraId="3084F163" w14:textId="3C845AB3" w:rsidR="00422712" w:rsidRPr="00422712" w:rsidRDefault="00B03BDA" w:rsidP="003B0C64">
      <w:pPr>
        <w:pStyle w:val="RLTextlnkuslovan"/>
        <w:rPr>
          <w:lang w:eastAsia="en-US"/>
        </w:rPr>
      </w:pPr>
      <w:r>
        <w:rPr>
          <w:lang w:eastAsia="en-US"/>
        </w:rPr>
        <w:t>Strany</w:t>
      </w:r>
      <w:r w:rsidR="00422712" w:rsidRPr="00422712">
        <w:rPr>
          <w:lang w:eastAsia="en-US"/>
        </w:rPr>
        <w:t xml:space="preserve"> uzavřely dne </w:t>
      </w:r>
      <w:r w:rsidR="007E31F6">
        <w:rPr>
          <w:lang w:eastAsia="en-US"/>
        </w:rPr>
        <w:t>7</w:t>
      </w:r>
      <w:r w:rsidR="00422712" w:rsidRPr="00422712">
        <w:rPr>
          <w:lang w:eastAsia="en-US"/>
        </w:rPr>
        <w:t xml:space="preserve">. </w:t>
      </w:r>
      <w:r w:rsidR="007E31F6">
        <w:rPr>
          <w:lang w:eastAsia="en-US"/>
        </w:rPr>
        <w:t>11</w:t>
      </w:r>
      <w:r w:rsidR="00422712" w:rsidRPr="00422712">
        <w:rPr>
          <w:lang w:eastAsia="en-US"/>
        </w:rPr>
        <w:t>. 2024</w:t>
      </w:r>
      <w:r w:rsidR="001A735C" w:rsidRPr="001A735C">
        <w:t xml:space="preserve"> </w:t>
      </w:r>
      <w:r w:rsidR="001A735C">
        <w:t xml:space="preserve">servisní </w:t>
      </w:r>
      <w:r w:rsidR="001A735C">
        <w:rPr>
          <w:lang w:eastAsia="en-US"/>
        </w:rPr>
        <w:t>s</w:t>
      </w:r>
      <w:r w:rsidR="001A735C" w:rsidRPr="00422712">
        <w:rPr>
          <w:lang w:eastAsia="en-US"/>
        </w:rPr>
        <w:t xml:space="preserve">mlouvu </w:t>
      </w:r>
      <w:r w:rsidR="001A735C">
        <w:rPr>
          <w:lang w:eastAsia="en-US"/>
        </w:rPr>
        <w:t xml:space="preserve">na poskytování služeb provozní podpory a dalšího rozvoje </w:t>
      </w:r>
      <w:r w:rsidR="001A735C" w:rsidRPr="00E3470F">
        <w:rPr>
          <w:rFonts w:eastAsia="Arial"/>
          <w:szCs w:val="22"/>
        </w:rPr>
        <w:t>Jednotné</w:t>
      </w:r>
      <w:r w:rsidR="001A735C">
        <w:rPr>
          <w:rFonts w:eastAsia="Arial"/>
          <w:szCs w:val="22"/>
        </w:rPr>
        <w:t>ho</w:t>
      </w:r>
      <w:r w:rsidR="001A735C" w:rsidRPr="00E3470F">
        <w:rPr>
          <w:rFonts w:eastAsia="Arial"/>
          <w:szCs w:val="22"/>
        </w:rPr>
        <w:t xml:space="preserve"> portálové</w:t>
      </w:r>
      <w:r w:rsidR="001A735C">
        <w:rPr>
          <w:rFonts w:eastAsia="Arial"/>
          <w:szCs w:val="22"/>
        </w:rPr>
        <w:t>ho</w:t>
      </w:r>
      <w:r w:rsidR="001A735C" w:rsidRPr="00E3470F">
        <w:rPr>
          <w:rFonts w:eastAsia="Arial"/>
          <w:szCs w:val="22"/>
        </w:rPr>
        <w:t xml:space="preserve"> řešení práce</w:t>
      </w:r>
      <w:r w:rsidR="001A735C">
        <w:rPr>
          <w:rFonts w:eastAsia="Arial"/>
          <w:szCs w:val="22"/>
        </w:rPr>
        <w:t xml:space="preserve"> </w:t>
      </w:r>
      <w:r w:rsidR="001A735C" w:rsidRPr="00E3470F">
        <w:rPr>
          <w:rFonts w:eastAsia="Arial"/>
          <w:szCs w:val="22"/>
        </w:rPr>
        <w:t>a sociálních věcí</w:t>
      </w:r>
      <w:r w:rsidR="001A735C">
        <w:rPr>
          <w:lang w:eastAsia="en-US"/>
        </w:rPr>
        <w:t xml:space="preserve"> (JPŘ PSV)</w:t>
      </w:r>
      <w:r w:rsidR="001A735C" w:rsidRPr="00422712">
        <w:rPr>
          <w:lang w:eastAsia="en-US"/>
        </w:rPr>
        <w:t xml:space="preserve"> (dále jen „</w:t>
      </w:r>
      <w:r w:rsidR="001A735C" w:rsidRPr="004F0B7B">
        <w:rPr>
          <w:b/>
          <w:lang w:eastAsia="en-US"/>
        </w:rPr>
        <w:t>S</w:t>
      </w:r>
      <w:r w:rsidR="001A735C">
        <w:rPr>
          <w:b/>
          <w:lang w:eastAsia="en-US"/>
        </w:rPr>
        <w:t>ervisní s</w:t>
      </w:r>
      <w:r w:rsidR="001A735C" w:rsidRPr="004F0B7B">
        <w:rPr>
          <w:b/>
          <w:lang w:eastAsia="en-US"/>
        </w:rPr>
        <w:t>mlouva</w:t>
      </w:r>
      <w:r w:rsidR="001A735C" w:rsidRPr="00422712">
        <w:rPr>
          <w:lang w:eastAsia="en-US"/>
        </w:rPr>
        <w:t>“)</w:t>
      </w:r>
      <w:r w:rsidR="001A735C">
        <w:rPr>
          <w:lang w:eastAsia="en-US"/>
        </w:rPr>
        <w:t>, a to</w:t>
      </w:r>
      <w:r w:rsidR="00422712" w:rsidRPr="00422712">
        <w:rPr>
          <w:lang w:eastAsia="en-US"/>
        </w:rPr>
        <w:t xml:space="preserve"> na základě výsledku zadávacího řízení na veřejnou zakázku s názvem „</w:t>
      </w:r>
      <w:bookmarkStart w:id="2" w:name="_Hlk134191069"/>
      <w:r w:rsidR="007E31F6" w:rsidRPr="00191BF2">
        <w:rPr>
          <w:i/>
          <w:iCs/>
        </w:rPr>
        <w:t xml:space="preserve">Poskytování služeb </w:t>
      </w:r>
      <w:bookmarkEnd w:id="2"/>
      <w:r w:rsidR="007E31F6" w:rsidRPr="00191BF2">
        <w:rPr>
          <w:i/>
          <w:iCs/>
        </w:rPr>
        <w:t>provozní podpory a dalšího rozvoje JPŘ PSV</w:t>
      </w:r>
      <w:r w:rsidR="00422712" w:rsidRPr="00422712">
        <w:rPr>
          <w:lang w:eastAsia="en-US"/>
        </w:rPr>
        <w:t>“ (dále jen „</w:t>
      </w:r>
      <w:r w:rsidR="00422712" w:rsidRPr="004F0B7B">
        <w:rPr>
          <w:b/>
          <w:lang w:eastAsia="en-US"/>
        </w:rPr>
        <w:t>Veřejná zakázka</w:t>
      </w:r>
      <w:r w:rsidR="00422712" w:rsidRPr="00422712">
        <w:rPr>
          <w:lang w:eastAsia="en-US"/>
        </w:rPr>
        <w:t>“)</w:t>
      </w:r>
      <w:r w:rsidR="008C1528">
        <w:rPr>
          <w:lang w:eastAsia="en-US"/>
        </w:rPr>
        <w:t>,</w:t>
      </w:r>
      <w:r w:rsidR="004F0B7B">
        <w:rPr>
          <w:lang w:eastAsia="en-US"/>
        </w:rPr>
        <w:t xml:space="preserve"> </w:t>
      </w:r>
      <w:r w:rsidR="001A735C">
        <w:rPr>
          <w:lang w:eastAsia="en-US"/>
        </w:rPr>
        <w:t>zadané v souladu se</w:t>
      </w:r>
      <w:r w:rsidR="004F0B7B">
        <w:rPr>
          <w:lang w:eastAsia="en-US"/>
        </w:rPr>
        <w:t xml:space="preserve"> zákon</w:t>
      </w:r>
      <w:r w:rsidR="001A735C">
        <w:rPr>
          <w:lang w:eastAsia="en-US"/>
        </w:rPr>
        <w:t>em</w:t>
      </w:r>
      <w:r w:rsidR="004F0B7B">
        <w:t xml:space="preserve"> č. 134/2016 Sb., o zadávání veřejných zakázek, ve znění pozdějších předpisů (dále jen „</w:t>
      </w:r>
      <w:r w:rsidR="004F0B7B" w:rsidRPr="004F0B7B">
        <w:rPr>
          <w:b/>
        </w:rPr>
        <w:t>ZZVZ</w:t>
      </w:r>
      <w:r w:rsidR="004F0B7B">
        <w:t>“</w:t>
      </w:r>
      <w:proofErr w:type="gramStart"/>
      <w:r w:rsidR="004F0B7B">
        <w:t>)</w:t>
      </w:r>
      <w:r w:rsidR="001A735C">
        <w:t>.</w:t>
      </w:r>
      <w:r w:rsidR="00422712" w:rsidRPr="00422712">
        <w:rPr>
          <w:lang w:eastAsia="en-US"/>
        </w:rPr>
        <w:t>.</w:t>
      </w:r>
      <w:proofErr w:type="gramEnd"/>
      <w:r w:rsidR="00422712" w:rsidRPr="00422712">
        <w:rPr>
          <w:lang w:eastAsia="en-US"/>
        </w:rPr>
        <w:t xml:space="preserve"> </w:t>
      </w:r>
      <w:r w:rsidR="001A735C">
        <w:rPr>
          <w:lang w:eastAsia="en-US"/>
        </w:rPr>
        <w:t>Strany prohlašují, že p</w:t>
      </w:r>
      <w:r w:rsidR="00422712" w:rsidRPr="00422712">
        <w:rPr>
          <w:lang w:eastAsia="en-US"/>
        </w:rPr>
        <w:t xml:space="preserve">ojmy užité v tomto Dodatku </w:t>
      </w:r>
      <w:r w:rsidR="008C1528">
        <w:rPr>
          <w:lang w:eastAsia="en-US"/>
        </w:rPr>
        <w:t xml:space="preserve">č. 1 </w:t>
      </w:r>
      <w:r w:rsidR="00422712" w:rsidRPr="00422712">
        <w:rPr>
          <w:lang w:eastAsia="en-US"/>
        </w:rPr>
        <w:t>s velkým počátečním písmenem jsou definovány ve S</w:t>
      </w:r>
      <w:r w:rsidR="007E31F6">
        <w:rPr>
          <w:lang w:eastAsia="en-US"/>
        </w:rPr>
        <w:t>ervisní s</w:t>
      </w:r>
      <w:r w:rsidR="00422712" w:rsidRPr="00422712">
        <w:rPr>
          <w:lang w:eastAsia="en-US"/>
        </w:rPr>
        <w:t>mlouvě a mají tedy stejný význam jako pojmy užité s velkým počátečním písmenem v</w:t>
      </w:r>
      <w:r w:rsidR="007E31F6">
        <w:rPr>
          <w:lang w:eastAsia="en-US"/>
        </w:rPr>
        <w:t xml:space="preserve"> Servisní s</w:t>
      </w:r>
      <w:r w:rsidR="00422712" w:rsidRPr="00422712">
        <w:rPr>
          <w:lang w:eastAsia="en-US"/>
        </w:rPr>
        <w:t>mlouvě.</w:t>
      </w:r>
    </w:p>
    <w:p w14:paraId="0610D9BC" w14:textId="3BE6C30C" w:rsidR="007E31F6" w:rsidRPr="006A5779" w:rsidRDefault="00422712" w:rsidP="008C1528">
      <w:pPr>
        <w:pStyle w:val="RLTextlnkuslovan"/>
      </w:pPr>
      <w:r>
        <w:t>Účelem S</w:t>
      </w:r>
      <w:r w:rsidR="007E31F6">
        <w:t>ervisní s</w:t>
      </w:r>
      <w:r>
        <w:t xml:space="preserve">mlouvy je </w:t>
      </w:r>
      <w:r w:rsidR="007E31F6" w:rsidRPr="00191BF2">
        <w:rPr>
          <w:szCs w:val="22"/>
        </w:rPr>
        <w:t>realizace Veřejné zakázk</w:t>
      </w:r>
      <w:r w:rsidR="007E31F6">
        <w:rPr>
          <w:szCs w:val="22"/>
        </w:rPr>
        <w:t>y</w:t>
      </w:r>
      <w:r w:rsidR="00440E1D">
        <w:rPr>
          <w:szCs w:val="22"/>
        </w:rPr>
        <w:t xml:space="preserve"> dle Zadávací dokumentace</w:t>
      </w:r>
      <w:r w:rsidR="007E31F6" w:rsidRPr="00191BF2">
        <w:rPr>
          <w:szCs w:val="22"/>
        </w:rPr>
        <w:t xml:space="preserve">, tj. zejména zajištění řádného chodu, podpory a rozvoje Systému a provádění Služeb </w:t>
      </w:r>
      <w:r w:rsidR="002B3DD3">
        <w:rPr>
          <w:szCs w:val="22"/>
        </w:rPr>
        <w:br/>
      </w:r>
      <w:r w:rsidR="007E31F6" w:rsidRPr="00191BF2">
        <w:rPr>
          <w:szCs w:val="22"/>
        </w:rPr>
        <w:t>na objednávku dle požadavků Objednatele a v souladu s</w:t>
      </w:r>
      <w:r w:rsidR="007E31F6">
        <w:rPr>
          <w:szCs w:val="22"/>
        </w:rPr>
        <w:t>e</w:t>
      </w:r>
      <w:r w:rsidR="007E31F6" w:rsidRPr="00191BF2">
        <w:rPr>
          <w:szCs w:val="22"/>
        </w:rPr>
        <w:t xml:space="preserve"> </w:t>
      </w:r>
      <w:r w:rsidR="007E31F6">
        <w:rPr>
          <w:szCs w:val="22"/>
        </w:rPr>
        <w:t>S</w:t>
      </w:r>
      <w:r w:rsidR="007E31F6" w:rsidRPr="00191BF2">
        <w:rPr>
          <w:szCs w:val="22"/>
        </w:rPr>
        <w:t xml:space="preserve">ervisní smlouvou a Dílčími smlouvami. </w:t>
      </w:r>
    </w:p>
    <w:p w14:paraId="5A27C62D" w14:textId="1ED56CDE" w:rsidR="00307AB2" w:rsidRPr="006A5779" w:rsidRDefault="006B2999" w:rsidP="006A5779">
      <w:pPr>
        <w:pStyle w:val="RLTextlnkuslovan"/>
        <w:rPr>
          <w:rFonts w:cs="Arial"/>
          <w:szCs w:val="20"/>
          <w:lang w:bidi="cs-CZ"/>
        </w:rPr>
      </w:pPr>
      <w:r w:rsidRPr="006A5779">
        <w:rPr>
          <w:rFonts w:cs="Arial"/>
          <w:szCs w:val="20"/>
          <w:lang w:bidi="cs-CZ"/>
        </w:rPr>
        <w:t>Po uzavření S</w:t>
      </w:r>
      <w:r w:rsidR="00440E1D" w:rsidRPr="006A5779">
        <w:rPr>
          <w:rFonts w:cs="Arial"/>
          <w:szCs w:val="20"/>
          <w:lang w:bidi="cs-CZ"/>
        </w:rPr>
        <w:t>ervisní s</w:t>
      </w:r>
      <w:r w:rsidRPr="006A5779">
        <w:rPr>
          <w:rFonts w:cs="Arial"/>
          <w:szCs w:val="20"/>
          <w:lang w:bidi="cs-CZ"/>
        </w:rPr>
        <w:t>mlouvy byla Objednatelem shledána</w:t>
      </w:r>
      <w:r w:rsidR="00BA5709" w:rsidRPr="006A5779">
        <w:rPr>
          <w:rFonts w:cs="Arial"/>
          <w:szCs w:val="20"/>
          <w:lang w:bidi="cs-CZ"/>
        </w:rPr>
        <w:t xml:space="preserve"> </w:t>
      </w:r>
      <w:r w:rsidR="001A735C">
        <w:rPr>
          <w:rFonts w:cs="Arial"/>
          <w:szCs w:val="20"/>
          <w:lang w:bidi="cs-CZ"/>
        </w:rPr>
        <w:t xml:space="preserve">objektivní </w:t>
      </w:r>
      <w:r w:rsidR="00BA5709" w:rsidRPr="006A5779">
        <w:rPr>
          <w:rFonts w:cs="Arial"/>
          <w:szCs w:val="20"/>
          <w:lang w:bidi="cs-CZ"/>
        </w:rPr>
        <w:t>potřeba</w:t>
      </w:r>
      <w:r w:rsidRPr="006A5779">
        <w:rPr>
          <w:rFonts w:cs="Arial"/>
          <w:szCs w:val="20"/>
          <w:lang w:bidi="cs-CZ"/>
        </w:rPr>
        <w:t xml:space="preserve"> rozšíření </w:t>
      </w:r>
      <w:r w:rsidRPr="006A5779">
        <w:rPr>
          <w:szCs w:val="22"/>
        </w:rPr>
        <w:t>rozsahu</w:t>
      </w:r>
      <w:r w:rsidRPr="006A5779">
        <w:rPr>
          <w:rFonts w:cs="Arial"/>
          <w:szCs w:val="20"/>
          <w:lang w:bidi="cs-CZ"/>
        </w:rPr>
        <w:t xml:space="preserve"> </w:t>
      </w:r>
      <w:r w:rsidR="005F34F6" w:rsidRPr="005F0CC6">
        <w:rPr>
          <w:rFonts w:cs="Arial"/>
          <w:szCs w:val="20"/>
          <w:lang w:bidi="cs-CZ"/>
        </w:rPr>
        <w:t>Paušální</w:t>
      </w:r>
      <w:r w:rsidR="005F0CC6" w:rsidRPr="005F0CC6">
        <w:rPr>
          <w:rFonts w:cs="Arial"/>
          <w:szCs w:val="20"/>
          <w:lang w:bidi="cs-CZ"/>
        </w:rPr>
        <w:t>ch</w:t>
      </w:r>
      <w:r w:rsidR="005F34F6" w:rsidRPr="005F0CC6">
        <w:rPr>
          <w:rFonts w:cs="Arial"/>
          <w:szCs w:val="20"/>
          <w:lang w:bidi="cs-CZ"/>
        </w:rPr>
        <w:t xml:space="preserve"> služ</w:t>
      </w:r>
      <w:r w:rsidR="005F0CC6" w:rsidRPr="005F0CC6">
        <w:rPr>
          <w:rFonts w:cs="Arial"/>
          <w:szCs w:val="20"/>
          <w:lang w:bidi="cs-CZ"/>
        </w:rPr>
        <w:t>eb</w:t>
      </w:r>
      <w:r w:rsidR="006A5779">
        <w:rPr>
          <w:rFonts w:cs="Arial"/>
          <w:szCs w:val="20"/>
          <w:lang w:bidi="cs-CZ"/>
        </w:rPr>
        <w:t xml:space="preserve"> </w:t>
      </w:r>
      <w:r w:rsidRPr="006A5779">
        <w:rPr>
          <w:rFonts w:cs="Arial"/>
          <w:szCs w:val="20"/>
          <w:lang w:bidi="cs-CZ"/>
        </w:rPr>
        <w:t xml:space="preserve">v důsledku </w:t>
      </w:r>
      <w:r w:rsidR="006A5779">
        <w:rPr>
          <w:rFonts w:cs="Arial"/>
          <w:szCs w:val="20"/>
          <w:lang w:bidi="cs-CZ"/>
        </w:rPr>
        <w:t>nově implementovan</w:t>
      </w:r>
      <w:r w:rsidR="00BC7D3E">
        <w:rPr>
          <w:rFonts w:cs="Arial"/>
          <w:szCs w:val="20"/>
          <w:lang w:bidi="cs-CZ"/>
        </w:rPr>
        <w:t>ých</w:t>
      </w:r>
      <w:r w:rsidR="006A5779">
        <w:rPr>
          <w:rFonts w:cs="Arial"/>
          <w:szCs w:val="20"/>
          <w:lang w:bidi="cs-CZ"/>
        </w:rPr>
        <w:t xml:space="preserve"> funkcionalit JPŘ PSV</w:t>
      </w:r>
      <w:r w:rsidR="001A735C">
        <w:rPr>
          <w:rFonts w:cs="Arial"/>
          <w:szCs w:val="20"/>
          <w:lang w:bidi="cs-CZ"/>
        </w:rPr>
        <w:t>,</w:t>
      </w:r>
      <w:r w:rsidR="006A5779">
        <w:rPr>
          <w:rFonts w:cs="Arial"/>
          <w:szCs w:val="20"/>
          <w:lang w:bidi="cs-CZ"/>
        </w:rPr>
        <w:t xml:space="preserve"> vycházející z katalogových listů </w:t>
      </w:r>
      <w:r w:rsidR="00E025F6">
        <w:rPr>
          <w:rFonts w:cs="Arial"/>
          <w:szCs w:val="20"/>
          <w:lang w:bidi="cs-CZ"/>
        </w:rPr>
        <w:t>KL</w:t>
      </w:r>
      <w:r w:rsidR="006A5779" w:rsidRPr="006A5779">
        <w:rPr>
          <w:rFonts w:cs="Arial"/>
          <w:szCs w:val="20"/>
          <w:lang w:bidi="cs-CZ"/>
        </w:rPr>
        <w:t xml:space="preserve">15 </w:t>
      </w:r>
      <w:r w:rsidR="001A735C">
        <w:rPr>
          <w:rFonts w:cs="Arial"/>
          <w:szCs w:val="20"/>
          <w:lang w:bidi="cs-CZ"/>
        </w:rPr>
        <w:t>„</w:t>
      </w:r>
      <w:r w:rsidR="00E025F6" w:rsidRPr="00BC7D3E">
        <w:rPr>
          <w:rFonts w:cs="Arial"/>
          <w:szCs w:val="20"/>
        </w:rPr>
        <w:t>Digitalizace SÚIP</w:t>
      </w:r>
      <w:r w:rsidR="001A735C">
        <w:rPr>
          <w:rFonts w:cs="Arial"/>
          <w:szCs w:val="20"/>
        </w:rPr>
        <w:t>“</w:t>
      </w:r>
      <w:r w:rsidR="006A5779" w:rsidRPr="00E025F6">
        <w:rPr>
          <w:rFonts w:cs="Arial"/>
          <w:szCs w:val="20"/>
          <w:lang w:bidi="cs-CZ"/>
        </w:rPr>
        <w:t xml:space="preserve">, </w:t>
      </w:r>
      <w:r w:rsidR="00E025F6" w:rsidRPr="00E025F6">
        <w:rPr>
          <w:rFonts w:cs="Arial"/>
          <w:szCs w:val="20"/>
          <w:lang w:bidi="cs-CZ"/>
        </w:rPr>
        <w:t>KL</w:t>
      </w:r>
      <w:r w:rsidR="006A5779" w:rsidRPr="00E025F6">
        <w:rPr>
          <w:rFonts w:cs="Arial"/>
          <w:szCs w:val="20"/>
          <w:lang w:bidi="cs-CZ"/>
        </w:rPr>
        <w:t xml:space="preserve">17 </w:t>
      </w:r>
      <w:r w:rsidR="001A735C">
        <w:rPr>
          <w:rFonts w:cs="Arial"/>
          <w:szCs w:val="20"/>
          <w:lang w:bidi="cs-CZ"/>
        </w:rPr>
        <w:t>„</w:t>
      </w:r>
      <w:r w:rsidR="00E025F6" w:rsidRPr="00BC7D3E">
        <w:rPr>
          <w:rFonts w:cs="Arial"/>
          <w:szCs w:val="20"/>
        </w:rPr>
        <w:t>Aplikace pro hodnocení omezení soběstačnosti uprchlíků</w:t>
      </w:r>
      <w:r w:rsidR="001A735C">
        <w:rPr>
          <w:rFonts w:cs="Arial"/>
          <w:szCs w:val="20"/>
        </w:rPr>
        <w:t>“</w:t>
      </w:r>
      <w:r w:rsidR="006A5779" w:rsidRPr="00E025F6">
        <w:rPr>
          <w:rFonts w:cs="Arial"/>
          <w:szCs w:val="20"/>
          <w:lang w:bidi="cs-CZ"/>
        </w:rPr>
        <w:t xml:space="preserve"> a </w:t>
      </w:r>
      <w:r w:rsidR="00E025F6" w:rsidRPr="00E025F6">
        <w:rPr>
          <w:rFonts w:cs="Arial"/>
          <w:szCs w:val="20"/>
          <w:lang w:bidi="cs-CZ"/>
        </w:rPr>
        <w:t>KL</w:t>
      </w:r>
      <w:r w:rsidR="006A5779" w:rsidRPr="00E025F6">
        <w:rPr>
          <w:rFonts w:cs="Arial"/>
          <w:szCs w:val="20"/>
          <w:lang w:bidi="cs-CZ"/>
        </w:rPr>
        <w:t xml:space="preserve">18 </w:t>
      </w:r>
      <w:r w:rsidR="001A735C">
        <w:rPr>
          <w:rFonts w:cs="Arial"/>
          <w:szCs w:val="20"/>
          <w:lang w:bidi="cs-CZ"/>
        </w:rPr>
        <w:t>„</w:t>
      </w:r>
      <w:r w:rsidR="00E025F6" w:rsidRPr="00BC7D3E">
        <w:rPr>
          <w:rFonts w:cs="Arial"/>
          <w:szCs w:val="20"/>
        </w:rPr>
        <w:t>Centrální logování</w:t>
      </w:r>
      <w:r w:rsidR="001A735C">
        <w:rPr>
          <w:rFonts w:cs="Arial"/>
          <w:szCs w:val="20"/>
        </w:rPr>
        <w:t>“</w:t>
      </w:r>
      <w:r w:rsidR="00BA5709" w:rsidRPr="006A5779">
        <w:rPr>
          <w:rFonts w:cs="Arial"/>
          <w:szCs w:val="20"/>
          <w:lang w:bidi="cs-CZ"/>
        </w:rPr>
        <w:t>, jejichž poskytnutí je nezbytn</w:t>
      </w:r>
      <w:r w:rsidR="00E52D6B" w:rsidRPr="006A5779">
        <w:rPr>
          <w:rFonts w:cs="Arial"/>
          <w:szCs w:val="20"/>
          <w:lang w:bidi="cs-CZ"/>
        </w:rPr>
        <w:t>é</w:t>
      </w:r>
      <w:r w:rsidR="00BA5709" w:rsidRPr="006A5779">
        <w:rPr>
          <w:rFonts w:cs="Arial"/>
          <w:szCs w:val="20"/>
          <w:lang w:bidi="cs-CZ"/>
        </w:rPr>
        <w:t xml:space="preserve"> pro dosažení účelu sledovaného</w:t>
      </w:r>
      <w:r w:rsidR="005F0CC6">
        <w:rPr>
          <w:rFonts w:cs="Arial"/>
          <w:szCs w:val="20"/>
          <w:lang w:bidi="cs-CZ"/>
        </w:rPr>
        <w:t xml:space="preserve"> </w:t>
      </w:r>
      <w:r w:rsidR="00BA5709" w:rsidRPr="006A5779">
        <w:rPr>
          <w:rFonts w:cs="Arial"/>
          <w:szCs w:val="20"/>
          <w:lang w:bidi="cs-CZ"/>
        </w:rPr>
        <w:t>S</w:t>
      </w:r>
      <w:r w:rsidR="00BC7D3E">
        <w:rPr>
          <w:rFonts w:cs="Arial"/>
          <w:szCs w:val="20"/>
          <w:lang w:bidi="cs-CZ"/>
        </w:rPr>
        <w:t>ervisní s</w:t>
      </w:r>
      <w:r w:rsidR="00BA5709" w:rsidRPr="006A5779">
        <w:rPr>
          <w:rFonts w:cs="Arial"/>
          <w:szCs w:val="20"/>
          <w:lang w:bidi="cs-CZ"/>
        </w:rPr>
        <w:t>mlouvou</w:t>
      </w:r>
      <w:r w:rsidR="0062195B" w:rsidRPr="006A5779">
        <w:rPr>
          <w:rFonts w:cs="Arial"/>
          <w:szCs w:val="20"/>
          <w:lang w:bidi="cs-CZ"/>
        </w:rPr>
        <w:t>. </w:t>
      </w:r>
      <w:r w:rsidR="00BC7D3E">
        <w:rPr>
          <w:rFonts w:cs="Arial"/>
          <w:szCs w:val="20"/>
          <w:lang w:bidi="cs-CZ"/>
        </w:rPr>
        <w:t>Podrobn</w:t>
      </w:r>
      <w:r w:rsidR="00DE20FD">
        <w:rPr>
          <w:rFonts w:cs="Arial"/>
          <w:szCs w:val="20"/>
          <w:lang w:bidi="cs-CZ"/>
        </w:rPr>
        <w:t>é zdůvodnění</w:t>
      </w:r>
      <w:r w:rsidR="00BC7D3E">
        <w:rPr>
          <w:rFonts w:cs="Arial"/>
          <w:szCs w:val="20"/>
          <w:lang w:bidi="cs-CZ"/>
        </w:rPr>
        <w:t xml:space="preserve"> </w:t>
      </w:r>
      <w:r w:rsidR="001A735C">
        <w:rPr>
          <w:rFonts w:cs="Arial"/>
          <w:szCs w:val="20"/>
          <w:lang w:bidi="cs-CZ"/>
        </w:rPr>
        <w:t xml:space="preserve">požadavků na Paušální služby ve vztahu </w:t>
      </w:r>
      <w:r w:rsidR="00BC7D3E">
        <w:rPr>
          <w:rFonts w:cs="Arial"/>
          <w:szCs w:val="20"/>
          <w:lang w:bidi="cs-CZ"/>
        </w:rPr>
        <w:t xml:space="preserve">k jednotlivým katalogovým listům </w:t>
      </w:r>
      <w:r w:rsidR="001A735C">
        <w:rPr>
          <w:rFonts w:cs="Arial"/>
          <w:szCs w:val="20"/>
          <w:lang w:bidi="cs-CZ"/>
        </w:rPr>
        <w:t>je uvedeno v příloze</w:t>
      </w:r>
      <w:r w:rsidR="00BC7D3E">
        <w:rPr>
          <w:rFonts w:cs="Arial"/>
          <w:szCs w:val="20"/>
          <w:lang w:bidi="cs-CZ"/>
        </w:rPr>
        <w:t xml:space="preserve"> </w:t>
      </w:r>
      <w:r w:rsidR="001A735C">
        <w:rPr>
          <w:rFonts w:cs="Arial"/>
          <w:szCs w:val="20"/>
          <w:lang w:bidi="cs-CZ"/>
        </w:rPr>
        <w:t xml:space="preserve">č. 1 </w:t>
      </w:r>
      <w:r w:rsidR="00BC7D3E">
        <w:rPr>
          <w:rFonts w:cs="Arial"/>
          <w:szCs w:val="20"/>
          <w:lang w:bidi="cs-CZ"/>
        </w:rPr>
        <w:t xml:space="preserve">tohoto Dodatku č. 1 – </w:t>
      </w:r>
      <w:r w:rsidR="00E025F6">
        <w:rPr>
          <w:rFonts w:cs="Arial"/>
          <w:szCs w:val="20"/>
          <w:lang w:bidi="cs-CZ"/>
        </w:rPr>
        <w:t>Zdůvodnění dle</w:t>
      </w:r>
      <w:r w:rsidR="00BC7D3E">
        <w:rPr>
          <w:rFonts w:cs="Arial"/>
          <w:szCs w:val="20"/>
          <w:lang w:bidi="cs-CZ"/>
        </w:rPr>
        <w:t xml:space="preserve"> katalogov</w:t>
      </w:r>
      <w:r w:rsidR="00E025F6">
        <w:rPr>
          <w:rFonts w:cs="Arial"/>
          <w:szCs w:val="20"/>
          <w:lang w:bidi="cs-CZ"/>
        </w:rPr>
        <w:t>ých</w:t>
      </w:r>
      <w:r w:rsidR="00BC7D3E">
        <w:rPr>
          <w:rFonts w:cs="Arial"/>
          <w:szCs w:val="20"/>
          <w:lang w:bidi="cs-CZ"/>
        </w:rPr>
        <w:t xml:space="preserve"> list</w:t>
      </w:r>
      <w:r w:rsidR="00E025F6">
        <w:rPr>
          <w:rFonts w:cs="Arial"/>
          <w:szCs w:val="20"/>
          <w:lang w:bidi="cs-CZ"/>
        </w:rPr>
        <w:t>ů</w:t>
      </w:r>
      <w:r w:rsidR="00BC7D3E">
        <w:rPr>
          <w:rFonts w:cs="Arial"/>
          <w:szCs w:val="20"/>
          <w:lang w:bidi="cs-CZ"/>
        </w:rPr>
        <w:t xml:space="preserve">. </w:t>
      </w:r>
    </w:p>
    <w:p w14:paraId="67364455" w14:textId="1BF78135" w:rsidR="004F0B7B" w:rsidRPr="004F0B7B" w:rsidRDefault="004F0B7B" w:rsidP="00027494">
      <w:pPr>
        <w:pStyle w:val="RLTextlnkuslovan"/>
      </w:pPr>
      <w:r w:rsidRPr="004F0B7B">
        <w:t xml:space="preserve">Dodatečně sjednávané rozšíření rozsahu </w:t>
      </w:r>
      <w:r w:rsidR="005F34F6">
        <w:t>Paušálních služeb</w:t>
      </w:r>
      <w:r w:rsidRPr="004F0B7B">
        <w:t xml:space="preserve"> </w:t>
      </w:r>
      <w:r w:rsidR="00F50CC2">
        <w:t xml:space="preserve">z důvodů uvedených v odst. 1.3 tohoto článku </w:t>
      </w:r>
      <w:r w:rsidR="00BA5709">
        <w:t xml:space="preserve">Dodatku č. 1 </w:t>
      </w:r>
      <w:r w:rsidRPr="004F0B7B">
        <w:t xml:space="preserve">je od současných činností </w:t>
      </w:r>
      <w:r w:rsidR="00C511BA">
        <w:t>Poskytovatele</w:t>
      </w:r>
      <w:r w:rsidRPr="004F0B7B">
        <w:t xml:space="preserve"> neoddělitelné </w:t>
      </w:r>
      <w:r w:rsidR="002B3DD3">
        <w:br/>
      </w:r>
      <w:r w:rsidRPr="004F0B7B">
        <w:t xml:space="preserve">a nelze je objektivně poskytnout jiným </w:t>
      </w:r>
      <w:r w:rsidR="008C1528">
        <w:t>poskytovatelem</w:t>
      </w:r>
      <w:r w:rsidRPr="004F0B7B">
        <w:t xml:space="preserve">, a to vzhledem ke skutečnosti, </w:t>
      </w:r>
      <w:r w:rsidR="002B3DD3">
        <w:br/>
      </w:r>
      <w:r w:rsidRPr="004F0B7B">
        <w:t xml:space="preserve">že zachování </w:t>
      </w:r>
      <w:r w:rsidR="00C511BA">
        <w:t>Poskytovatele</w:t>
      </w:r>
      <w:r w:rsidR="00C511BA" w:rsidRPr="004F0B7B">
        <w:t xml:space="preserve"> </w:t>
      </w:r>
      <w:r w:rsidRPr="004F0B7B">
        <w:t xml:space="preserve">při poskytování </w:t>
      </w:r>
      <w:r w:rsidR="00C511BA">
        <w:t>Služeb</w:t>
      </w:r>
      <w:r w:rsidRPr="004F0B7B">
        <w:t xml:space="preserve"> sjednan</w:t>
      </w:r>
      <w:r w:rsidR="00C511BA">
        <w:t>ých</w:t>
      </w:r>
      <w:r w:rsidRPr="004F0B7B">
        <w:t xml:space="preserve"> </w:t>
      </w:r>
      <w:r w:rsidR="00C511BA">
        <w:t>S</w:t>
      </w:r>
      <w:r w:rsidR="005F0CC6">
        <w:t>ervisní s</w:t>
      </w:r>
      <w:r w:rsidR="00C511BA">
        <w:t>mlouvou</w:t>
      </w:r>
      <w:r w:rsidRPr="004F0B7B">
        <w:t xml:space="preserve"> a tímto Dodatkem</w:t>
      </w:r>
      <w:r w:rsidR="00027494">
        <w:t xml:space="preserve"> č. 1</w:t>
      </w:r>
      <w:r w:rsidRPr="004F0B7B">
        <w:t xml:space="preserve"> je klíčové pro zajištění jednotné odpovědnosti </w:t>
      </w:r>
      <w:r w:rsidR="00C511BA">
        <w:t>Poskytovatele</w:t>
      </w:r>
      <w:r w:rsidRPr="004F0B7B">
        <w:t xml:space="preserve">. V případě, </w:t>
      </w:r>
      <w:r w:rsidR="002B3DD3">
        <w:br/>
      </w:r>
      <w:r w:rsidRPr="004F0B7B">
        <w:t>že by činnosti sjednané tímto Dodatkem</w:t>
      </w:r>
      <w:r w:rsidR="00027494">
        <w:t xml:space="preserve"> č. 1</w:t>
      </w:r>
      <w:r w:rsidRPr="004F0B7B">
        <w:t xml:space="preserve"> byly poskytovány jiným </w:t>
      </w:r>
      <w:r w:rsidR="00027494">
        <w:t>poskytovatelem</w:t>
      </w:r>
      <w:r w:rsidR="00BA2D7E">
        <w:t>,</w:t>
      </w:r>
      <w:r w:rsidRPr="004F0B7B">
        <w:t xml:space="preserve"> hrozí Objednateli bezpečnostní rizika, organizační rizika a v konečném důsledku i vícenáklady. Vzhledem k výše uvedenému je uzavření tohoto Dodatku </w:t>
      </w:r>
      <w:r w:rsidR="00027494">
        <w:t xml:space="preserve">č. 1 </w:t>
      </w:r>
      <w:r w:rsidRPr="004F0B7B">
        <w:t>jediným efektivním, účelným a hospodárným řešením.</w:t>
      </w:r>
    </w:p>
    <w:p w14:paraId="704A79BA" w14:textId="5BC5D530" w:rsidR="00170352" w:rsidRDefault="00C511BA" w:rsidP="00321A97">
      <w:pPr>
        <w:pStyle w:val="RLTextlnkuslovan"/>
      </w:pPr>
      <w:r>
        <w:t>Změna</w:t>
      </w:r>
      <w:r w:rsidR="00BA5709">
        <w:t xml:space="preserve"> závazku ze</w:t>
      </w:r>
      <w:r>
        <w:t xml:space="preserve"> S</w:t>
      </w:r>
      <w:r w:rsidR="00DE20FD">
        <w:t>ervisní s</w:t>
      </w:r>
      <w:r>
        <w:t xml:space="preserve">mlouvy </w:t>
      </w:r>
      <w:r w:rsidR="00D62829">
        <w:t>z důvodů uvedených v odst. 1.</w:t>
      </w:r>
      <w:r w:rsidR="00DE20FD">
        <w:t>3</w:t>
      </w:r>
      <w:r w:rsidR="00D62829">
        <w:t xml:space="preserve"> tohoto článku</w:t>
      </w:r>
      <w:r w:rsidR="00D62829" w:rsidRPr="00254EA4">
        <w:t xml:space="preserve"> </w:t>
      </w:r>
      <w:r w:rsidRPr="00254EA4">
        <w:t xml:space="preserve">Dodatku </w:t>
      </w:r>
      <w:r w:rsidR="00027494">
        <w:t>č. 1</w:t>
      </w:r>
      <w:r w:rsidR="00F50CC2">
        <w:t xml:space="preserve"> je sjednávána v souladu s</w:t>
      </w:r>
      <w:r w:rsidR="00F50CC2" w:rsidRPr="00D62829">
        <w:t xml:space="preserve"> ustanovení</w:t>
      </w:r>
      <w:r w:rsidR="00F50CC2">
        <w:t>m</w:t>
      </w:r>
      <w:r w:rsidR="00F50CC2" w:rsidRPr="00D62829">
        <w:t xml:space="preserve"> § 222 odst. </w:t>
      </w:r>
      <w:r w:rsidR="00F50CC2">
        <w:t>5</w:t>
      </w:r>
      <w:r w:rsidR="00F50CC2" w:rsidRPr="00D62829">
        <w:t xml:space="preserve"> ZZVZ</w:t>
      </w:r>
      <w:r w:rsidR="00F50CC2">
        <w:t xml:space="preserve">, neboť dodatečně sjednávané služby spočívající v rozšíření </w:t>
      </w:r>
      <w:r w:rsidR="005F34F6">
        <w:t>Paušálních služeb</w:t>
      </w:r>
      <w:r w:rsidR="00F50CC2">
        <w:t xml:space="preserve"> dle S</w:t>
      </w:r>
      <w:r w:rsidR="005F0CC6">
        <w:t>ervisní s</w:t>
      </w:r>
      <w:r w:rsidR="00F50CC2">
        <w:t xml:space="preserve">mlouvy jsou pro Objednatele nezbytné z důvodu zajištění řádného provozu Systému a zachování řádné funkčnosti všech součástí Systému a Systému jako celku a zadání dodatečných </w:t>
      </w:r>
      <w:r w:rsidR="005F0CC6">
        <w:t>Paušálních s</w:t>
      </w:r>
      <w:r w:rsidR="00F50CC2">
        <w:t>lužeb jinému poskytovateli by s ohledem na poskytování služeb stávajícím Poskytovatelem znamenalo nepřípustné riziko vzájemných inkompatibilit s původním plněním a</w:t>
      </w:r>
      <w:r w:rsidR="001A735C">
        <w:t xml:space="preserve"> ve svém důsledku </w:t>
      </w:r>
      <w:r w:rsidR="00F50CC2">
        <w:t>nehospodárné vynakládání veřejných prostředků, přičemž by rovněž způsobilo Objednateli značné obtíže při využívání a kontrole plnění</w:t>
      </w:r>
      <w:r w:rsidR="00BA5709">
        <w:t xml:space="preserve"> daných</w:t>
      </w:r>
      <w:r w:rsidR="00F50CC2">
        <w:t xml:space="preserve"> služeb</w:t>
      </w:r>
      <w:r w:rsidR="000C74A1">
        <w:t>.</w:t>
      </w:r>
      <w:r w:rsidR="00F668F9" w:rsidRPr="00F668F9">
        <w:t xml:space="preserve"> </w:t>
      </w:r>
    </w:p>
    <w:p w14:paraId="10BFE394" w14:textId="77777777" w:rsidR="002B3DD3" w:rsidRDefault="002B3DD3">
      <w:pPr>
        <w:spacing w:after="0" w:line="240" w:lineRule="auto"/>
      </w:pPr>
      <w:r>
        <w:br w:type="page"/>
      </w:r>
    </w:p>
    <w:p w14:paraId="40C17995" w14:textId="00353979" w:rsidR="00170352" w:rsidRDefault="00F668F9" w:rsidP="00170352">
      <w:pPr>
        <w:pStyle w:val="RLTextlnkuslovan"/>
      </w:pPr>
      <w:r w:rsidRPr="00F668F9">
        <w:lastRenderedPageBreak/>
        <w:t xml:space="preserve">Strany prohlašují, že tímto Dodatkem č. 1 je dodržen cenový korektiv nárůstu souvisejícího se změnami podle § 222 odst. 9 ZZVZ, neboť tímto Dodatkem č. 1 zasmluvněný cenový nárůst v režimu dle § 222 odst. 5 ZZVZ nepřesáhne </w:t>
      </w:r>
      <w:r>
        <w:t xml:space="preserve">v souhrnu </w:t>
      </w:r>
      <w:r w:rsidRPr="00F668F9">
        <w:t>30 % původní hodnoty závazku</w:t>
      </w:r>
      <w:r>
        <w:t xml:space="preserve"> ze S</w:t>
      </w:r>
      <w:r w:rsidR="005F34F6">
        <w:t>ervisní S</w:t>
      </w:r>
      <w:r>
        <w:t>mlouvy</w:t>
      </w:r>
      <w:r w:rsidR="005F34F6">
        <w:t xml:space="preserve"> (počítáno z Paušálních služeb</w:t>
      </w:r>
      <w:r w:rsidR="00A84BD0">
        <w:t xml:space="preserve"> a</w:t>
      </w:r>
      <w:r w:rsidR="005F34F6">
        <w:t xml:space="preserve"> zadaných služeb na objednávku</w:t>
      </w:r>
      <w:r w:rsidR="005F0CC6">
        <w:t xml:space="preserve"> ke dni 10.</w:t>
      </w:r>
      <w:r w:rsidR="001A735C">
        <w:t xml:space="preserve"> </w:t>
      </w:r>
      <w:r w:rsidR="005F0CC6">
        <w:t>12.</w:t>
      </w:r>
      <w:r w:rsidR="001A735C">
        <w:t xml:space="preserve"> </w:t>
      </w:r>
      <w:r w:rsidR="005F0CC6">
        <w:t>2025</w:t>
      </w:r>
      <w:r w:rsidR="00A84BD0">
        <w:t>)</w:t>
      </w:r>
      <w:r w:rsidR="005F0CC6">
        <w:t xml:space="preserve">, </w:t>
      </w:r>
      <w:r w:rsidRPr="00F668F9">
        <w:t>t</w:t>
      </w:r>
      <w:r w:rsidR="001A735C">
        <w:t>j.</w:t>
      </w:r>
      <w:r w:rsidRPr="00F668F9">
        <w:t xml:space="preserve"> částku </w:t>
      </w:r>
      <w:r w:rsidR="00B52E49">
        <w:t>69 442 323,70</w:t>
      </w:r>
      <w:r w:rsidRPr="00F668F9">
        <w:t xml:space="preserve"> Kč bez DPH (30 % z částky </w:t>
      </w:r>
      <w:r w:rsidR="00B52E49">
        <w:t xml:space="preserve">231 474 412,40 </w:t>
      </w:r>
      <w:r w:rsidRPr="00F668F9">
        <w:t>Kč bez DPH).</w:t>
      </w:r>
      <w:r w:rsidR="000C74A1" w:rsidRPr="000C74A1">
        <w:t xml:space="preserve"> </w:t>
      </w:r>
      <w:r w:rsidR="000C74A1">
        <w:t>Hodnota změny závazku ze S</w:t>
      </w:r>
      <w:r w:rsidR="00A84BD0">
        <w:t>ervisní s</w:t>
      </w:r>
      <w:r w:rsidR="000C74A1">
        <w:t xml:space="preserve">mlouvy </w:t>
      </w:r>
      <w:r w:rsidR="000C74A1" w:rsidRPr="00170352">
        <w:t>z důvodů uvedených v odst. 1.3 tohoto článku</w:t>
      </w:r>
      <w:r w:rsidR="000C74A1">
        <w:t xml:space="preserve"> </w:t>
      </w:r>
      <w:r w:rsidR="001A735C">
        <w:t xml:space="preserve">Dodatku č. 1 </w:t>
      </w:r>
      <w:r w:rsidR="000C74A1">
        <w:t xml:space="preserve">v souladu s § 222 odst. </w:t>
      </w:r>
      <w:r w:rsidR="00A84BD0">
        <w:t>5</w:t>
      </w:r>
      <w:r w:rsidR="000C74A1">
        <w:t xml:space="preserve"> </w:t>
      </w:r>
      <w:r w:rsidR="000C74A1" w:rsidRPr="00024668">
        <w:t>ZZVZ činí</w:t>
      </w:r>
      <w:r w:rsidR="00A84BD0">
        <w:t xml:space="preserve"> </w:t>
      </w:r>
      <w:r w:rsidR="00B52E49">
        <w:t>10 742 000,-</w:t>
      </w:r>
      <w:r w:rsidR="000C74A1" w:rsidRPr="00024668">
        <w:t xml:space="preserve"> </w:t>
      </w:r>
      <w:r w:rsidR="008658B2" w:rsidRPr="00024668">
        <w:t xml:space="preserve">Kč </w:t>
      </w:r>
      <w:r w:rsidR="000C74A1" w:rsidRPr="00024668">
        <w:t>bez DPH.</w:t>
      </w:r>
      <w:r w:rsidR="000C74A1">
        <w:t xml:space="preserve"> </w:t>
      </w:r>
    </w:p>
    <w:p w14:paraId="38122669" w14:textId="14EA83C4" w:rsidR="00C511BA" w:rsidRPr="005B0E58" w:rsidRDefault="00C511BA" w:rsidP="00C511BA">
      <w:pPr>
        <w:pStyle w:val="RLTextlnkuslovan"/>
      </w:pPr>
      <w:r w:rsidRPr="005B0E58">
        <w:t xml:space="preserve">Vzhledem ke skutečnostem uvedeným </w:t>
      </w:r>
      <w:r w:rsidR="00BA2D7E">
        <w:t>v tomto článku</w:t>
      </w:r>
      <w:r>
        <w:t xml:space="preserve"> </w:t>
      </w:r>
      <w:r w:rsidR="001A735C">
        <w:t xml:space="preserve">Dodatku č. 1 </w:t>
      </w:r>
      <w:r w:rsidRPr="005B0E58">
        <w:t>se Strany dohodly na</w:t>
      </w:r>
      <w:r>
        <w:t> </w:t>
      </w:r>
      <w:r w:rsidRPr="005B0E58">
        <w:t xml:space="preserve">úpravě </w:t>
      </w:r>
      <w:r>
        <w:t>S</w:t>
      </w:r>
      <w:r w:rsidR="00A84BD0">
        <w:t>ervisní s</w:t>
      </w:r>
      <w:r>
        <w:t>mlouvy</w:t>
      </w:r>
      <w:r w:rsidRPr="005B0E58">
        <w:t xml:space="preserve">, a to způsobem uvedeným v čl. </w:t>
      </w:r>
      <w:r>
        <w:t>2</w:t>
      </w:r>
      <w:r w:rsidRPr="005B0E58">
        <w:t xml:space="preserve"> tohoto Dodatku</w:t>
      </w:r>
      <w:r w:rsidR="00027494">
        <w:t xml:space="preserve"> č. 1</w:t>
      </w:r>
      <w:r>
        <w:t>.</w:t>
      </w:r>
      <w:r w:rsidRPr="005B0E58">
        <w:t xml:space="preserve"> </w:t>
      </w:r>
    </w:p>
    <w:p w14:paraId="3D96BAB8" w14:textId="6DF02641" w:rsidR="005E6174" w:rsidRPr="00FF479E" w:rsidRDefault="0065619E" w:rsidP="00027494">
      <w:pPr>
        <w:pStyle w:val="RLlneksmlouvy"/>
        <w:keepNext w:val="0"/>
        <w:spacing w:line="280" w:lineRule="atLeast"/>
      </w:pPr>
      <w:r>
        <w:t>PŘEDMĚT DODATKU</w:t>
      </w:r>
      <w:r w:rsidR="00016E41">
        <w:t xml:space="preserve"> </w:t>
      </w:r>
      <w:r w:rsidR="00027494">
        <w:t>č. 1</w:t>
      </w:r>
    </w:p>
    <w:p w14:paraId="16385A18" w14:textId="03CDC183" w:rsidR="00484E8E" w:rsidRDefault="00027494" w:rsidP="008B6AC4">
      <w:pPr>
        <w:pStyle w:val="RLTextlnkuslovan"/>
      </w:pPr>
      <w:r>
        <w:t xml:space="preserve">Strany sjednávají, že </w:t>
      </w:r>
      <w:r w:rsidR="0086726B" w:rsidRPr="008B6AC4">
        <w:t xml:space="preserve">znění </w:t>
      </w:r>
      <w:r w:rsidR="002F624B">
        <w:t>P</w:t>
      </w:r>
      <w:r w:rsidR="0086726B" w:rsidRPr="008B6AC4">
        <w:t xml:space="preserve">řílohy č. </w:t>
      </w:r>
      <w:r w:rsidR="00120761">
        <w:t>2</w:t>
      </w:r>
      <w:r w:rsidR="0086726B" w:rsidRPr="008B6AC4">
        <w:t xml:space="preserve"> </w:t>
      </w:r>
      <w:r>
        <w:t>S</w:t>
      </w:r>
      <w:r w:rsidR="00120761">
        <w:t>ervisní s</w:t>
      </w:r>
      <w:r>
        <w:t xml:space="preserve">mlouvy </w:t>
      </w:r>
      <w:r w:rsidR="00170352" w:rsidRPr="00170352">
        <w:t>„</w:t>
      </w:r>
      <w:r w:rsidR="00120761">
        <w:t>Cena Služeb</w:t>
      </w:r>
      <w:r w:rsidR="00170352" w:rsidRPr="00170352">
        <w:t xml:space="preserve">“ </w:t>
      </w:r>
      <w:r w:rsidR="0086726B" w:rsidRPr="008B6AC4">
        <w:t>se nahrazuje novým zněním, kter</w:t>
      </w:r>
      <w:r>
        <w:t>é</w:t>
      </w:r>
      <w:r w:rsidR="0086726B" w:rsidRPr="008B6AC4">
        <w:t xml:space="preserve"> </w:t>
      </w:r>
      <w:r>
        <w:t>tvoří</w:t>
      </w:r>
      <w:r w:rsidR="0086726B" w:rsidRPr="008B6AC4">
        <w:t xml:space="preserve"> přílohu</w:t>
      </w:r>
      <w:r w:rsidR="002F624B">
        <w:t xml:space="preserve"> č. </w:t>
      </w:r>
      <w:r w:rsidR="00120761">
        <w:t>2</w:t>
      </w:r>
      <w:r w:rsidR="0086726B" w:rsidRPr="008B6AC4">
        <w:t xml:space="preserve"> tohoto Dodatku</w:t>
      </w:r>
      <w:r>
        <w:t xml:space="preserve"> č. 1</w:t>
      </w:r>
      <w:r w:rsidR="001A735C">
        <w:t>.</w:t>
      </w:r>
      <w:r w:rsidR="00484E8E">
        <w:t xml:space="preserve"> </w:t>
      </w:r>
    </w:p>
    <w:p w14:paraId="1B6E4F8A" w14:textId="605B529A" w:rsidR="0086726B" w:rsidRPr="008B6AC4" w:rsidRDefault="00484E8E" w:rsidP="008B6AC4">
      <w:pPr>
        <w:pStyle w:val="RLTextlnkuslovan"/>
      </w:pPr>
      <w:r>
        <w:t>Strany sjednávají, že aktualizovaná Cena</w:t>
      </w:r>
      <w:r w:rsidRPr="00484E8E">
        <w:t xml:space="preserve"> poskytování </w:t>
      </w:r>
      <w:r>
        <w:t xml:space="preserve">Služeb dle přílohy č. 2 tohoto Dodatku č. 1 se uplatní od 1. 1. 2026.    </w:t>
      </w:r>
    </w:p>
    <w:p w14:paraId="3D96BABE" w14:textId="22950239" w:rsidR="005E6174" w:rsidRDefault="002D7B3D" w:rsidP="00621A89">
      <w:pPr>
        <w:pStyle w:val="RLlneksmlouvy"/>
        <w:spacing w:after="0" w:line="280" w:lineRule="atLeast"/>
      </w:pPr>
      <w:r>
        <w:t>ZÁVĚREČNÁ USTANOVENÍ</w:t>
      </w:r>
    </w:p>
    <w:p w14:paraId="395353B3" w14:textId="07856F21" w:rsidR="0086726B" w:rsidRPr="0081672D" w:rsidRDefault="002F624B" w:rsidP="00621A89">
      <w:pPr>
        <w:pStyle w:val="RLTextlnkuslovan"/>
        <w:keepNext/>
        <w:spacing w:before="120"/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>
        <w:t>Strany prohlašují, že o</w:t>
      </w:r>
      <w:r w:rsidR="0086726B" w:rsidRPr="0081672D">
        <w:t xml:space="preserve">statní ustanovení </w:t>
      </w:r>
      <w:r w:rsidR="0086726B">
        <w:t>S</w:t>
      </w:r>
      <w:r w:rsidR="00A84BD0">
        <w:t>ervisní s</w:t>
      </w:r>
      <w:r w:rsidR="0086726B">
        <w:t>mlouvy</w:t>
      </w:r>
      <w:r w:rsidR="0086726B" w:rsidRPr="0081672D">
        <w:t xml:space="preserve"> tímto Dodatkem</w:t>
      </w:r>
      <w:r>
        <w:t xml:space="preserve"> č. 1</w:t>
      </w:r>
      <w:r w:rsidR="0086726B" w:rsidRPr="0081672D">
        <w:t xml:space="preserve"> výslovně nedotčená zůstávají v</w:t>
      </w:r>
      <w:r w:rsidR="0086726B">
        <w:t> </w:t>
      </w:r>
      <w:r w:rsidR="0086726B" w:rsidRPr="0081672D">
        <w:t>platnosti v plném rozsahu.</w:t>
      </w:r>
    </w:p>
    <w:p w14:paraId="4CBED597" w14:textId="6B7571FD" w:rsidR="0086726B" w:rsidRDefault="0086726B" w:rsidP="0086726B">
      <w:pPr>
        <w:pStyle w:val="RLTextlnkuslovan"/>
      </w:pPr>
      <w:r w:rsidRPr="00B64CC6">
        <w:t xml:space="preserve">Tento Dodatek </w:t>
      </w:r>
      <w:r w:rsidR="002F624B">
        <w:t xml:space="preserve">č. 1 </w:t>
      </w:r>
      <w:r w:rsidRPr="00B64CC6">
        <w:t xml:space="preserve">nabývá platnosti dnem jeho podpisu oběma Stranami a účinnosti </w:t>
      </w:r>
      <w:r w:rsidR="00B03BDA">
        <w:t>dnem jeho</w:t>
      </w:r>
      <w:r w:rsidRPr="00B64CC6">
        <w:t xml:space="preserve"> uveřejnění v registru smluv dle zákona č. 340/2015 Sb., zákon o zvláštních podmínkách účinnosti</w:t>
      </w:r>
      <w:r w:rsidRPr="004F0E0D">
        <w:t xml:space="preserve"> některých smluv, uveřejňování těchto smluv a o registru smluv (zákon o registru smluv), ve znění pozdějších předpisů.</w:t>
      </w:r>
      <w:r w:rsidRPr="00434AE5">
        <w:t xml:space="preserve"> </w:t>
      </w:r>
      <w:r>
        <w:t xml:space="preserve">Tento </w:t>
      </w:r>
      <w:r w:rsidRPr="0081672D">
        <w:t>Dodatek</w:t>
      </w:r>
      <w:r>
        <w:t xml:space="preserve"> </w:t>
      </w:r>
      <w:r w:rsidR="002F624B">
        <w:t xml:space="preserve">č. 1 </w:t>
      </w:r>
      <w:r w:rsidRPr="0081672D">
        <w:t>v registru smluv uveřejní Objednatel</w:t>
      </w:r>
      <w:r>
        <w:t>.</w:t>
      </w:r>
    </w:p>
    <w:p w14:paraId="5014DA58" w14:textId="391E349C" w:rsidR="0086726B" w:rsidRPr="00434AE5" w:rsidRDefault="0086726B" w:rsidP="0086726B">
      <w:pPr>
        <w:pStyle w:val="RLTextlnkuslovan"/>
      </w:pPr>
      <w:r w:rsidRPr="00434AE5">
        <w:t>Tento Dodatek</w:t>
      </w:r>
      <w:r w:rsidR="002F624B">
        <w:t xml:space="preserve"> č. 1</w:t>
      </w:r>
      <w:r w:rsidRPr="00434AE5">
        <w:t xml:space="preserve"> je uzavírán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15897665" w14:textId="60CA114D" w:rsidR="00D25903" w:rsidRDefault="00D25903" w:rsidP="00BB5759">
      <w:pPr>
        <w:pStyle w:val="RLTextlnkuslovan"/>
        <w:spacing w:before="120" w:after="0" w:line="280" w:lineRule="atLeast"/>
      </w:pPr>
      <w:r>
        <w:t xml:space="preserve">Nedílnou součást tohoto Dodatku </w:t>
      </w:r>
      <w:r w:rsidR="002F624B">
        <w:t xml:space="preserve">č. 1 </w:t>
      </w:r>
      <w:r>
        <w:t xml:space="preserve">tvoří </w:t>
      </w:r>
      <w:r w:rsidR="002F624B">
        <w:t>následující</w:t>
      </w:r>
      <w:r>
        <w:t xml:space="preserve"> přílohy: </w:t>
      </w:r>
    </w:p>
    <w:p w14:paraId="4403160A" w14:textId="0164E394" w:rsidR="00D25903" w:rsidRDefault="00B33A3B" w:rsidP="00BA5709">
      <w:pPr>
        <w:pStyle w:val="RLTextlnkuslovan"/>
        <w:numPr>
          <w:ilvl w:val="0"/>
          <w:numId w:val="0"/>
        </w:numPr>
        <w:spacing w:before="120" w:after="0" w:line="280" w:lineRule="atLeast"/>
        <w:ind w:left="1021"/>
      </w:pPr>
      <w:r>
        <w:t xml:space="preserve">Zdůvodnění dle katalogových listů jako příloha č. 1 </w:t>
      </w:r>
    </w:p>
    <w:p w14:paraId="24629D46" w14:textId="153FDEAC" w:rsidR="00D25903" w:rsidRDefault="002F624B" w:rsidP="00BA5709">
      <w:pPr>
        <w:pStyle w:val="RLTextlnkuslovan"/>
        <w:numPr>
          <w:ilvl w:val="0"/>
          <w:numId w:val="0"/>
        </w:numPr>
        <w:spacing w:before="120" w:after="0" w:line="280" w:lineRule="atLeast"/>
        <w:ind w:left="1021"/>
      </w:pPr>
      <w:r>
        <w:t xml:space="preserve">Příloha </w:t>
      </w:r>
      <w:r w:rsidR="0086726B">
        <w:t xml:space="preserve">č. </w:t>
      </w:r>
      <w:r w:rsidR="00183AD7">
        <w:t>2</w:t>
      </w:r>
      <w:r w:rsidR="0086726B">
        <w:t xml:space="preserve"> S</w:t>
      </w:r>
      <w:r w:rsidR="00B33A3B">
        <w:t>ervisní s</w:t>
      </w:r>
      <w:r w:rsidR="0086726B">
        <w:t>mlouvy</w:t>
      </w:r>
      <w:r w:rsidR="00BA5709">
        <w:t xml:space="preserve"> </w:t>
      </w:r>
      <w:r w:rsidR="00183AD7">
        <w:t>–</w:t>
      </w:r>
      <w:r w:rsidR="00BA5709">
        <w:t xml:space="preserve"> Cena</w:t>
      </w:r>
      <w:r w:rsidR="00183AD7">
        <w:t xml:space="preserve"> služeb</w:t>
      </w:r>
      <w:r>
        <w:t>, ve znění D</w:t>
      </w:r>
      <w:r w:rsidR="000504F5">
        <w:t xml:space="preserve">odatku č. </w:t>
      </w:r>
      <w:r>
        <w:t>1</w:t>
      </w:r>
      <w:r w:rsidR="00183AD7">
        <w:t>,</w:t>
      </w:r>
      <w:r>
        <w:t xml:space="preserve"> jako příloha č. 2.</w:t>
      </w:r>
    </w:p>
    <w:p w14:paraId="449DAB35" w14:textId="77777777" w:rsidR="000C74A1" w:rsidRPr="000C74A1" w:rsidRDefault="000C74A1" w:rsidP="000C74A1">
      <w:pPr>
        <w:pStyle w:val="RLProhlensmluvnchstran"/>
        <w:spacing w:before="120" w:after="0" w:line="280" w:lineRule="atLeast"/>
        <w:rPr>
          <w:bCs/>
        </w:rPr>
      </w:pPr>
    </w:p>
    <w:p w14:paraId="33A95B48" w14:textId="5310421B" w:rsidR="00484E8E" w:rsidRDefault="00484E8E" w:rsidP="00B03BDA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5A431537" w14:textId="13A2F850" w:rsidR="000C74A1" w:rsidRDefault="00EC245F" w:rsidP="000C74A1">
      <w:pPr>
        <w:jc w:val="center"/>
        <w:rPr>
          <w:b/>
          <w:bCs/>
        </w:rPr>
      </w:pPr>
      <w:r w:rsidRPr="000C74A1">
        <w:rPr>
          <w:b/>
          <w:bCs/>
        </w:rPr>
        <w:lastRenderedPageBreak/>
        <w:t>Strany prohlašují, že si t</w:t>
      </w:r>
      <w:r w:rsidR="002D7B3D" w:rsidRPr="000C74A1">
        <w:rPr>
          <w:b/>
          <w:bCs/>
        </w:rPr>
        <w:t>en</w:t>
      </w:r>
      <w:r w:rsidRPr="000C74A1">
        <w:rPr>
          <w:b/>
          <w:bCs/>
        </w:rPr>
        <w:t xml:space="preserve">to </w:t>
      </w:r>
      <w:r w:rsidR="002D7B3D" w:rsidRPr="000C74A1">
        <w:rPr>
          <w:b/>
          <w:bCs/>
        </w:rPr>
        <w:t>Dodatek</w:t>
      </w:r>
      <w:r w:rsidR="002F624B" w:rsidRPr="000C74A1">
        <w:rPr>
          <w:b/>
          <w:bCs/>
        </w:rPr>
        <w:t xml:space="preserve"> č. 1</w:t>
      </w:r>
      <w:r w:rsidR="00FE70D2" w:rsidRPr="000C74A1">
        <w:rPr>
          <w:b/>
          <w:bCs/>
        </w:rPr>
        <w:t xml:space="preserve"> </w:t>
      </w:r>
      <w:r w:rsidRPr="000C74A1">
        <w:rPr>
          <w:b/>
          <w:bCs/>
        </w:rPr>
        <w:t>přečetly, že s je</w:t>
      </w:r>
      <w:r w:rsidR="002D7B3D" w:rsidRPr="000C74A1">
        <w:rPr>
          <w:b/>
          <w:bCs/>
        </w:rPr>
        <w:t>ho</w:t>
      </w:r>
      <w:r w:rsidRPr="000C74A1">
        <w:rPr>
          <w:b/>
          <w:bCs/>
        </w:rPr>
        <w:t xml:space="preserve"> obsahem </w:t>
      </w:r>
      <w:r w:rsidR="00D30BE4" w:rsidRPr="000C74A1">
        <w:rPr>
          <w:b/>
          <w:bCs/>
        </w:rPr>
        <w:t xml:space="preserve">souhlasí, </w:t>
      </w:r>
      <w:r w:rsidR="00E135E0" w:rsidRPr="000C74A1">
        <w:rPr>
          <w:b/>
          <w:bCs/>
        </w:rPr>
        <w:t xml:space="preserve">neuzavřely jej v tísni ani za nápadně nevýhodných podmínek, je projevem jejich svobodné, vážné a pravé vůle </w:t>
      </w:r>
      <w:r w:rsidRPr="000C74A1">
        <w:rPr>
          <w:b/>
          <w:bCs/>
        </w:rPr>
        <w:t>souhlasí a na důkaz toho k n</w:t>
      </w:r>
      <w:r w:rsidR="002D7B3D" w:rsidRPr="000C74A1">
        <w:rPr>
          <w:b/>
          <w:bCs/>
        </w:rPr>
        <w:t>ěmu</w:t>
      </w:r>
      <w:r w:rsidRPr="000C74A1">
        <w:rPr>
          <w:b/>
          <w:bCs/>
        </w:rPr>
        <w:t xml:space="preserve"> připojují svoje podpisy.</w:t>
      </w:r>
    </w:p>
    <w:p w14:paraId="28107ED7" w14:textId="77777777" w:rsidR="000C74A1" w:rsidRPr="000C74A1" w:rsidRDefault="000C74A1" w:rsidP="000C74A1">
      <w:pPr>
        <w:jc w:val="center"/>
        <w:rPr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3"/>
        <w:gridCol w:w="4843"/>
      </w:tblGrid>
      <w:tr w:rsidR="00EC245F" w:rsidRPr="00FF479E" w14:paraId="3D96BBB6" w14:textId="77777777" w:rsidTr="00183AD7">
        <w:trPr>
          <w:jc w:val="center"/>
        </w:trPr>
        <w:tc>
          <w:tcPr>
            <w:tcW w:w="4227" w:type="dxa"/>
          </w:tcPr>
          <w:p w14:paraId="3D96BBB0" w14:textId="4C46FC1F" w:rsidR="00212D38" w:rsidRPr="00FF479E" w:rsidRDefault="002F624B" w:rsidP="00BB5759">
            <w:pPr>
              <w:pStyle w:val="RLProhlensmluvnchstran"/>
              <w:spacing w:before="120" w:after="0" w:line="280" w:lineRule="atLeast"/>
            </w:pPr>
            <w:r>
              <w:t xml:space="preserve">Za </w:t>
            </w:r>
            <w:r w:rsidR="005457DC" w:rsidRPr="00FF479E">
              <w:t>Objednatel</w:t>
            </w:r>
            <w:r>
              <w:t>e:</w:t>
            </w:r>
          </w:p>
          <w:p w14:paraId="3D96BBB1" w14:textId="1A90F012" w:rsidR="00EC245F" w:rsidRPr="00FF479E" w:rsidRDefault="008146B2" w:rsidP="00BB5759">
            <w:pPr>
              <w:pStyle w:val="RLdajeosmluvnstran"/>
              <w:spacing w:before="120" w:after="0" w:line="280" w:lineRule="atLeast"/>
            </w:pPr>
            <w:r w:rsidRPr="00FF479E">
              <w:t>V</w:t>
            </w:r>
            <w:r w:rsidR="00473A26">
              <w:t xml:space="preserve"> Praze</w:t>
            </w:r>
            <w:r w:rsidR="00212D38" w:rsidRPr="00FF479E">
              <w:t xml:space="preserve"> </w:t>
            </w:r>
            <w:r w:rsidRPr="00FF479E">
              <w:t xml:space="preserve">dne </w:t>
            </w:r>
            <w:r w:rsidR="00A34521">
              <w:t>dle elektronického podpisu</w:t>
            </w:r>
          </w:p>
          <w:p w14:paraId="3D96BBB2" w14:textId="6D5D9C7F" w:rsidR="00D82263" w:rsidRPr="00FF479E" w:rsidRDefault="00D82263" w:rsidP="00BB5759">
            <w:pPr>
              <w:spacing w:before="120" w:after="0" w:line="280" w:lineRule="atLeast"/>
            </w:pPr>
          </w:p>
        </w:tc>
        <w:tc>
          <w:tcPr>
            <w:tcW w:w="4843" w:type="dxa"/>
          </w:tcPr>
          <w:p w14:paraId="3D96BBB4" w14:textId="76B14D76" w:rsidR="00212D38" w:rsidRPr="00D82263" w:rsidRDefault="002F624B" w:rsidP="00BB5759">
            <w:pPr>
              <w:pStyle w:val="RLdajeosmluvnstran"/>
              <w:spacing w:before="120" w:after="0" w:line="28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Za </w:t>
            </w:r>
            <w:r w:rsidR="00902894" w:rsidRPr="00FF479E">
              <w:rPr>
                <w:b/>
                <w:bCs/>
              </w:rPr>
              <w:t>Poskytovatel</w:t>
            </w:r>
            <w:r>
              <w:rPr>
                <w:b/>
                <w:bCs/>
              </w:rPr>
              <w:t>e:</w:t>
            </w:r>
          </w:p>
          <w:p w14:paraId="3D96BBB5" w14:textId="182E3E0D" w:rsidR="00EC245F" w:rsidRPr="00FF479E" w:rsidRDefault="00EC245F" w:rsidP="00BB5759">
            <w:pPr>
              <w:pStyle w:val="RLdajeosmluvnstran"/>
              <w:spacing w:before="120" w:after="0" w:line="280" w:lineRule="atLeast"/>
            </w:pPr>
            <w:r w:rsidRPr="00FF479E">
              <w:t xml:space="preserve">V </w:t>
            </w:r>
            <w:r w:rsidR="00473A26">
              <w:t>Praze</w:t>
            </w:r>
            <w:r w:rsidR="00473A26" w:rsidRPr="00FF479E">
              <w:t xml:space="preserve"> </w:t>
            </w:r>
            <w:r w:rsidR="00F70C6C" w:rsidRPr="00FF479E">
              <w:t xml:space="preserve">dne </w:t>
            </w:r>
            <w:r w:rsidR="00A34521">
              <w:t>dle elektronického podpisu</w:t>
            </w:r>
          </w:p>
        </w:tc>
      </w:tr>
      <w:tr w:rsidR="00EC245F" w:rsidRPr="00FF479E" w14:paraId="3D96BBBD" w14:textId="77777777" w:rsidTr="00183AD7">
        <w:trPr>
          <w:jc w:val="center"/>
        </w:trPr>
        <w:tc>
          <w:tcPr>
            <w:tcW w:w="4227" w:type="dxa"/>
          </w:tcPr>
          <w:p w14:paraId="3D96BBB7" w14:textId="25C9EBAB" w:rsidR="008146B2" w:rsidRPr="00FF479E" w:rsidRDefault="008146B2" w:rsidP="00BB5759">
            <w:pPr>
              <w:pStyle w:val="RLdajeosmluvnstran"/>
              <w:spacing w:before="120" w:after="0" w:line="280" w:lineRule="atLeast"/>
            </w:pPr>
            <w:r w:rsidRPr="00FF479E">
              <w:t>.........................................................................</w:t>
            </w:r>
          </w:p>
          <w:p w14:paraId="3BBB87F7" w14:textId="0F347B21" w:rsidR="002D7B3D" w:rsidRDefault="002D7B3D" w:rsidP="00BB5759">
            <w:pPr>
              <w:pStyle w:val="RLdajeosmluvnstran"/>
              <w:spacing w:before="120" w:after="0"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</w:t>
            </w:r>
            <w:r w:rsidR="001E70CE">
              <w:rPr>
                <w:b/>
                <w:bCs/>
              </w:rPr>
              <w:t> </w:t>
            </w:r>
            <w:r w:rsidRPr="00FF479E">
              <w:rPr>
                <w:b/>
                <w:bCs/>
              </w:rPr>
              <w:t>sociálních věcí</w:t>
            </w:r>
          </w:p>
          <w:p w14:paraId="3A5CAD56" w14:textId="77777777" w:rsidR="004765BE" w:rsidRDefault="0086726B" w:rsidP="0086726B">
            <w:pPr>
              <w:pStyle w:val="RLdajeosmluvnstran"/>
              <w:spacing w:before="120" w:after="0" w:line="280" w:lineRule="atLeast"/>
            </w:pPr>
            <w:r w:rsidRPr="00037D82">
              <w:t>Ing. Kar</w:t>
            </w:r>
            <w:r>
              <w:t>el</w:t>
            </w:r>
            <w:r w:rsidRPr="00037D82">
              <w:t xml:space="preserve"> Trpkoš, </w:t>
            </w:r>
          </w:p>
          <w:p w14:paraId="621FD27D" w14:textId="78D2643F" w:rsidR="00A34521" w:rsidRPr="0086726B" w:rsidRDefault="0086726B" w:rsidP="0086726B">
            <w:pPr>
              <w:pStyle w:val="RLdajeosmluvnstran"/>
              <w:spacing w:before="120" w:after="0" w:line="280" w:lineRule="atLeast"/>
            </w:pPr>
            <w:r w:rsidRPr="00037D82">
              <w:t>vrchní ředitel sekce informačních technologií</w:t>
            </w:r>
          </w:p>
          <w:p w14:paraId="3D96BBB9" w14:textId="7C395EB6" w:rsidR="00A34521" w:rsidRPr="00FF479E" w:rsidRDefault="00A34521" w:rsidP="00BB5759">
            <w:pPr>
              <w:pStyle w:val="RLdajeosmluvnstran"/>
              <w:spacing w:before="120" w:after="0" w:line="280" w:lineRule="atLeast"/>
            </w:pPr>
          </w:p>
        </w:tc>
        <w:tc>
          <w:tcPr>
            <w:tcW w:w="4843" w:type="dxa"/>
          </w:tcPr>
          <w:p w14:paraId="3D96BBBA" w14:textId="77777777" w:rsidR="00212D38" w:rsidRPr="00FF479E" w:rsidRDefault="00212D38" w:rsidP="00BB5759">
            <w:pPr>
              <w:pStyle w:val="RLdajeosmluvnstran"/>
              <w:spacing w:before="120" w:after="0" w:line="280" w:lineRule="atLeast"/>
            </w:pPr>
            <w:r w:rsidRPr="00FF479E">
              <w:t>.........................................................................</w:t>
            </w:r>
          </w:p>
          <w:p w14:paraId="6713E48D" w14:textId="58670C79" w:rsidR="0086726B" w:rsidRPr="0065619E" w:rsidRDefault="00183AD7" w:rsidP="0086726B">
            <w:pPr>
              <w:pStyle w:val="RLdajeosmluvnstran"/>
              <w:spacing w:before="120" w:after="0" w:line="280" w:lineRule="atLeas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Asseco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Central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Europe</w:t>
            </w:r>
            <w:proofErr w:type="spellEnd"/>
            <w:r>
              <w:rPr>
                <w:b/>
                <w:bCs/>
              </w:rPr>
              <w:t>, a.s.</w:t>
            </w:r>
          </w:p>
          <w:p w14:paraId="6988977E" w14:textId="7EE6251D" w:rsidR="006705A5" w:rsidRDefault="00183AD7" w:rsidP="00BB5759">
            <w:pPr>
              <w:pStyle w:val="RLdajeosmluvnstran"/>
              <w:spacing w:before="120" w:after="0" w:line="280" w:lineRule="atLeast"/>
              <w:rPr>
                <w:szCs w:val="22"/>
              </w:rPr>
            </w:pPr>
            <w:r>
              <w:rPr>
                <w:szCs w:val="22"/>
              </w:rPr>
              <w:t>Mgr. Jiří Winkler</w:t>
            </w:r>
          </w:p>
          <w:p w14:paraId="3D96BBBC" w14:textId="5E2AD367" w:rsidR="009A4EFE" w:rsidRPr="00FF479E" w:rsidRDefault="00183AD7" w:rsidP="00BB5759">
            <w:pPr>
              <w:pStyle w:val="RLdajeosmluvnstran"/>
              <w:spacing w:before="120" w:after="0" w:line="280" w:lineRule="atLeast"/>
            </w:pPr>
            <w:r>
              <w:rPr>
                <w:szCs w:val="22"/>
              </w:rPr>
              <w:t>prokurista</w:t>
            </w:r>
          </w:p>
        </w:tc>
      </w:tr>
    </w:tbl>
    <w:p w14:paraId="6D20B33C" w14:textId="67137879" w:rsidR="00103F0A" w:rsidRDefault="00103F0A" w:rsidP="00BB5759">
      <w:pPr>
        <w:spacing w:before="120" w:after="0" w:line="280" w:lineRule="atLeast"/>
        <w:rPr>
          <w:rFonts w:cs="Arial"/>
          <w:b/>
          <w:szCs w:val="20"/>
        </w:rPr>
      </w:pPr>
    </w:p>
    <w:p w14:paraId="7101A16E" w14:textId="7F08DDC1" w:rsidR="00103F0A" w:rsidRDefault="00103F0A" w:rsidP="00BB5759">
      <w:pPr>
        <w:spacing w:after="0" w:line="280" w:lineRule="atLeast"/>
        <w:rPr>
          <w:rFonts w:cs="Arial"/>
          <w:b/>
          <w:szCs w:val="20"/>
        </w:rPr>
      </w:pPr>
    </w:p>
    <w:p w14:paraId="38AE11F3" w14:textId="77777777" w:rsidR="00950AB6" w:rsidRDefault="00950AB6" w:rsidP="00BB5759">
      <w:pPr>
        <w:pStyle w:val="RLProhlensmluvnchstran"/>
        <w:pBdr>
          <w:bottom w:val="single" w:sz="12" w:space="1" w:color="auto"/>
        </w:pBdr>
        <w:spacing w:line="280" w:lineRule="atLeast"/>
        <w:rPr>
          <w:rFonts w:cs="Arial"/>
          <w:szCs w:val="20"/>
        </w:rPr>
        <w:sectPr w:rsidR="00950AB6" w:rsidSect="00B03BDA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274" w:bottom="1418" w:left="1418" w:header="709" w:footer="709" w:gutter="0"/>
          <w:pgNumType w:start="1"/>
          <w:cols w:space="708"/>
          <w:docGrid w:linePitch="360"/>
        </w:sectPr>
      </w:pPr>
    </w:p>
    <w:p w14:paraId="58DF22EF" w14:textId="77777777" w:rsidR="00A12F35" w:rsidRDefault="00A12F35" w:rsidP="00BB5759">
      <w:pPr>
        <w:pStyle w:val="RLProhlensmluvnchstran"/>
        <w:spacing w:line="280" w:lineRule="atLeast"/>
        <w:rPr>
          <w:rFonts w:cs="Arial"/>
          <w:szCs w:val="20"/>
        </w:rPr>
      </w:pPr>
    </w:p>
    <w:p w14:paraId="39F00C28" w14:textId="4C269E85" w:rsidR="00033FF2" w:rsidRDefault="005C1247" w:rsidP="00BB5759">
      <w:pPr>
        <w:pStyle w:val="RLProhlensmluvnchstran"/>
        <w:spacing w:line="28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Příloha č. </w:t>
      </w:r>
      <w:r w:rsidR="00A12F35">
        <w:rPr>
          <w:rFonts w:cs="Arial"/>
          <w:szCs w:val="20"/>
        </w:rPr>
        <w:t>1</w:t>
      </w:r>
      <w:r>
        <w:rPr>
          <w:rFonts w:cs="Arial"/>
          <w:szCs w:val="20"/>
        </w:rPr>
        <w:t xml:space="preserve"> </w:t>
      </w:r>
    </w:p>
    <w:p w14:paraId="4A18BF11" w14:textId="679D73F6" w:rsidR="00033FF2" w:rsidRDefault="00BC7D3E" w:rsidP="00BC7D3E">
      <w:pPr>
        <w:pStyle w:val="NZEV0"/>
        <w:spacing w:before="360" w:line="280" w:lineRule="atLeast"/>
        <w:ind w:left="539" w:hanging="539"/>
        <w:rPr>
          <w:rFonts w:cs="Arial"/>
          <w:sz w:val="20"/>
        </w:rPr>
      </w:pPr>
      <w:r>
        <w:rPr>
          <w:rFonts w:cs="Arial"/>
          <w:sz w:val="20"/>
        </w:rPr>
        <w:t>Zdůvodnění dle katalogových listů KL15, KL17 a KL18</w:t>
      </w:r>
    </w:p>
    <w:p w14:paraId="720F519F" w14:textId="77777777" w:rsidR="00BC7D3E" w:rsidRPr="00BC7D3E" w:rsidRDefault="00BC7D3E" w:rsidP="00BC7D3E">
      <w:pPr>
        <w:pStyle w:val="NZEV0"/>
        <w:spacing w:before="360" w:line="280" w:lineRule="atLeast"/>
        <w:ind w:left="539" w:hanging="539"/>
        <w:rPr>
          <w:rFonts w:cs="Arial"/>
          <w:sz w:val="20"/>
        </w:rPr>
      </w:pPr>
    </w:p>
    <w:p w14:paraId="0933AA55" w14:textId="553A672E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b/>
          <w:bCs/>
          <w:szCs w:val="20"/>
        </w:rPr>
        <w:t>KL15 – Digitalizace SÚIP</w:t>
      </w:r>
    </w:p>
    <w:p w14:paraId="1E1A3B59" w14:textId="1CBCBEF1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szCs w:val="20"/>
        </w:rPr>
        <w:t>Služba zajišťuje provoz Státního úřadu Inspekce práce. Jedná se o digitalizaci podání pro vysílání zahraničních pracovníků do České republiky, Poskytování poradenství, Podání podnětu a Žádosti o neuložení sankce.</w:t>
      </w:r>
    </w:p>
    <w:p w14:paraId="5979E834" w14:textId="77777777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szCs w:val="20"/>
        </w:rPr>
        <w:t>Digitalizace agend SUIP (Zákon č. 251/2005 Sb., o inspekci práce a souvisejících agend zahraniční zaměstnanosti), má za cíl eliminovat významnou část administrativní zátěže zaměstnavatelů a vytvoření prostředí pro sběr ze strany státu požadovaných informací. </w:t>
      </w:r>
    </w:p>
    <w:p w14:paraId="5A41DC24" w14:textId="654579C3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szCs w:val="20"/>
        </w:rPr>
        <w:t xml:space="preserve">Po uzavření </w:t>
      </w:r>
      <w:r w:rsidR="002354FF">
        <w:rPr>
          <w:rFonts w:cs="Arial"/>
          <w:szCs w:val="20"/>
        </w:rPr>
        <w:t>S</w:t>
      </w:r>
      <w:r w:rsidRPr="00BC7D3E">
        <w:rPr>
          <w:rFonts w:cs="Arial"/>
          <w:szCs w:val="20"/>
        </w:rPr>
        <w:t>ervisní smlouvy byly nově digitalizovány agendy:</w:t>
      </w:r>
    </w:p>
    <w:p w14:paraId="479945DF" w14:textId="77777777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szCs w:val="20"/>
        </w:rPr>
        <w:t>1.     Agendy podnětů a poradenství na základě práva na digitální službu</w:t>
      </w:r>
    </w:p>
    <w:p w14:paraId="3ADB9D73" w14:textId="5E1A4A03" w:rsidR="00BC7D3E" w:rsidRPr="00BC7D3E" w:rsidRDefault="00BC7D3E" w:rsidP="00030CAD">
      <w:pPr>
        <w:spacing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szCs w:val="20"/>
        </w:rPr>
        <w:t>2.     Agenda neudělování sankce </w:t>
      </w:r>
    </w:p>
    <w:p w14:paraId="46A10271" w14:textId="0A26A547" w:rsidR="00705896" w:rsidRPr="00030CAD" w:rsidRDefault="00705896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030CAD">
        <w:rPr>
          <w:rFonts w:cs="Arial"/>
          <w:szCs w:val="20"/>
        </w:rPr>
        <w:t xml:space="preserve">Účelem této služby je zajistit rozšíření původních služeb JPŘ PSV o službu Digitalizace SÚIP, které jsou technicky realizované původním </w:t>
      </w:r>
      <w:r w:rsidR="003D4DCD" w:rsidRPr="00030CAD">
        <w:rPr>
          <w:rFonts w:cs="Arial"/>
          <w:szCs w:val="20"/>
        </w:rPr>
        <w:t>P</w:t>
      </w:r>
      <w:r w:rsidRPr="00030CAD">
        <w:rPr>
          <w:rFonts w:cs="Arial"/>
          <w:szCs w:val="20"/>
        </w:rPr>
        <w:t xml:space="preserve">oskytovatelem. </w:t>
      </w:r>
      <w:r w:rsidR="008E626C" w:rsidRPr="00030CAD">
        <w:rPr>
          <w:rFonts w:cs="Arial"/>
          <w:szCs w:val="20"/>
        </w:rPr>
        <w:t xml:space="preserve">Potřeba digitalizace této služby </w:t>
      </w:r>
      <w:r w:rsidR="003D4DCD" w:rsidRPr="00030CAD">
        <w:rPr>
          <w:rFonts w:cs="Arial"/>
          <w:szCs w:val="20"/>
        </w:rPr>
        <w:t xml:space="preserve">vznikla až po uzavření Servisní </w:t>
      </w:r>
      <w:r w:rsidR="008E626C" w:rsidRPr="00030CAD">
        <w:rPr>
          <w:rFonts w:cs="Arial"/>
          <w:szCs w:val="20"/>
        </w:rPr>
        <w:t xml:space="preserve">smlouvy, </w:t>
      </w:r>
      <w:r w:rsidR="003D4DCD" w:rsidRPr="00030CAD">
        <w:rPr>
          <w:rFonts w:cs="Arial"/>
          <w:szCs w:val="20"/>
        </w:rPr>
        <w:t xml:space="preserve">služba je </w:t>
      </w:r>
      <w:r w:rsidR="008E626C" w:rsidRPr="00030CAD">
        <w:rPr>
          <w:rFonts w:cs="Arial"/>
          <w:szCs w:val="20"/>
        </w:rPr>
        <w:t>nezbytn</w:t>
      </w:r>
      <w:r w:rsidR="003D4DCD" w:rsidRPr="00030CAD">
        <w:rPr>
          <w:rFonts w:cs="Arial"/>
          <w:szCs w:val="20"/>
        </w:rPr>
        <w:t>á</w:t>
      </w:r>
      <w:r w:rsidR="008E626C" w:rsidRPr="00030CAD">
        <w:rPr>
          <w:rFonts w:cs="Arial"/>
          <w:szCs w:val="20"/>
        </w:rPr>
        <w:t xml:space="preserve"> pro vytvoření provozuschopného uceleného </w:t>
      </w:r>
      <w:r w:rsidR="003D4DCD" w:rsidRPr="00030CAD">
        <w:rPr>
          <w:rFonts w:cs="Arial"/>
          <w:szCs w:val="20"/>
        </w:rPr>
        <w:t>S</w:t>
      </w:r>
      <w:r w:rsidR="008E626C" w:rsidRPr="00030CAD">
        <w:rPr>
          <w:rFonts w:cs="Arial"/>
          <w:szCs w:val="20"/>
        </w:rPr>
        <w:t xml:space="preserve">ystému. </w:t>
      </w:r>
      <w:r w:rsidRPr="00030CAD">
        <w:rPr>
          <w:rFonts w:cs="Arial"/>
          <w:szCs w:val="20"/>
        </w:rPr>
        <w:t xml:space="preserve">Navrhované změny vyžadují zásahy do interní logiky </w:t>
      </w:r>
      <w:r w:rsidR="003D4DCD" w:rsidRPr="00030CAD">
        <w:rPr>
          <w:rFonts w:cs="Arial"/>
          <w:szCs w:val="20"/>
        </w:rPr>
        <w:t>S</w:t>
      </w:r>
      <w:r w:rsidRPr="00030CAD">
        <w:rPr>
          <w:rFonts w:cs="Arial"/>
          <w:szCs w:val="20"/>
        </w:rPr>
        <w:t xml:space="preserve">ystému, k níž má odborné znalosti výlučně původní </w:t>
      </w:r>
      <w:r w:rsidR="003D4DCD" w:rsidRPr="00030CAD">
        <w:rPr>
          <w:rFonts w:cs="Arial"/>
          <w:szCs w:val="20"/>
        </w:rPr>
        <w:t>P</w:t>
      </w:r>
      <w:r w:rsidRPr="00030CAD">
        <w:rPr>
          <w:rFonts w:cs="Arial"/>
          <w:szCs w:val="20"/>
        </w:rPr>
        <w:t xml:space="preserve">oskytovatel jakožto autor díla. Zapojení jiného dodavatele by vedlo k neúměrnému technickému riziku, zvýšeným nákladům na zajištění kompatibility a výrazně prodloužené době realizace. </w:t>
      </w:r>
      <w:r w:rsidR="00C344E9" w:rsidRPr="00030CAD">
        <w:rPr>
          <w:rFonts w:cs="Arial"/>
          <w:szCs w:val="20"/>
        </w:rPr>
        <w:t xml:space="preserve">Rozšířená služba bude tvořit s původním plněním jeden funkční celek a jejich oddělení by způsobilo významné provozní obtíže. Digitalizace SUIP je úzce provázána s architekturou řešení vytvořeného původním </w:t>
      </w:r>
      <w:r w:rsidR="003D4DCD" w:rsidRPr="00030CAD">
        <w:rPr>
          <w:rFonts w:cs="Arial"/>
          <w:szCs w:val="20"/>
        </w:rPr>
        <w:t>Poskytovatelem</w:t>
      </w:r>
      <w:r w:rsidR="00C344E9" w:rsidRPr="00030CAD">
        <w:rPr>
          <w:rFonts w:cs="Arial"/>
          <w:szCs w:val="20"/>
        </w:rPr>
        <w:t>.</w:t>
      </w:r>
    </w:p>
    <w:p w14:paraId="2244F8F7" w14:textId="77777777" w:rsidR="00BC7D3E" w:rsidRPr="00BC7D3E" w:rsidRDefault="00BC7D3E" w:rsidP="009E5DCC">
      <w:pPr>
        <w:spacing w:before="120" w:after="0" w:line="280" w:lineRule="atLeast"/>
        <w:jc w:val="both"/>
        <w:rPr>
          <w:rFonts w:cs="Arial"/>
          <w:b/>
          <w:bCs/>
          <w:szCs w:val="20"/>
        </w:rPr>
      </w:pPr>
    </w:p>
    <w:p w14:paraId="73A476EA" w14:textId="35CD5BBC" w:rsidR="00BC7D3E" w:rsidRPr="00BC7D3E" w:rsidRDefault="00BC7D3E" w:rsidP="009E5DCC">
      <w:pPr>
        <w:spacing w:before="120" w:after="0" w:line="280" w:lineRule="atLeast"/>
        <w:jc w:val="both"/>
        <w:rPr>
          <w:rFonts w:cs="Arial"/>
          <w:b/>
          <w:bCs/>
          <w:szCs w:val="20"/>
        </w:rPr>
      </w:pPr>
      <w:proofErr w:type="gramStart"/>
      <w:r w:rsidRPr="00BC7D3E">
        <w:rPr>
          <w:rFonts w:cs="Arial"/>
          <w:b/>
          <w:bCs/>
          <w:szCs w:val="20"/>
        </w:rPr>
        <w:t>KL17 - Aplikace</w:t>
      </w:r>
      <w:proofErr w:type="gramEnd"/>
      <w:r w:rsidRPr="00BC7D3E">
        <w:rPr>
          <w:rFonts w:cs="Arial"/>
          <w:b/>
          <w:bCs/>
          <w:szCs w:val="20"/>
        </w:rPr>
        <w:t xml:space="preserve"> pro hodnocení omezení soběstačnosti uprchlíků</w:t>
      </w:r>
    </w:p>
    <w:p w14:paraId="5E7B05EF" w14:textId="3B7C45B1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szCs w:val="20"/>
        </w:rPr>
        <w:t>Aplikace pro zpracování hodnocení omezení soběstačnosti byla vytvořena v souvislosti s přijetím zákona č. 24/2025 Sb., kterým se mění zákon č. 65/2022 Sb., o některých opatřeních v souvislosti s ozbrojeným konfliktem na území Ukrajiny vyvolaným invazí vojsk Ruské federace, ve znění pozdějších předpisů (dále též „zákon“) a související připravovanou Instrukcí vrchní ředitelky sekce 7</w:t>
      </w:r>
      <w:r w:rsidR="00B33A3B">
        <w:rPr>
          <w:rFonts w:cs="Arial"/>
          <w:szCs w:val="20"/>
        </w:rPr>
        <w:t xml:space="preserve"> Ministerstva práce a sociálních věcí</w:t>
      </w:r>
      <w:r w:rsidRPr="00BC7D3E">
        <w:rPr>
          <w:rFonts w:cs="Arial"/>
          <w:szCs w:val="20"/>
        </w:rPr>
        <w:t xml:space="preserve"> „Posuzování zdravotního stavu pro účely zákona č. 66/2022 Sb., o opatřeních v oblasti zaměstnanosti a oblasti sociálního zabezpečení v souvislosti s ozbrojeným konfliktem na území Ukrajiny vyvolaným invazí vojsk Ruské federace, ve znění pozdějších předpisů“.</w:t>
      </w:r>
    </w:p>
    <w:p w14:paraId="309F803C" w14:textId="079F4BF2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szCs w:val="20"/>
        </w:rPr>
        <w:t>Vzhledem k tomu, že aplikace byla vytvořena na základě zákona v roce 2025</w:t>
      </w:r>
      <w:r w:rsidR="005F0CC6">
        <w:rPr>
          <w:rFonts w:cs="Arial"/>
          <w:szCs w:val="20"/>
        </w:rPr>
        <w:t>,</w:t>
      </w:r>
      <w:r w:rsidRPr="00BC7D3E">
        <w:rPr>
          <w:rFonts w:cs="Arial"/>
          <w:szCs w:val="20"/>
        </w:rPr>
        <w:t xml:space="preserve"> nebyla předmětem původně definovaného rozsahu provozní podpory dle </w:t>
      </w:r>
      <w:r w:rsidR="00B33A3B">
        <w:rPr>
          <w:rFonts w:cs="Arial"/>
          <w:szCs w:val="20"/>
        </w:rPr>
        <w:t>S</w:t>
      </w:r>
      <w:r w:rsidRPr="00BC7D3E">
        <w:rPr>
          <w:rFonts w:cs="Arial"/>
          <w:szCs w:val="20"/>
        </w:rPr>
        <w:t>ervisní smlouvy.</w:t>
      </w:r>
    </w:p>
    <w:p w14:paraId="2157E8B6" w14:textId="7F083512" w:rsidR="00EC40EE" w:rsidRPr="00BC7D3E" w:rsidRDefault="00EC40EE" w:rsidP="009E5DCC">
      <w:pPr>
        <w:spacing w:before="120" w:after="0" w:line="280" w:lineRule="atLeast"/>
        <w:jc w:val="both"/>
        <w:rPr>
          <w:rFonts w:cs="Arial"/>
          <w:b/>
          <w:bCs/>
          <w:szCs w:val="20"/>
        </w:rPr>
      </w:pPr>
      <w:r w:rsidRPr="00030CAD">
        <w:rPr>
          <w:rFonts w:cs="Arial"/>
          <w:szCs w:val="20"/>
        </w:rPr>
        <w:t xml:space="preserve">Účelem této služby je zajistit rozšíření původních služeb JPŘ PSV o službu </w:t>
      </w:r>
      <w:r w:rsidR="007D4957" w:rsidRPr="00030CAD">
        <w:rPr>
          <w:rFonts w:cs="Arial"/>
          <w:szCs w:val="20"/>
        </w:rPr>
        <w:t>Aplikace pro hodnocení omezení soběstačnosti uprchlíků</w:t>
      </w:r>
      <w:r w:rsidRPr="00030CAD">
        <w:rPr>
          <w:rFonts w:cs="Arial"/>
          <w:szCs w:val="20"/>
        </w:rPr>
        <w:t xml:space="preserve">, které jsou technicky realizované původním </w:t>
      </w:r>
      <w:r w:rsidR="00A6711C" w:rsidRPr="00030CAD">
        <w:rPr>
          <w:rFonts w:cs="Arial"/>
          <w:szCs w:val="20"/>
        </w:rPr>
        <w:t>P</w:t>
      </w:r>
      <w:r w:rsidRPr="00030CAD">
        <w:rPr>
          <w:rFonts w:cs="Arial"/>
          <w:szCs w:val="20"/>
        </w:rPr>
        <w:t xml:space="preserve">oskytovatelem. Potřeba digitalizace této služby </w:t>
      </w:r>
      <w:r w:rsidR="00A6711C" w:rsidRPr="00030CAD">
        <w:rPr>
          <w:rFonts w:cs="Arial"/>
          <w:szCs w:val="20"/>
        </w:rPr>
        <w:t xml:space="preserve">vznikla až po uzavření Servisní </w:t>
      </w:r>
      <w:r w:rsidRPr="00030CAD">
        <w:rPr>
          <w:rFonts w:cs="Arial"/>
          <w:szCs w:val="20"/>
        </w:rPr>
        <w:t>smlouvy, služb</w:t>
      </w:r>
      <w:r w:rsidR="009E5DCC" w:rsidRPr="00030CAD">
        <w:rPr>
          <w:rFonts w:cs="Arial"/>
          <w:szCs w:val="20"/>
        </w:rPr>
        <w:t>a</w:t>
      </w:r>
      <w:r w:rsidRPr="00030CAD">
        <w:rPr>
          <w:rFonts w:cs="Arial"/>
          <w:szCs w:val="20"/>
        </w:rPr>
        <w:t xml:space="preserve"> </w:t>
      </w:r>
      <w:r w:rsidR="009E5DCC" w:rsidRPr="00030CAD">
        <w:rPr>
          <w:rFonts w:cs="Arial"/>
          <w:szCs w:val="20"/>
        </w:rPr>
        <w:t>je</w:t>
      </w:r>
      <w:r w:rsidRPr="00030CAD">
        <w:rPr>
          <w:rFonts w:cs="Arial"/>
          <w:szCs w:val="20"/>
        </w:rPr>
        <w:t xml:space="preserve"> nezbytn</w:t>
      </w:r>
      <w:r w:rsidR="009E5DCC" w:rsidRPr="00030CAD">
        <w:rPr>
          <w:rFonts w:cs="Arial"/>
          <w:szCs w:val="20"/>
        </w:rPr>
        <w:t>á</w:t>
      </w:r>
      <w:r w:rsidRPr="00030CAD">
        <w:rPr>
          <w:rFonts w:cs="Arial"/>
          <w:szCs w:val="20"/>
        </w:rPr>
        <w:t xml:space="preserve"> pro vytvoření provozuschopného uceleného </w:t>
      </w:r>
      <w:r w:rsidR="009E5DCC" w:rsidRPr="00030CAD">
        <w:rPr>
          <w:rFonts w:cs="Arial"/>
          <w:szCs w:val="20"/>
        </w:rPr>
        <w:t>Sytému</w:t>
      </w:r>
      <w:r w:rsidRPr="00030CAD">
        <w:rPr>
          <w:rFonts w:cs="Arial"/>
          <w:szCs w:val="20"/>
        </w:rPr>
        <w:t xml:space="preserve">. Navrhované změny vyžadují zásahy do interní logiky </w:t>
      </w:r>
      <w:r w:rsidR="009E5DCC" w:rsidRPr="00030CAD">
        <w:rPr>
          <w:rFonts w:cs="Arial"/>
          <w:szCs w:val="20"/>
        </w:rPr>
        <w:t>S</w:t>
      </w:r>
      <w:r w:rsidRPr="00030CAD">
        <w:rPr>
          <w:rFonts w:cs="Arial"/>
          <w:szCs w:val="20"/>
        </w:rPr>
        <w:t xml:space="preserve">ystému, k níž má odborné znalosti výlučně původní </w:t>
      </w:r>
      <w:r w:rsidR="009E5DCC" w:rsidRPr="00030CAD">
        <w:rPr>
          <w:rFonts w:cs="Arial"/>
          <w:szCs w:val="20"/>
        </w:rPr>
        <w:t>P</w:t>
      </w:r>
      <w:r w:rsidRPr="00030CAD">
        <w:rPr>
          <w:rFonts w:cs="Arial"/>
          <w:szCs w:val="20"/>
        </w:rPr>
        <w:t xml:space="preserve">oskytovatel jakožto autor díla. Zapojení jiného dodavatele by vedlo k neúměrnému technickému riziku, zvýšeným nákladům na zajištění kompatibility a výrazně prodloužené době realizace. Rozšířená služba bude tvořit s původním plněním jeden funkční celek a </w:t>
      </w:r>
      <w:r w:rsidRPr="00030CAD">
        <w:rPr>
          <w:rFonts w:cs="Arial"/>
          <w:szCs w:val="20"/>
        </w:rPr>
        <w:lastRenderedPageBreak/>
        <w:t xml:space="preserve">jejich oddělení by způsobilo významné provozní obtíže. </w:t>
      </w:r>
      <w:r w:rsidR="007D4957" w:rsidRPr="00030CAD">
        <w:rPr>
          <w:rFonts w:cs="Arial"/>
          <w:szCs w:val="20"/>
        </w:rPr>
        <w:t xml:space="preserve">Aplikace pro hodnocení omezení soběstačnosti uprchlíků </w:t>
      </w:r>
      <w:r w:rsidRPr="00030CAD">
        <w:rPr>
          <w:rFonts w:cs="Arial"/>
          <w:szCs w:val="20"/>
        </w:rPr>
        <w:t xml:space="preserve">je úzce provázána s architekturou řešení vytvořeného původním </w:t>
      </w:r>
      <w:r w:rsidR="009E5DCC" w:rsidRPr="00030CAD">
        <w:rPr>
          <w:rFonts w:cs="Arial"/>
          <w:szCs w:val="20"/>
        </w:rPr>
        <w:t>Poskyto</w:t>
      </w:r>
      <w:r w:rsidRPr="00030CAD">
        <w:rPr>
          <w:rFonts w:cs="Arial"/>
          <w:szCs w:val="20"/>
        </w:rPr>
        <w:t>vatelem</w:t>
      </w:r>
      <w:r>
        <w:rPr>
          <w:rFonts w:cs="Arial"/>
          <w:b/>
          <w:bCs/>
          <w:szCs w:val="20"/>
        </w:rPr>
        <w:t>.</w:t>
      </w:r>
    </w:p>
    <w:p w14:paraId="736E5421" w14:textId="77777777" w:rsidR="00EC40EE" w:rsidRPr="00BC7D3E" w:rsidRDefault="00EC40EE" w:rsidP="009E5DCC">
      <w:pPr>
        <w:spacing w:before="120" w:after="0" w:line="280" w:lineRule="atLeast"/>
        <w:jc w:val="both"/>
        <w:rPr>
          <w:rFonts w:cs="Arial"/>
          <w:b/>
          <w:bCs/>
          <w:szCs w:val="20"/>
        </w:rPr>
      </w:pPr>
    </w:p>
    <w:p w14:paraId="764D3410" w14:textId="38776D7E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proofErr w:type="gramStart"/>
      <w:r w:rsidRPr="00BC7D3E">
        <w:rPr>
          <w:rFonts w:cs="Arial"/>
          <w:b/>
          <w:bCs/>
          <w:szCs w:val="20"/>
        </w:rPr>
        <w:t>KL18 - Centrální</w:t>
      </w:r>
      <w:proofErr w:type="gramEnd"/>
      <w:r w:rsidRPr="00BC7D3E">
        <w:rPr>
          <w:rFonts w:cs="Arial"/>
          <w:b/>
          <w:bCs/>
          <w:szCs w:val="20"/>
        </w:rPr>
        <w:t xml:space="preserve"> logování</w:t>
      </w:r>
    </w:p>
    <w:p w14:paraId="653BBF19" w14:textId="07026BAE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szCs w:val="20"/>
        </w:rPr>
        <w:t>V souladu s IT koncepcí Ministerstva práce a sociálních věcí</w:t>
      </w:r>
      <w:r w:rsidR="00B33A3B">
        <w:rPr>
          <w:rFonts w:cs="Arial"/>
          <w:szCs w:val="20"/>
        </w:rPr>
        <w:t xml:space="preserve"> (MPSV)</w:t>
      </w:r>
      <w:r w:rsidRPr="00BC7D3E">
        <w:rPr>
          <w:rFonts w:cs="Arial"/>
          <w:szCs w:val="20"/>
        </w:rPr>
        <w:t xml:space="preserve">, která stanovuje, že nové aplikace jsou budovány dle standardů </w:t>
      </w:r>
      <w:proofErr w:type="spellStart"/>
      <w:r w:rsidRPr="00BC7D3E">
        <w:rPr>
          <w:rFonts w:cs="Arial"/>
          <w:szCs w:val="20"/>
        </w:rPr>
        <w:t>mikroservisní</w:t>
      </w:r>
      <w:proofErr w:type="spellEnd"/>
      <w:r w:rsidRPr="00BC7D3E">
        <w:rPr>
          <w:rFonts w:cs="Arial"/>
          <w:szCs w:val="20"/>
        </w:rPr>
        <w:t xml:space="preserve"> architektury v kontejnerizační platformě HCI, vznikla potřeba vybudování jednotné platformy pro aplikační a auditní logování (CLA – Centralizované logování aplikací).</w:t>
      </w:r>
    </w:p>
    <w:p w14:paraId="04FD417F" w14:textId="78E8F769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szCs w:val="20"/>
        </w:rPr>
        <w:t>Platforma CLA byla koncipována jako univerzální nástroj využitelný pro různé technologické platformy, přičemž primárně byla navržena pro kontejnerizační prostředí MPSV. Jejím hlavním účelem je zajištění souladu s požadavky vyhlášky č. 82/2018 Sb.,</w:t>
      </w:r>
      <w:r w:rsidR="00B33A3B">
        <w:rPr>
          <w:rFonts w:cs="Arial"/>
          <w:szCs w:val="20"/>
        </w:rPr>
        <w:t xml:space="preserve"> </w:t>
      </w:r>
      <w:r w:rsidR="00B33A3B" w:rsidRPr="00B33A3B">
        <w:rPr>
          <w:rFonts w:cs="Arial"/>
          <w:szCs w:val="20"/>
        </w:rPr>
        <w:t>o bezpečnostních opatřeních, kybernetických bezpečnostních incidentech, reaktivních opatřeních, náležitostech podání v oblasti kybernetické bezpečnosti a likvidaci dat (vyhláška o kybernetické bezpečnosti)</w:t>
      </w:r>
      <w:r w:rsidRPr="00BC7D3E">
        <w:rPr>
          <w:rFonts w:cs="Arial"/>
          <w:szCs w:val="20"/>
        </w:rPr>
        <w:t>, konkrétně § 22</w:t>
      </w:r>
      <w:r w:rsidR="00B33A3B">
        <w:rPr>
          <w:rFonts w:cs="Arial"/>
          <w:szCs w:val="20"/>
        </w:rPr>
        <w:t xml:space="preserve"> této vyhlášky</w:t>
      </w:r>
      <w:r w:rsidRPr="00BC7D3E">
        <w:rPr>
          <w:rFonts w:cs="Arial"/>
          <w:szCs w:val="20"/>
        </w:rPr>
        <w:t>.</w:t>
      </w:r>
    </w:p>
    <w:p w14:paraId="108416B7" w14:textId="77777777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szCs w:val="20"/>
        </w:rPr>
        <w:t>Požadavky uvedené vyhlášky bylo nezbytné splnit také při vývoji a provozu nových informačních systémů MPSV realizovaných v této platformě, zejména:</w:t>
      </w:r>
    </w:p>
    <w:p w14:paraId="36682D2B" w14:textId="77777777" w:rsidR="00BC7D3E" w:rsidRPr="00BC7D3E" w:rsidRDefault="00BC7D3E" w:rsidP="009E5DCC">
      <w:pPr>
        <w:spacing w:before="120" w:after="0" w:line="280" w:lineRule="atLeast"/>
        <w:ind w:left="720" w:hanging="360"/>
        <w:jc w:val="both"/>
        <w:rPr>
          <w:rFonts w:cs="Arial"/>
          <w:szCs w:val="20"/>
        </w:rPr>
      </w:pPr>
      <w:r w:rsidRPr="00BC7D3E">
        <w:rPr>
          <w:rFonts w:eastAsia="Courier New" w:cs="Arial"/>
          <w:szCs w:val="20"/>
        </w:rPr>
        <w:t>o   </w:t>
      </w:r>
      <w:r w:rsidRPr="00BC7D3E">
        <w:rPr>
          <w:rFonts w:cs="Arial"/>
          <w:szCs w:val="20"/>
        </w:rPr>
        <w:t>DSSP – Dávky státní sociální pomoci,</w:t>
      </w:r>
    </w:p>
    <w:p w14:paraId="5599AE6D" w14:textId="77777777" w:rsidR="00BC7D3E" w:rsidRPr="00BC7D3E" w:rsidRDefault="00BC7D3E" w:rsidP="009E5DCC">
      <w:pPr>
        <w:spacing w:before="120" w:after="0" w:line="280" w:lineRule="atLeast"/>
        <w:ind w:left="720" w:hanging="360"/>
        <w:jc w:val="both"/>
        <w:rPr>
          <w:rFonts w:cs="Arial"/>
          <w:szCs w:val="20"/>
        </w:rPr>
      </w:pPr>
      <w:r w:rsidRPr="00BC7D3E">
        <w:rPr>
          <w:rFonts w:eastAsia="Courier New" w:cs="Arial"/>
          <w:szCs w:val="20"/>
        </w:rPr>
        <w:t>o   </w:t>
      </w:r>
      <w:r w:rsidRPr="00BC7D3E">
        <w:rPr>
          <w:rFonts w:cs="Arial"/>
          <w:szCs w:val="20"/>
        </w:rPr>
        <w:t>DESK – Dětské skupiny,</w:t>
      </w:r>
    </w:p>
    <w:p w14:paraId="03C56358" w14:textId="77777777" w:rsidR="00BC7D3E" w:rsidRPr="00BC7D3E" w:rsidRDefault="00BC7D3E" w:rsidP="009E5DCC">
      <w:pPr>
        <w:spacing w:before="120" w:after="0" w:line="280" w:lineRule="atLeast"/>
        <w:ind w:left="720" w:hanging="360"/>
        <w:jc w:val="both"/>
        <w:rPr>
          <w:rFonts w:cs="Arial"/>
          <w:szCs w:val="20"/>
        </w:rPr>
      </w:pPr>
      <w:r w:rsidRPr="00BC7D3E">
        <w:rPr>
          <w:rFonts w:eastAsia="Courier New" w:cs="Arial"/>
          <w:szCs w:val="20"/>
        </w:rPr>
        <w:t>o   </w:t>
      </w:r>
      <w:r w:rsidRPr="00BC7D3E">
        <w:rPr>
          <w:rFonts w:cs="Arial"/>
          <w:szCs w:val="20"/>
        </w:rPr>
        <w:t>JEF – Jednotná fronta,</w:t>
      </w:r>
    </w:p>
    <w:p w14:paraId="4680CEFB" w14:textId="77777777" w:rsidR="00BC7D3E" w:rsidRPr="00BC7D3E" w:rsidRDefault="00BC7D3E" w:rsidP="009E5DCC">
      <w:pPr>
        <w:spacing w:before="120" w:after="0" w:line="280" w:lineRule="atLeast"/>
        <w:ind w:left="720" w:hanging="360"/>
        <w:jc w:val="both"/>
        <w:rPr>
          <w:rFonts w:cs="Arial"/>
          <w:szCs w:val="20"/>
        </w:rPr>
      </w:pPr>
      <w:r w:rsidRPr="00BC7D3E">
        <w:rPr>
          <w:rFonts w:eastAsia="Courier New" w:cs="Arial"/>
          <w:szCs w:val="20"/>
        </w:rPr>
        <w:t>o   </w:t>
      </w:r>
      <w:r w:rsidRPr="00BC7D3E">
        <w:rPr>
          <w:rFonts w:cs="Arial"/>
          <w:szCs w:val="20"/>
        </w:rPr>
        <w:t>IS ZAM – Zaměstnanost.</w:t>
      </w:r>
    </w:p>
    <w:p w14:paraId="1F3EF11D" w14:textId="77777777" w:rsidR="00BC7D3E" w:rsidRPr="00BC7D3E" w:rsidRDefault="00BC7D3E" w:rsidP="009E5DCC">
      <w:pPr>
        <w:spacing w:before="120" w:after="0" w:line="280" w:lineRule="atLeast"/>
        <w:jc w:val="both"/>
        <w:rPr>
          <w:rFonts w:cs="Arial"/>
          <w:szCs w:val="20"/>
        </w:rPr>
      </w:pPr>
      <w:r w:rsidRPr="00BC7D3E">
        <w:rPr>
          <w:rFonts w:cs="Arial"/>
          <w:szCs w:val="20"/>
        </w:rPr>
        <w:t>Za účelem naplnění IT koncepce, zajištění souladu s platnou legislativou a při respektování zásady řádného hospodáře bylo vybudováno jednotné a univerzální řešení platformy centralizovaného logování, které je využíváno napříč všemi novými projekty a informačními systémy MPSV.</w:t>
      </w:r>
    </w:p>
    <w:p w14:paraId="25161493" w14:textId="1C686B5C" w:rsidR="00BC7D3E" w:rsidRDefault="00BC7D3E" w:rsidP="009E5DCC">
      <w:pPr>
        <w:pStyle w:val="NZEV0"/>
        <w:tabs>
          <w:tab w:val="clear" w:pos="400"/>
          <w:tab w:val="clear" w:pos="540"/>
        </w:tabs>
        <w:spacing w:line="280" w:lineRule="atLeast"/>
        <w:ind w:left="0" w:firstLine="0"/>
        <w:jc w:val="both"/>
        <w:rPr>
          <w:rFonts w:eastAsia="Times New Roman" w:cs="Arial"/>
          <w:b w:val="0"/>
          <w:bCs w:val="0"/>
          <w:caps w:val="0"/>
          <w:sz w:val="20"/>
        </w:rPr>
      </w:pPr>
      <w:r w:rsidRPr="00BC7D3E">
        <w:rPr>
          <w:rFonts w:eastAsia="Times New Roman" w:cs="Arial"/>
          <w:b w:val="0"/>
          <w:bCs w:val="0"/>
          <w:caps w:val="0"/>
          <w:sz w:val="20"/>
        </w:rPr>
        <w:t xml:space="preserve">Vzhledem k tomu, že požadovaná funkcionalita byla vytvořena na základě zákona v roce 2025 nebyla předmětem původně definovaného rozsahu provozní podpory dle </w:t>
      </w:r>
      <w:r w:rsidR="00B33A3B">
        <w:rPr>
          <w:rFonts w:eastAsia="Times New Roman" w:cs="Arial"/>
          <w:b w:val="0"/>
          <w:bCs w:val="0"/>
          <w:caps w:val="0"/>
          <w:sz w:val="20"/>
        </w:rPr>
        <w:t>S</w:t>
      </w:r>
      <w:r w:rsidRPr="00BC7D3E">
        <w:rPr>
          <w:rFonts w:eastAsia="Times New Roman" w:cs="Arial"/>
          <w:b w:val="0"/>
          <w:bCs w:val="0"/>
          <w:caps w:val="0"/>
          <w:sz w:val="20"/>
        </w:rPr>
        <w:t>ervisní smlouvy.</w:t>
      </w:r>
    </w:p>
    <w:p w14:paraId="101E90BF" w14:textId="6286FE6B" w:rsidR="00EC40EE" w:rsidRPr="00BC7D3E" w:rsidRDefault="00EC40EE" w:rsidP="009E5DCC">
      <w:pPr>
        <w:spacing w:before="120" w:after="0" w:line="280" w:lineRule="atLeast"/>
        <w:jc w:val="both"/>
        <w:rPr>
          <w:rFonts w:cs="Arial"/>
          <w:b/>
          <w:bCs/>
          <w:szCs w:val="20"/>
        </w:rPr>
      </w:pPr>
      <w:r w:rsidRPr="00030CAD">
        <w:rPr>
          <w:rFonts w:cs="Arial"/>
          <w:szCs w:val="20"/>
        </w:rPr>
        <w:t xml:space="preserve">Účelem této služby je zajistit rozšíření původních služeb JPŘ PSV o službu </w:t>
      </w:r>
      <w:r w:rsidR="007D4957" w:rsidRPr="00030CAD">
        <w:rPr>
          <w:rFonts w:cs="Arial"/>
          <w:szCs w:val="20"/>
        </w:rPr>
        <w:t>Centrální logování</w:t>
      </w:r>
      <w:r w:rsidRPr="00030CAD">
        <w:rPr>
          <w:rFonts w:cs="Arial"/>
          <w:szCs w:val="20"/>
        </w:rPr>
        <w:t xml:space="preserve">, které jsou technicky realizované původním </w:t>
      </w:r>
      <w:r w:rsidR="00030CAD">
        <w:rPr>
          <w:rFonts w:cs="Arial"/>
          <w:szCs w:val="20"/>
        </w:rPr>
        <w:t>P</w:t>
      </w:r>
      <w:r w:rsidRPr="00030CAD">
        <w:rPr>
          <w:rFonts w:cs="Arial"/>
          <w:szCs w:val="20"/>
        </w:rPr>
        <w:t xml:space="preserve">oskytovatelem. Potřeba digitalizace této služby </w:t>
      </w:r>
      <w:r w:rsidR="00030CAD" w:rsidRPr="00030CAD">
        <w:rPr>
          <w:rFonts w:cs="Arial"/>
          <w:szCs w:val="20"/>
        </w:rPr>
        <w:t xml:space="preserve">vznikla až po uzavření Servisní </w:t>
      </w:r>
      <w:r w:rsidRPr="00030CAD">
        <w:rPr>
          <w:rFonts w:cs="Arial"/>
          <w:szCs w:val="20"/>
        </w:rPr>
        <w:t xml:space="preserve">smlouvy, </w:t>
      </w:r>
      <w:r w:rsidR="00030CAD">
        <w:rPr>
          <w:rFonts w:cs="Arial"/>
          <w:szCs w:val="20"/>
        </w:rPr>
        <w:t>služba je</w:t>
      </w:r>
      <w:r w:rsidRPr="00030CAD">
        <w:rPr>
          <w:rFonts w:cs="Arial"/>
          <w:szCs w:val="20"/>
        </w:rPr>
        <w:t xml:space="preserve"> nezbytn</w:t>
      </w:r>
      <w:r w:rsidR="00030CAD">
        <w:rPr>
          <w:rFonts w:cs="Arial"/>
          <w:szCs w:val="20"/>
        </w:rPr>
        <w:t>á</w:t>
      </w:r>
      <w:r w:rsidRPr="00030CAD">
        <w:rPr>
          <w:rFonts w:cs="Arial"/>
          <w:szCs w:val="20"/>
        </w:rPr>
        <w:t xml:space="preserve"> pro vytvoření provozuschopného uceleného </w:t>
      </w:r>
      <w:r w:rsidR="00030CAD">
        <w:rPr>
          <w:rFonts w:cs="Arial"/>
          <w:szCs w:val="20"/>
        </w:rPr>
        <w:t>S</w:t>
      </w:r>
      <w:r w:rsidRPr="00030CAD">
        <w:rPr>
          <w:rFonts w:cs="Arial"/>
          <w:szCs w:val="20"/>
        </w:rPr>
        <w:t xml:space="preserve">ystému. Navrhované změny vyžadují zásahy do interní logiky </w:t>
      </w:r>
      <w:r w:rsidR="00030CAD">
        <w:rPr>
          <w:rFonts w:cs="Arial"/>
          <w:szCs w:val="20"/>
        </w:rPr>
        <w:t>S</w:t>
      </w:r>
      <w:r w:rsidRPr="00030CAD">
        <w:rPr>
          <w:rFonts w:cs="Arial"/>
          <w:szCs w:val="20"/>
        </w:rPr>
        <w:t xml:space="preserve">ystému, k níž má odborné znalosti výlučně původní </w:t>
      </w:r>
      <w:r w:rsidR="00030CAD">
        <w:rPr>
          <w:rFonts w:cs="Arial"/>
          <w:szCs w:val="20"/>
        </w:rPr>
        <w:t>P</w:t>
      </w:r>
      <w:r w:rsidRPr="00030CAD">
        <w:rPr>
          <w:rFonts w:cs="Arial"/>
          <w:szCs w:val="20"/>
        </w:rPr>
        <w:t xml:space="preserve">oskytovatel jakožto autor díla. Zapojení jiného dodavatele by vedlo k neúměrnému technickému riziku, zvýšeným nákladům na zajištění kompatibility a výrazně prodloužené době realizace. Rozšířená služba bude tvořit s původním plněním jeden funkční celek a jejich oddělení by způsobilo významné provozní obtíže. </w:t>
      </w:r>
      <w:r w:rsidR="00030CAD">
        <w:rPr>
          <w:rFonts w:cs="Arial"/>
          <w:szCs w:val="20"/>
        </w:rPr>
        <w:t xml:space="preserve">Služba </w:t>
      </w:r>
      <w:r w:rsidR="007D4957" w:rsidRPr="00030CAD">
        <w:rPr>
          <w:rFonts w:cs="Arial"/>
          <w:szCs w:val="20"/>
        </w:rPr>
        <w:t>Centrální logování</w:t>
      </w:r>
      <w:r w:rsidRPr="00030CAD">
        <w:rPr>
          <w:rFonts w:cs="Arial"/>
          <w:szCs w:val="20"/>
        </w:rPr>
        <w:t xml:space="preserve"> je úzce provázána s architekturou řešení vytvořeného původním </w:t>
      </w:r>
      <w:r w:rsidR="00030CAD">
        <w:rPr>
          <w:rFonts w:cs="Arial"/>
          <w:szCs w:val="20"/>
        </w:rPr>
        <w:t>Poskytovatelem</w:t>
      </w:r>
      <w:r>
        <w:rPr>
          <w:rFonts w:cs="Arial"/>
          <w:b/>
          <w:bCs/>
          <w:szCs w:val="20"/>
        </w:rPr>
        <w:t>.</w:t>
      </w:r>
    </w:p>
    <w:p w14:paraId="0E951EA3" w14:textId="77777777" w:rsidR="00BC7D3E" w:rsidRPr="004B3F46" w:rsidRDefault="00BC7D3E" w:rsidP="00BB5759">
      <w:pPr>
        <w:pStyle w:val="NZEV0"/>
        <w:spacing w:before="360" w:line="280" w:lineRule="atLeast"/>
        <w:ind w:left="539" w:hanging="539"/>
        <w:rPr>
          <w:rFonts w:cs="Arial"/>
          <w:sz w:val="22"/>
          <w:szCs w:val="22"/>
        </w:rPr>
      </w:pPr>
    </w:p>
    <w:p w14:paraId="6D7793CD" w14:textId="49B05A2F" w:rsidR="005F34F6" w:rsidRDefault="005F34F6">
      <w:pPr>
        <w:spacing w:after="0" w:line="240" w:lineRule="auto"/>
        <w:rPr>
          <w:rFonts w:cs="Arial"/>
          <w:szCs w:val="20"/>
        </w:rPr>
        <w:sectPr w:rsidR="005F34F6" w:rsidSect="00E169AB">
          <w:pgSz w:w="11906" w:h="16838"/>
          <w:pgMar w:top="1418" w:right="1418" w:bottom="1276" w:left="1418" w:header="709" w:footer="709" w:gutter="0"/>
          <w:pgNumType w:start="1"/>
          <w:cols w:space="708"/>
          <w:docGrid w:linePitch="360"/>
        </w:sectPr>
      </w:pPr>
    </w:p>
    <w:p w14:paraId="75FE5A5A" w14:textId="581147BB" w:rsidR="005F34F6" w:rsidRDefault="005F34F6">
      <w:pPr>
        <w:spacing w:after="0" w:line="240" w:lineRule="auto"/>
        <w:rPr>
          <w:rFonts w:cs="Arial"/>
          <w:b/>
          <w:szCs w:val="20"/>
        </w:rPr>
      </w:pPr>
    </w:p>
    <w:p w14:paraId="23A728D7" w14:textId="77777777" w:rsidR="002F624B" w:rsidRDefault="00A12F35" w:rsidP="002F624B">
      <w:pPr>
        <w:pStyle w:val="RLProhlensmluvnchstran"/>
        <w:spacing w:line="280" w:lineRule="atLeast"/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Příloha č. 2 </w:t>
      </w:r>
    </w:p>
    <w:p w14:paraId="19289249" w14:textId="34B83266" w:rsidR="00A12F35" w:rsidRPr="009E69C5" w:rsidRDefault="00A12F35" w:rsidP="00A84BD0">
      <w:pPr>
        <w:pStyle w:val="RLProhlensmluvnchstran"/>
        <w:spacing w:line="280" w:lineRule="atLeast"/>
        <w:rPr>
          <w:rFonts w:cs="Arial"/>
          <w:szCs w:val="20"/>
        </w:rPr>
      </w:pPr>
      <w:r w:rsidRPr="009E69C5">
        <w:rPr>
          <w:rFonts w:cs="Arial"/>
          <w:szCs w:val="20"/>
        </w:rPr>
        <w:t xml:space="preserve">Příloha č. </w:t>
      </w:r>
      <w:r w:rsidR="00A84BD0" w:rsidRPr="009E69C5">
        <w:rPr>
          <w:rFonts w:cs="Arial"/>
          <w:szCs w:val="20"/>
        </w:rPr>
        <w:t>2</w:t>
      </w:r>
      <w:r w:rsidRPr="009E69C5">
        <w:rPr>
          <w:rFonts w:cs="Arial"/>
          <w:szCs w:val="20"/>
        </w:rPr>
        <w:t xml:space="preserve"> S</w:t>
      </w:r>
      <w:r w:rsidR="00A84BD0" w:rsidRPr="009E69C5">
        <w:rPr>
          <w:rFonts w:cs="Arial"/>
          <w:szCs w:val="20"/>
        </w:rPr>
        <w:t>ervisní s</w:t>
      </w:r>
      <w:r w:rsidRPr="009E69C5">
        <w:rPr>
          <w:rFonts w:cs="Arial"/>
          <w:szCs w:val="20"/>
        </w:rPr>
        <w:t>mlouvy</w:t>
      </w:r>
      <w:r w:rsidR="002F624B" w:rsidRPr="009E69C5">
        <w:rPr>
          <w:rFonts w:cs="Arial"/>
          <w:szCs w:val="20"/>
        </w:rPr>
        <w:t>, ve znění D</w:t>
      </w:r>
      <w:r w:rsidR="007E0CA3" w:rsidRPr="009E69C5">
        <w:rPr>
          <w:rFonts w:cs="Arial"/>
          <w:szCs w:val="20"/>
        </w:rPr>
        <w:t xml:space="preserve">odatku č. </w:t>
      </w:r>
      <w:r w:rsidR="002F624B" w:rsidRPr="009E69C5">
        <w:rPr>
          <w:rFonts w:cs="Arial"/>
          <w:szCs w:val="20"/>
        </w:rPr>
        <w:t>1</w:t>
      </w:r>
    </w:p>
    <w:p w14:paraId="0683E13F" w14:textId="197238BE" w:rsidR="005F34F6" w:rsidRPr="009E69C5" w:rsidRDefault="005F34F6" w:rsidP="005F34F6">
      <w:pPr>
        <w:spacing w:before="120" w:after="360" w:line="240" w:lineRule="auto"/>
        <w:jc w:val="center"/>
        <w:outlineLvl w:val="1"/>
        <w:rPr>
          <w:rFonts w:cs="Arial"/>
          <w:b/>
          <w:bCs/>
          <w:iCs/>
          <w:szCs w:val="20"/>
          <w:lang w:eastAsia="en-US"/>
        </w:rPr>
      </w:pPr>
      <w:r w:rsidRPr="009E69C5">
        <w:rPr>
          <w:rFonts w:cs="Arial"/>
          <w:b/>
          <w:bCs/>
          <w:iCs/>
          <w:szCs w:val="20"/>
          <w:lang w:eastAsia="en-US"/>
        </w:rPr>
        <w:t>CENA SLUŽEB</w:t>
      </w:r>
    </w:p>
    <w:tbl>
      <w:tblPr>
        <w:tblW w:w="14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3"/>
        <w:gridCol w:w="2130"/>
        <w:gridCol w:w="1843"/>
        <w:gridCol w:w="1819"/>
        <w:gridCol w:w="1842"/>
        <w:gridCol w:w="23"/>
        <w:gridCol w:w="14"/>
        <w:gridCol w:w="110"/>
        <w:gridCol w:w="23"/>
        <w:gridCol w:w="14"/>
      </w:tblGrid>
      <w:tr w:rsidR="005F34F6" w:rsidRPr="009E69C5" w14:paraId="3D4F32DE" w14:textId="77777777" w:rsidTr="00D57F7A">
        <w:trPr>
          <w:gridAfter w:val="5"/>
          <w:wAfter w:w="184" w:type="dxa"/>
          <w:trHeight w:val="253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4DB26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Cena Služby převzetí systému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E932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Cena v Kč/jednotka bez DPH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D2F8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Počet jednotek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4996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Celková cena v Kč bez DPH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6E2FF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Celková cena v Kč s DPH</w:t>
            </w:r>
          </w:p>
        </w:tc>
      </w:tr>
      <w:tr w:rsidR="005F34F6" w:rsidRPr="009E69C5" w14:paraId="6D65F6CC" w14:textId="77777777" w:rsidTr="00D57F7A">
        <w:trPr>
          <w:gridAfter w:val="2"/>
          <w:wAfter w:w="37" w:type="dxa"/>
          <w:trHeight w:val="454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4D83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Cena Služby převzetí systému dle čl. 4 Závazného vzoru Smlouvy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2D4C6B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76B2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4BA0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12579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0,00 Kč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1D875F76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3C575582" w14:textId="77777777" w:rsidTr="00D57F7A">
        <w:trPr>
          <w:gridAfter w:val="1"/>
          <w:wAfter w:w="14" w:type="dxa"/>
          <w:trHeight w:val="630"/>
        </w:trPr>
        <w:tc>
          <w:tcPr>
            <w:tcW w:w="14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B9F481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9E69C5">
              <w:rPr>
                <w:rFonts w:cs="Arial"/>
                <w:i/>
                <w:iCs/>
                <w:sz w:val="18"/>
                <w:szCs w:val="18"/>
              </w:rPr>
              <w:t>Dodavatel, který je přechozím poskytovatelem služeb ve smyslu čl. 4.1 věty druhé Závazného vzoru Smlouvy, cenu Služeb převzetí systému v rámci zpracování nabídkové ceny neuvádí.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27E5F792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202A509A" w14:textId="77777777" w:rsidTr="00D57F7A">
        <w:trPr>
          <w:gridAfter w:val="2"/>
          <w:wAfter w:w="37" w:type="dxa"/>
          <w:trHeight w:val="227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84247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Cena Paušálních služeb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86C5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 xml:space="preserve">Cena v Kč/jednotka </w:t>
            </w:r>
            <w:r w:rsidRPr="009E69C5">
              <w:rPr>
                <w:rFonts w:cs="Arial"/>
                <w:b/>
                <w:bCs/>
                <w:sz w:val="18"/>
                <w:szCs w:val="18"/>
              </w:rPr>
              <w:br/>
              <w:t>(jeden měsíc) bez DPH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F979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Předpokládaný počet jednotek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82DB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Celková cena v Kč bez DPH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8D49C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Celková cena v Kč s DPH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7A5168B1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293A6732" w14:textId="77777777" w:rsidTr="00D57F7A">
        <w:trPr>
          <w:gridAfter w:val="2"/>
          <w:wAfter w:w="37" w:type="dxa"/>
          <w:trHeight w:val="454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F8FE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 xml:space="preserve">Cena Paušálních služeb dle čl. 5 Závazného vzoru Smlouvy bez navýšení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F6E1F7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1 510 000,00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BBB1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2BA0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19 630 000,00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E670D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23 752 300,00 Kč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71B433F6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3033F904" w14:textId="77777777" w:rsidTr="00D57F7A">
        <w:trPr>
          <w:gridAfter w:val="2"/>
          <w:wAfter w:w="37" w:type="dxa"/>
          <w:trHeight w:val="454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A256" w14:textId="2C3C13DD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Cena Paušálních služeb dle čl. 5 Závazného vzoru Smlouvy s navýšením ve znění Dodatku č. 1</w:t>
            </w:r>
            <w:r w:rsidR="00120761" w:rsidRPr="009E69C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781876C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1 772 000,00 Kč</w:t>
            </w:r>
          </w:p>
          <w:p w14:paraId="4F350D54" w14:textId="77777777" w:rsidR="005F34F6" w:rsidRPr="009E69C5" w:rsidRDefault="005F34F6" w:rsidP="005F34F6">
            <w:pPr>
              <w:spacing w:before="120" w:line="24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9E69C5">
              <w:rPr>
                <w:rFonts w:cs="Arial"/>
                <w:i/>
                <w:iCs/>
                <w:sz w:val="18"/>
                <w:szCs w:val="18"/>
              </w:rPr>
              <w:t xml:space="preserve">(vč. výše navýšení </w:t>
            </w:r>
            <w:r w:rsidRPr="009E69C5">
              <w:rPr>
                <w:rFonts w:cs="Arial"/>
                <w:b/>
                <w:bCs/>
                <w:i/>
                <w:iCs/>
                <w:sz w:val="18"/>
                <w:szCs w:val="18"/>
              </w:rPr>
              <w:t>262 000,00</w:t>
            </w:r>
            <w:r w:rsidRPr="009E69C5">
              <w:rPr>
                <w:rFonts w:cs="Arial"/>
                <w:i/>
                <w:iCs/>
                <w:sz w:val="18"/>
                <w:szCs w:val="18"/>
              </w:rPr>
              <w:t xml:space="preserve"> Kč dle Dodatku č. 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3A37" w14:textId="77777777" w:rsidR="005F34F6" w:rsidRPr="009E69C5" w:rsidDel="00123ABC" w:rsidRDefault="005F34F6" w:rsidP="005F34F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1CA2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72 652 000,00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A45B9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87 908 920,00 Kč</w:t>
            </w:r>
          </w:p>
        </w:tc>
        <w:tc>
          <w:tcPr>
            <w:tcW w:w="147" w:type="dxa"/>
            <w:gridSpan w:val="3"/>
            <w:vAlign w:val="center"/>
          </w:tcPr>
          <w:p w14:paraId="2511A000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7C6CE72A" w14:textId="77777777" w:rsidTr="00D57F7A">
        <w:trPr>
          <w:gridAfter w:val="2"/>
          <w:wAfter w:w="37" w:type="dxa"/>
          <w:trHeight w:val="454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4E033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  Celková cena za Paušální služby ve znění Dodatku č. 1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9E4E2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EA292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873D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92 282 000,00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424F2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111 661 220,00 Kč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60FA466E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02C35F9C" w14:textId="77777777" w:rsidTr="00D57F7A">
        <w:trPr>
          <w:gridAfter w:val="2"/>
          <w:wAfter w:w="37" w:type="dxa"/>
          <w:trHeight w:val="510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D2419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3C8EDE60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color w:val="000000"/>
                <w:sz w:val="18"/>
                <w:szCs w:val="18"/>
              </w:rPr>
              <w:t>CENA SLUŽEB NA OBJEDNÁVKU: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D620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E69C5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46DE2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E69C5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82BEE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E69C5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9FF1C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E69C5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571CB11C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19341F2B" w14:textId="77777777" w:rsidTr="00D57F7A">
        <w:trPr>
          <w:gridAfter w:val="2"/>
          <w:wAfter w:w="37" w:type="dxa"/>
          <w:trHeight w:val="227"/>
        </w:trPr>
        <w:tc>
          <w:tcPr>
            <w:tcW w:w="6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78E62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Cena za Rozvoj a další Služby na objednávku s výjimkou Služby exitu</w:t>
            </w:r>
          </w:p>
        </w:tc>
        <w:tc>
          <w:tcPr>
            <w:tcW w:w="2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0D9D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Cena v Kč/jednotka</w:t>
            </w:r>
            <w:r w:rsidRPr="009E69C5">
              <w:rPr>
                <w:rFonts w:cs="Arial"/>
                <w:b/>
                <w:bCs/>
                <w:sz w:val="18"/>
                <w:szCs w:val="18"/>
              </w:rPr>
              <w:br/>
              <w:t>(jeden Člověkoden) bez DPH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F982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Předpokládaný počet Člověkodní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CAFEB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Celková cena v Kč bez DPH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58CFB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Celková cena v Kč s DPH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0F6E6562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2718CF30" w14:textId="77777777" w:rsidTr="00D57F7A">
        <w:trPr>
          <w:gridAfter w:val="2"/>
          <w:wAfter w:w="37" w:type="dxa"/>
          <w:trHeight w:val="270"/>
        </w:trPr>
        <w:tc>
          <w:tcPr>
            <w:tcW w:w="66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81CB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4C65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9E13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2181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4E5390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A542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F34F6" w:rsidRPr="009E69C5" w14:paraId="41334139" w14:textId="77777777" w:rsidTr="00D57F7A">
        <w:trPr>
          <w:gridAfter w:val="2"/>
          <w:wAfter w:w="37" w:type="dxa"/>
          <w:trHeight w:val="60"/>
        </w:trPr>
        <w:tc>
          <w:tcPr>
            <w:tcW w:w="66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21CD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AC9B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AF51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9DAE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3DB3A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10B1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2A08FEFC" w14:textId="77777777" w:rsidTr="00D57F7A">
        <w:trPr>
          <w:gridAfter w:val="2"/>
          <w:wAfter w:w="37" w:type="dxa"/>
          <w:trHeight w:val="454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0956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E69C5">
              <w:rPr>
                <w:rFonts w:cs="Arial"/>
                <w:color w:val="000000"/>
                <w:sz w:val="18"/>
                <w:szCs w:val="18"/>
              </w:rPr>
              <w:t>Jednotná sazba za Člověkoden pro pozice v Realizačním týmu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251C15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 xml:space="preserve">13 100,00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246C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69C5">
              <w:rPr>
                <w:rFonts w:cs="Arial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386C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176 850 000,00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6645F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213 988 500,00 Kč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3A8561E2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6BF727F2" w14:textId="77777777" w:rsidTr="00D57F7A">
        <w:trPr>
          <w:gridAfter w:val="2"/>
          <w:wAfter w:w="37" w:type="dxa"/>
          <w:trHeight w:val="454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AC1E5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Cena za Rozvoj a další Služby na objednávku s výjimkou Služby exitu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3873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477B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1F9E6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176 850 000,00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CB994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213 988 500,00 Kč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47C8587A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591B2B73" w14:textId="77777777" w:rsidTr="00D57F7A">
        <w:trPr>
          <w:trHeight w:val="510"/>
        </w:trPr>
        <w:tc>
          <w:tcPr>
            <w:tcW w:w="1432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C450C6" w14:textId="77777777" w:rsidR="005F34F6" w:rsidRPr="009E69C5" w:rsidRDefault="005F34F6" w:rsidP="005F34F6">
            <w:pPr>
              <w:spacing w:after="0" w:line="24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9E69C5">
              <w:rPr>
                <w:rFonts w:cs="Arial"/>
                <w:i/>
                <w:iCs/>
                <w:sz w:val="18"/>
                <w:szCs w:val="18"/>
              </w:rPr>
              <w:t>Předpokládaný rozsah Rozvoje a dalších Služeb na objednávku s výjimkou Služby exitu, které Objednatel odebere na základě Smlouvy, činí 13500 Člověkodní.</w:t>
            </w:r>
          </w:p>
        </w:tc>
        <w:tc>
          <w:tcPr>
            <w:tcW w:w="147" w:type="dxa"/>
            <w:gridSpan w:val="3"/>
            <w:hideMark/>
          </w:tcPr>
          <w:p w14:paraId="1D5B7819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628BF1E4" w14:textId="77777777" w:rsidTr="00D57F7A">
        <w:trPr>
          <w:gridAfter w:val="2"/>
          <w:wAfter w:w="37" w:type="dxa"/>
          <w:trHeight w:val="285"/>
        </w:trPr>
        <w:tc>
          <w:tcPr>
            <w:tcW w:w="6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EC8DA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Cena za Služby exitu</w:t>
            </w:r>
          </w:p>
        </w:tc>
        <w:tc>
          <w:tcPr>
            <w:tcW w:w="2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0028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Cena v Kč/jednotka (jeden Člověkoden) bez DPH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EB169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Předpokládaný počet Člověkodní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E06E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Celková cena v Kč bez DPH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6979A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Celková cena v Kč s DPH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0992DF44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01CF3E64" w14:textId="77777777" w:rsidTr="00D57F7A">
        <w:trPr>
          <w:gridAfter w:val="2"/>
          <w:wAfter w:w="37" w:type="dxa"/>
          <w:trHeight w:val="285"/>
        </w:trPr>
        <w:tc>
          <w:tcPr>
            <w:tcW w:w="66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AEE4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2C5A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7C7F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DB18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0D0216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BBB7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F34F6" w:rsidRPr="009E69C5" w14:paraId="579E241C" w14:textId="77777777" w:rsidTr="00D57F7A">
        <w:trPr>
          <w:gridAfter w:val="2"/>
          <w:wAfter w:w="37" w:type="dxa"/>
          <w:trHeight w:val="60"/>
        </w:trPr>
        <w:tc>
          <w:tcPr>
            <w:tcW w:w="66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2CD1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0108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55BC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BC94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1144D8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EC75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2CFFB593" w14:textId="77777777" w:rsidTr="00D57F7A">
        <w:trPr>
          <w:gridAfter w:val="2"/>
          <w:wAfter w:w="37" w:type="dxa"/>
          <w:trHeight w:val="454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3DAE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9E69C5">
              <w:rPr>
                <w:rFonts w:cs="Arial"/>
                <w:color w:val="000000"/>
                <w:sz w:val="18"/>
                <w:szCs w:val="18"/>
              </w:rPr>
              <w:lastRenderedPageBreak/>
              <w:t>Jednotná sazba za Člověkoden pro pozice v Realizačním týmu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37318C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 xml:space="preserve">10 000,00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B2EF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69C5">
              <w:rPr>
                <w:rFonts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43F3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1 200 000,00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8CC45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1 452 000,00 Kč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1BE14ACF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3A1EBFFE" w14:textId="77777777" w:rsidTr="00D57F7A">
        <w:trPr>
          <w:gridAfter w:val="2"/>
          <w:wAfter w:w="37" w:type="dxa"/>
          <w:trHeight w:val="454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A217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Cena za Služby exitu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3674" w14:textId="77777777" w:rsidR="005F34F6" w:rsidRPr="009E69C5" w:rsidRDefault="005F34F6" w:rsidP="005F34F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E1C6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B3667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1 200 000,00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30694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1 452 000,00 Kč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10702A98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4AA8B884" w14:textId="77777777" w:rsidTr="00D57F7A">
        <w:trPr>
          <w:gridAfter w:val="2"/>
          <w:wAfter w:w="37" w:type="dxa"/>
          <w:trHeight w:val="480"/>
        </w:trPr>
        <w:tc>
          <w:tcPr>
            <w:tcW w:w="8783" w:type="dxa"/>
            <w:gridSpan w:val="2"/>
            <w:tcBorders>
              <w:top w:val="single" w:sz="2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B844A5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9E69C5">
              <w:rPr>
                <w:rFonts w:cs="Arial"/>
                <w:i/>
                <w:iCs/>
                <w:sz w:val="18"/>
                <w:szCs w:val="18"/>
              </w:rPr>
              <w:t>Předpokládaný rozsah Služeb exitu, které Objednatel odebere na základě Smlouvy, činí 120 Člověkodní.</w:t>
            </w:r>
          </w:p>
          <w:p w14:paraId="602E51D2" w14:textId="77777777" w:rsidR="005F34F6" w:rsidRPr="009E69C5" w:rsidRDefault="005F34F6" w:rsidP="005F34F6">
            <w:p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 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5C3FF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9E69C5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CFE41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2DDC1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5A31FC4B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F34F6" w:rsidRPr="009E69C5" w14:paraId="2471D79E" w14:textId="77777777" w:rsidTr="00D57F7A">
        <w:trPr>
          <w:gridAfter w:val="2"/>
          <w:wAfter w:w="37" w:type="dxa"/>
          <w:trHeight w:val="454"/>
        </w:trPr>
        <w:tc>
          <w:tcPr>
            <w:tcW w:w="106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B6FAD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CELKOVÁ CENA V KČ BEZ DPH</w:t>
            </w:r>
            <w:r w:rsidRPr="009E69C5">
              <w:rPr>
                <w:rFonts w:cs="Arial"/>
                <w:sz w:val="18"/>
                <w:szCs w:val="18"/>
              </w:rPr>
              <w:t>  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B823E1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270 332 000,00 Kč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453506" w14:textId="77777777" w:rsidR="005F34F6" w:rsidRPr="009E69C5" w:rsidRDefault="005F34F6" w:rsidP="005F34F6">
            <w:pPr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9E69C5">
              <w:rPr>
                <w:rFonts w:cs="Arial"/>
                <w:b/>
                <w:bCs/>
                <w:sz w:val="18"/>
                <w:szCs w:val="18"/>
              </w:rPr>
              <w:t>327 101 720,00 Kč</w:t>
            </w:r>
          </w:p>
        </w:tc>
        <w:tc>
          <w:tcPr>
            <w:tcW w:w="147" w:type="dxa"/>
            <w:gridSpan w:val="3"/>
            <w:vAlign w:val="center"/>
            <w:hideMark/>
          </w:tcPr>
          <w:p w14:paraId="530FE931" w14:textId="77777777" w:rsidR="005F34F6" w:rsidRPr="009E69C5" w:rsidRDefault="005F34F6" w:rsidP="005F34F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E698192" w14:textId="77777777" w:rsidR="005F34F6" w:rsidRPr="009E69C5" w:rsidRDefault="005F34F6" w:rsidP="005F34F6">
      <w:pPr>
        <w:spacing w:before="120" w:after="480" w:line="240" w:lineRule="auto"/>
        <w:jc w:val="both"/>
        <w:outlineLvl w:val="1"/>
        <w:rPr>
          <w:rFonts w:cs="Arial"/>
          <w:b/>
          <w:bCs/>
          <w:iCs/>
          <w:sz w:val="18"/>
          <w:szCs w:val="18"/>
          <w:lang w:eastAsia="en-US"/>
        </w:rPr>
      </w:pPr>
    </w:p>
    <w:p w14:paraId="0BF7D206" w14:textId="77777777" w:rsidR="005F34F6" w:rsidRDefault="005F34F6" w:rsidP="00AD12E4">
      <w:pPr>
        <w:pStyle w:val="NZEV0"/>
        <w:spacing w:before="360" w:line="280" w:lineRule="atLeast"/>
        <w:ind w:left="539" w:hanging="539"/>
        <w:rPr>
          <w:rFonts w:cs="Arial"/>
          <w:sz w:val="22"/>
          <w:szCs w:val="22"/>
        </w:rPr>
      </w:pPr>
    </w:p>
    <w:p w14:paraId="23D2D2C8" w14:textId="77777777" w:rsidR="00A12F35" w:rsidRPr="004B3F46" w:rsidRDefault="00A12F35" w:rsidP="00A84BD0">
      <w:pPr>
        <w:pStyle w:val="NZEV0"/>
        <w:spacing w:before="360" w:line="280" w:lineRule="atLeast"/>
        <w:ind w:left="539" w:hanging="539"/>
        <w:rPr>
          <w:rFonts w:cs="Arial"/>
          <w:b w:val="0"/>
        </w:rPr>
      </w:pPr>
    </w:p>
    <w:sectPr w:rsidR="00A12F35" w:rsidRPr="004B3F46" w:rsidSect="005F34F6">
      <w:pgSz w:w="16838" w:h="11906" w:orient="landscape"/>
      <w:pgMar w:top="1418" w:right="1418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FD02" w14:textId="77777777" w:rsidR="000B45D4" w:rsidRDefault="000B45D4">
      <w:r>
        <w:separator/>
      </w:r>
    </w:p>
  </w:endnote>
  <w:endnote w:type="continuationSeparator" w:id="0">
    <w:p w14:paraId="7B9B28BB" w14:textId="77777777" w:rsidR="000B45D4" w:rsidRDefault="000B45D4">
      <w:r>
        <w:continuationSeparator/>
      </w:r>
    </w:p>
  </w:endnote>
  <w:endnote w:type="continuationNotice" w:id="1">
    <w:p w14:paraId="7FB61BC7" w14:textId="77777777" w:rsidR="000B45D4" w:rsidRDefault="000B45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5EAA" w14:textId="77777777" w:rsidR="00037D82" w:rsidRDefault="00037D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304</w:t>
    </w:r>
    <w:r>
      <w:rPr>
        <w:rStyle w:val="slostrnky"/>
      </w:rPr>
      <w:fldChar w:fldCharType="end"/>
    </w:r>
  </w:p>
  <w:p w14:paraId="22D19912" w14:textId="77777777" w:rsidR="00037D82" w:rsidRDefault="00037D82">
    <w:pPr>
      <w:pStyle w:val="Zpat"/>
      <w:ind w:right="360"/>
    </w:pPr>
  </w:p>
  <w:p w14:paraId="5DE9FE03" w14:textId="77777777" w:rsidR="00037D82" w:rsidRDefault="00037D82"/>
  <w:p w14:paraId="74C294F3" w14:textId="77777777" w:rsidR="00037D82" w:rsidRDefault="00037D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9846549"/>
      <w:docPartObj>
        <w:docPartGallery w:val="Page Numbers (Bottom of Page)"/>
        <w:docPartUnique/>
      </w:docPartObj>
    </w:sdtPr>
    <w:sdtEndPr/>
    <w:sdtContent>
      <w:p w14:paraId="57859DC0" w14:textId="2859C742" w:rsidR="00037D82" w:rsidRDefault="00037D8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56C">
          <w:rPr>
            <w:noProof/>
          </w:rPr>
          <w:t>1</w:t>
        </w:r>
        <w:r>
          <w:fldChar w:fldCharType="end"/>
        </w:r>
      </w:p>
    </w:sdtContent>
  </w:sdt>
  <w:p w14:paraId="4B3E2204" w14:textId="77777777" w:rsidR="00037D82" w:rsidRDefault="00037D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195179"/>
      <w:docPartObj>
        <w:docPartGallery w:val="Page Numbers (Bottom of Page)"/>
        <w:docPartUnique/>
      </w:docPartObj>
    </w:sdtPr>
    <w:sdtEndPr/>
    <w:sdtContent>
      <w:p w14:paraId="6080EC48" w14:textId="7C9E893C" w:rsidR="00037D82" w:rsidRDefault="00037D82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13F6E5" w14:textId="77777777" w:rsidR="00037D82" w:rsidRDefault="00037D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EF69" w14:textId="77777777" w:rsidR="000B45D4" w:rsidRDefault="000B45D4">
      <w:r>
        <w:separator/>
      </w:r>
    </w:p>
  </w:footnote>
  <w:footnote w:type="continuationSeparator" w:id="0">
    <w:p w14:paraId="567F6EC0" w14:textId="77777777" w:rsidR="000B45D4" w:rsidRDefault="000B45D4">
      <w:r>
        <w:continuationSeparator/>
      </w:r>
    </w:p>
  </w:footnote>
  <w:footnote w:type="continuationNotice" w:id="1">
    <w:p w14:paraId="37E02ADD" w14:textId="77777777" w:rsidR="000B45D4" w:rsidRDefault="000B45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A3BE" w14:textId="77777777" w:rsidR="00037D82" w:rsidRDefault="00037D82" w:rsidP="00033FF2">
    <w:pPr>
      <w:pStyle w:val="Zhlav"/>
      <w:tabs>
        <w:tab w:val="clear" w:pos="4536"/>
        <w:tab w:val="clear" w:pos="9072"/>
        <w:tab w:val="left" w:pos="6820"/>
      </w:tabs>
      <w:jc w:val="right"/>
      <w:rPr>
        <w:noProof/>
      </w:rPr>
    </w:pPr>
  </w:p>
  <w:p w14:paraId="15DCA0B8" w14:textId="77777777" w:rsidR="00037D82" w:rsidRPr="00CB3734" w:rsidRDefault="00037D82" w:rsidP="00033FF2">
    <w:pPr>
      <w:pStyle w:val="Zhlav"/>
      <w:tabs>
        <w:tab w:val="clear" w:pos="4536"/>
        <w:tab w:val="clear" w:pos="9072"/>
        <w:tab w:val="left" w:pos="6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43C3" w14:textId="1E40DEA6" w:rsidR="00037D82" w:rsidRPr="00950AB6" w:rsidRDefault="00037D82" w:rsidP="00950AB6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1A520E"/>
    <w:multiLevelType w:val="multilevel"/>
    <w:tmpl w:val="8BC46ED2"/>
    <w:styleLink w:val="ACNadpis1-4"/>
    <w:lvl w:ilvl="0">
      <w:start w:val="1"/>
      <w:numFmt w:val="decimal"/>
      <w:pStyle w:val="AC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D966CC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1558398049">
    <w:abstractNumId w:val="6"/>
  </w:num>
  <w:num w:numId="2" w16cid:durableId="164321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7588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163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1658262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177958999">
    <w:abstractNumId w:val="9"/>
  </w:num>
  <w:num w:numId="7" w16cid:durableId="698315612">
    <w:abstractNumId w:val="4"/>
  </w:num>
  <w:num w:numId="8" w16cid:durableId="1626809753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7298492">
    <w:abstractNumId w:val="2"/>
  </w:num>
  <w:num w:numId="10" w16cid:durableId="985554136">
    <w:abstractNumId w:val="6"/>
  </w:num>
  <w:num w:numId="11" w16cid:durableId="62319522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3815"/>
    <w:rsid w:val="00004EF0"/>
    <w:rsid w:val="000052A2"/>
    <w:rsid w:val="0000553F"/>
    <w:rsid w:val="00005548"/>
    <w:rsid w:val="00005E8A"/>
    <w:rsid w:val="0001080A"/>
    <w:rsid w:val="00010BC3"/>
    <w:rsid w:val="0001136B"/>
    <w:rsid w:val="00011674"/>
    <w:rsid w:val="00011A93"/>
    <w:rsid w:val="00012F51"/>
    <w:rsid w:val="00013B10"/>
    <w:rsid w:val="00013D97"/>
    <w:rsid w:val="00014EB2"/>
    <w:rsid w:val="000150AF"/>
    <w:rsid w:val="000165D4"/>
    <w:rsid w:val="00016C1D"/>
    <w:rsid w:val="00016E41"/>
    <w:rsid w:val="000176DB"/>
    <w:rsid w:val="00017B14"/>
    <w:rsid w:val="00020846"/>
    <w:rsid w:val="00022F3E"/>
    <w:rsid w:val="00024668"/>
    <w:rsid w:val="00024BF7"/>
    <w:rsid w:val="0002553A"/>
    <w:rsid w:val="00025DFA"/>
    <w:rsid w:val="00026BAD"/>
    <w:rsid w:val="00027494"/>
    <w:rsid w:val="0003049C"/>
    <w:rsid w:val="00030CAD"/>
    <w:rsid w:val="00032A64"/>
    <w:rsid w:val="00033374"/>
    <w:rsid w:val="00033EEF"/>
    <w:rsid w:val="00033FF2"/>
    <w:rsid w:val="00034E65"/>
    <w:rsid w:val="00034EA8"/>
    <w:rsid w:val="000355EC"/>
    <w:rsid w:val="00035CB5"/>
    <w:rsid w:val="00035D0D"/>
    <w:rsid w:val="00037048"/>
    <w:rsid w:val="00037D82"/>
    <w:rsid w:val="00041474"/>
    <w:rsid w:val="000414E2"/>
    <w:rsid w:val="000429C2"/>
    <w:rsid w:val="0004489C"/>
    <w:rsid w:val="0004492D"/>
    <w:rsid w:val="00044F3F"/>
    <w:rsid w:val="00045104"/>
    <w:rsid w:val="000465D9"/>
    <w:rsid w:val="00046603"/>
    <w:rsid w:val="00047F09"/>
    <w:rsid w:val="000504F5"/>
    <w:rsid w:val="000544F9"/>
    <w:rsid w:val="00055172"/>
    <w:rsid w:val="00055FEF"/>
    <w:rsid w:val="00056137"/>
    <w:rsid w:val="00057279"/>
    <w:rsid w:val="00062292"/>
    <w:rsid w:val="000630C1"/>
    <w:rsid w:val="0006496A"/>
    <w:rsid w:val="00065371"/>
    <w:rsid w:val="00065633"/>
    <w:rsid w:val="0006575A"/>
    <w:rsid w:val="00065B04"/>
    <w:rsid w:val="00065F18"/>
    <w:rsid w:val="00066AC9"/>
    <w:rsid w:val="00070641"/>
    <w:rsid w:val="00070D5A"/>
    <w:rsid w:val="00071652"/>
    <w:rsid w:val="0007296B"/>
    <w:rsid w:val="00072B1E"/>
    <w:rsid w:val="000731C0"/>
    <w:rsid w:val="00073973"/>
    <w:rsid w:val="0007417D"/>
    <w:rsid w:val="000744F5"/>
    <w:rsid w:val="000767D4"/>
    <w:rsid w:val="00076868"/>
    <w:rsid w:val="00076E6E"/>
    <w:rsid w:val="000776D0"/>
    <w:rsid w:val="00077BBA"/>
    <w:rsid w:val="00077D4E"/>
    <w:rsid w:val="000803E8"/>
    <w:rsid w:val="000809B7"/>
    <w:rsid w:val="00080E68"/>
    <w:rsid w:val="00081AB2"/>
    <w:rsid w:val="00081C52"/>
    <w:rsid w:val="00084060"/>
    <w:rsid w:val="00084BBD"/>
    <w:rsid w:val="000855F6"/>
    <w:rsid w:val="00090191"/>
    <w:rsid w:val="0009092F"/>
    <w:rsid w:val="00092319"/>
    <w:rsid w:val="00092A44"/>
    <w:rsid w:val="000930AF"/>
    <w:rsid w:val="00093F1D"/>
    <w:rsid w:val="000945A4"/>
    <w:rsid w:val="00094A1C"/>
    <w:rsid w:val="00096A77"/>
    <w:rsid w:val="000A1137"/>
    <w:rsid w:val="000A1F56"/>
    <w:rsid w:val="000A25B0"/>
    <w:rsid w:val="000A278B"/>
    <w:rsid w:val="000A28D7"/>
    <w:rsid w:val="000A36E5"/>
    <w:rsid w:val="000A665D"/>
    <w:rsid w:val="000A7426"/>
    <w:rsid w:val="000B1BD9"/>
    <w:rsid w:val="000B2D63"/>
    <w:rsid w:val="000B35F1"/>
    <w:rsid w:val="000B37FD"/>
    <w:rsid w:val="000B3F99"/>
    <w:rsid w:val="000B42D9"/>
    <w:rsid w:val="000B45D4"/>
    <w:rsid w:val="000B470C"/>
    <w:rsid w:val="000B4B14"/>
    <w:rsid w:val="000B4E81"/>
    <w:rsid w:val="000B5176"/>
    <w:rsid w:val="000B62F4"/>
    <w:rsid w:val="000B670C"/>
    <w:rsid w:val="000B7251"/>
    <w:rsid w:val="000B7427"/>
    <w:rsid w:val="000B7472"/>
    <w:rsid w:val="000B7D8B"/>
    <w:rsid w:val="000C0994"/>
    <w:rsid w:val="000C1240"/>
    <w:rsid w:val="000C1719"/>
    <w:rsid w:val="000C1787"/>
    <w:rsid w:val="000C21F2"/>
    <w:rsid w:val="000C2655"/>
    <w:rsid w:val="000C2A66"/>
    <w:rsid w:val="000C3AF6"/>
    <w:rsid w:val="000C3F5E"/>
    <w:rsid w:val="000C3F72"/>
    <w:rsid w:val="000C5158"/>
    <w:rsid w:val="000C53E0"/>
    <w:rsid w:val="000C617D"/>
    <w:rsid w:val="000C6331"/>
    <w:rsid w:val="000C6C30"/>
    <w:rsid w:val="000C74A1"/>
    <w:rsid w:val="000D09F4"/>
    <w:rsid w:val="000D162C"/>
    <w:rsid w:val="000D17FB"/>
    <w:rsid w:val="000D1AD3"/>
    <w:rsid w:val="000D2473"/>
    <w:rsid w:val="000D2A4A"/>
    <w:rsid w:val="000D3324"/>
    <w:rsid w:val="000D509E"/>
    <w:rsid w:val="000D5215"/>
    <w:rsid w:val="000D62D8"/>
    <w:rsid w:val="000D666E"/>
    <w:rsid w:val="000D6A82"/>
    <w:rsid w:val="000D6BAA"/>
    <w:rsid w:val="000D6D17"/>
    <w:rsid w:val="000D6E87"/>
    <w:rsid w:val="000D7333"/>
    <w:rsid w:val="000E2515"/>
    <w:rsid w:val="000E2916"/>
    <w:rsid w:val="000E415A"/>
    <w:rsid w:val="000E4774"/>
    <w:rsid w:val="000E69A5"/>
    <w:rsid w:val="000E72EF"/>
    <w:rsid w:val="000F0440"/>
    <w:rsid w:val="000F0F14"/>
    <w:rsid w:val="000F2ADD"/>
    <w:rsid w:val="000F2C35"/>
    <w:rsid w:val="000F2FD2"/>
    <w:rsid w:val="000F40E6"/>
    <w:rsid w:val="000F442B"/>
    <w:rsid w:val="000F4A99"/>
    <w:rsid w:val="000F592C"/>
    <w:rsid w:val="000F5BDD"/>
    <w:rsid w:val="000F5F36"/>
    <w:rsid w:val="000F6477"/>
    <w:rsid w:val="000F7338"/>
    <w:rsid w:val="000F7641"/>
    <w:rsid w:val="000F77BE"/>
    <w:rsid w:val="000F7E77"/>
    <w:rsid w:val="00101A6C"/>
    <w:rsid w:val="00102162"/>
    <w:rsid w:val="00102A6E"/>
    <w:rsid w:val="00103F0A"/>
    <w:rsid w:val="00104576"/>
    <w:rsid w:val="00106A98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423"/>
    <w:rsid w:val="001124A5"/>
    <w:rsid w:val="001125BD"/>
    <w:rsid w:val="00112E47"/>
    <w:rsid w:val="00114745"/>
    <w:rsid w:val="00116DDF"/>
    <w:rsid w:val="00120172"/>
    <w:rsid w:val="00120761"/>
    <w:rsid w:val="0012107C"/>
    <w:rsid w:val="0012283B"/>
    <w:rsid w:val="00123CB4"/>
    <w:rsid w:val="00123F87"/>
    <w:rsid w:val="00124C1F"/>
    <w:rsid w:val="0012543A"/>
    <w:rsid w:val="001255E6"/>
    <w:rsid w:val="00125C8C"/>
    <w:rsid w:val="00126505"/>
    <w:rsid w:val="00126961"/>
    <w:rsid w:val="00126A98"/>
    <w:rsid w:val="00126E54"/>
    <w:rsid w:val="00127763"/>
    <w:rsid w:val="00130B42"/>
    <w:rsid w:val="0013384C"/>
    <w:rsid w:val="0013417B"/>
    <w:rsid w:val="00134788"/>
    <w:rsid w:val="0013504C"/>
    <w:rsid w:val="0013656C"/>
    <w:rsid w:val="00136866"/>
    <w:rsid w:val="00136F91"/>
    <w:rsid w:val="00141316"/>
    <w:rsid w:val="00141343"/>
    <w:rsid w:val="001418FC"/>
    <w:rsid w:val="00142241"/>
    <w:rsid w:val="00143222"/>
    <w:rsid w:val="00143FFF"/>
    <w:rsid w:val="0014530A"/>
    <w:rsid w:val="001456AE"/>
    <w:rsid w:val="00151327"/>
    <w:rsid w:val="00151832"/>
    <w:rsid w:val="0015279C"/>
    <w:rsid w:val="00155734"/>
    <w:rsid w:val="0015581B"/>
    <w:rsid w:val="00156335"/>
    <w:rsid w:val="0015639D"/>
    <w:rsid w:val="00156EC9"/>
    <w:rsid w:val="00157018"/>
    <w:rsid w:val="0015744A"/>
    <w:rsid w:val="00157A4C"/>
    <w:rsid w:val="00160A7B"/>
    <w:rsid w:val="00160B66"/>
    <w:rsid w:val="00160FA4"/>
    <w:rsid w:val="0016273B"/>
    <w:rsid w:val="00162CD1"/>
    <w:rsid w:val="00164313"/>
    <w:rsid w:val="0016541A"/>
    <w:rsid w:val="0016622D"/>
    <w:rsid w:val="00166C89"/>
    <w:rsid w:val="0016760A"/>
    <w:rsid w:val="00167ED5"/>
    <w:rsid w:val="00170352"/>
    <w:rsid w:val="00171025"/>
    <w:rsid w:val="001725B4"/>
    <w:rsid w:val="0017323B"/>
    <w:rsid w:val="00174EF0"/>
    <w:rsid w:val="001753AD"/>
    <w:rsid w:val="00176DF6"/>
    <w:rsid w:val="00177094"/>
    <w:rsid w:val="001779DE"/>
    <w:rsid w:val="00177AAF"/>
    <w:rsid w:val="00181BBD"/>
    <w:rsid w:val="00183AD7"/>
    <w:rsid w:val="00183D57"/>
    <w:rsid w:val="001845D2"/>
    <w:rsid w:val="001849F8"/>
    <w:rsid w:val="00185A9E"/>
    <w:rsid w:val="00186EE7"/>
    <w:rsid w:val="001913B8"/>
    <w:rsid w:val="0019207A"/>
    <w:rsid w:val="00192BAA"/>
    <w:rsid w:val="0019351D"/>
    <w:rsid w:val="001952B3"/>
    <w:rsid w:val="00195C9B"/>
    <w:rsid w:val="00196DD9"/>
    <w:rsid w:val="0019755C"/>
    <w:rsid w:val="00197848"/>
    <w:rsid w:val="001A0DDE"/>
    <w:rsid w:val="001A1122"/>
    <w:rsid w:val="001A1668"/>
    <w:rsid w:val="001A1C2D"/>
    <w:rsid w:val="001A1E34"/>
    <w:rsid w:val="001A2276"/>
    <w:rsid w:val="001A3007"/>
    <w:rsid w:val="001A32AE"/>
    <w:rsid w:val="001A3595"/>
    <w:rsid w:val="001A3883"/>
    <w:rsid w:val="001A4807"/>
    <w:rsid w:val="001A52B7"/>
    <w:rsid w:val="001A53EC"/>
    <w:rsid w:val="001A5560"/>
    <w:rsid w:val="001A5844"/>
    <w:rsid w:val="001A735C"/>
    <w:rsid w:val="001A73E3"/>
    <w:rsid w:val="001B0A2A"/>
    <w:rsid w:val="001B1635"/>
    <w:rsid w:val="001B2796"/>
    <w:rsid w:val="001B2D64"/>
    <w:rsid w:val="001B3F3F"/>
    <w:rsid w:val="001B55A2"/>
    <w:rsid w:val="001B5EC1"/>
    <w:rsid w:val="001C0F50"/>
    <w:rsid w:val="001C1E65"/>
    <w:rsid w:val="001C208C"/>
    <w:rsid w:val="001C210B"/>
    <w:rsid w:val="001C27CD"/>
    <w:rsid w:val="001C3CC2"/>
    <w:rsid w:val="001C4010"/>
    <w:rsid w:val="001C4884"/>
    <w:rsid w:val="001C4B3C"/>
    <w:rsid w:val="001C60C3"/>
    <w:rsid w:val="001C619A"/>
    <w:rsid w:val="001C67E2"/>
    <w:rsid w:val="001D0436"/>
    <w:rsid w:val="001D1088"/>
    <w:rsid w:val="001D2D55"/>
    <w:rsid w:val="001D34C6"/>
    <w:rsid w:val="001D35C2"/>
    <w:rsid w:val="001D3B23"/>
    <w:rsid w:val="001D4653"/>
    <w:rsid w:val="001D4768"/>
    <w:rsid w:val="001D5345"/>
    <w:rsid w:val="001D6A01"/>
    <w:rsid w:val="001D6C49"/>
    <w:rsid w:val="001E02D2"/>
    <w:rsid w:val="001E0C3F"/>
    <w:rsid w:val="001E1C4F"/>
    <w:rsid w:val="001E24DE"/>
    <w:rsid w:val="001E2758"/>
    <w:rsid w:val="001E3CDB"/>
    <w:rsid w:val="001E40B4"/>
    <w:rsid w:val="001E4289"/>
    <w:rsid w:val="001E45F3"/>
    <w:rsid w:val="001E51AB"/>
    <w:rsid w:val="001E5E07"/>
    <w:rsid w:val="001E5FBF"/>
    <w:rsid w:val="001E70CE"/>
    <w:rsid w:val="001E7B18"/>
    <w:rsid w:val="001F1A6B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A36"/>
    <w:rsid w:val="00202C1B"/>
    <w:rsid w:val="002030B5"/>
    <w:rsid w:val="002043C1"/>
    <w:rsid w:val="0020470F"/>
    <w:rsid w:val="0020498E"/>
    <w:rsid w:val="002063A0"/>
    <w:rsid w:val="0020686B"/>
    <w:rsid w:val="00206A4E"/>
    <w:rsid w:val="00206DDC"/>
    <w:rsid w:val="00207962"/>
    <w:rsid w:val="002108FE"/>
    <w:rsid w:val="00211A22"/>
    <w:rsid w:val="00211DE0"/>
    <w:rsid w:val="00212133"/>
    <w:rsid w:val="002124E1"/>
    <w:rsid w:val="00212D38"/>
    <w:rsid w:val="002136F0"/>
    <w:rsid w:val="002139FD"/>
    <w:rsid w:val="00213D8D"/>
    <w:rsid w:val="00214B35"/>
    <w:rsid w:val="00215B74"/>
    <w:rsid w:val="00215F17"/>
    <w:rsid w:val="00216D6A"/>
    <w:rsid w:val="00216F51"/>
    <w:rsid w:val="002177DC"/>
    <w:rsid w:val="0021788F"/>
    <w:rsid w:val="00220F7A"/>
    <w:rsid w:val="00220FC8"/>
    <w:rsid w:val="00221734"/>
    <w:rsid w:val="002223A1"/>
    <w:rsid w:val="00223C1B"/>
    <w:rsid w:val="00224392"/>
    <w:rsid w:val="00225601"/>
    <w:rsid w:val="00225E7B"/>
    <w:rsid w:val="00227C98"/>
    <w:rsid w:val="002311CB"/>
    <w:rsid w:val="0023514F"/>
    <w:rsid w:val="002354FF"/>
    <w:rsid w:val="00235511"/>
    <w:rsid w:val="002358AF"/>
    <w:rsid w:val="00235E51"/>
    <w:rsid w:val="00237406"/>
    <w:rsid w:val="00237F96"/>
    <w:rsid w:val="00241AB4"/>
    <w:rsid w:val="00241ECF"/>
    <w:rsid w:val="00241FEF"/>
    <w:rsid w:val="002433DC"/>
    <w:rsid w:val="0024468C"/>
    <w:rsid w:val="00244924"/>
    <w:rsid w:val="00244EF5"/>
    <w:rsid w:val="00245978"/>
    <w:rsid w:val="002466E7"/>
    <w:rsid w:val="002474F2"/>
    <w:rsid w:val="00247BAD"/>
    <w:rsid w:val="002505C1"/>
    <w:rsid w:val="00250655"/>
    <w:rsid w:val="00250A0A"/>
    <w:rsid w:val="00251DA7"/>
    <w:rsid w:val="00253AD6"/>
    <w:rsid w:val="00253B32"/>
    <w:rsid w:val="00253C93"/>
    <w:rsid w:val="00254B07"/>
    <w:rsid w:val="002555C5"/>
    <w:rsid w:val="00256770"/>
    <w:rsid w:val="002576AA"/>
    <w:rsid w:val="00257CB4"/>
    <w:rsid w:val="00257E46"/>
    <w:rsid w:val="002611EC"/>
    <w:rsid w:val="00261F02"/>
    <w:rsid w:val="00262401"/>
    <w:rsid w:val="00264A38"/>
    <w:rsid w:val="0027021B"/>
    <w:rsid w:val="00270D07"/>
    <w:rsid w:val="002715C8"/>
    <w:rsid w:val="0027380A"/>
    <w:rsid w:val="002739C6"/>
    <w:rsid w:val="00273D90"/>
    <w:rsid w:val="00274309"/>
    <w:rsid w:val="00274DD7"/>
    <w:rsid w:val="002763D4"/>
    <w:rsid w:val="0027740D"/>
    <w:rsid w:val="00280155"/>
    <w:rsid w:val="00280654"/>
    <w:rsid w:val="00281380"/>
    <w:rsid w:val="00281D91"/>
    <w:rsid w:val="0028258C"/>
    <w:rsid w:val="00283650"/>
    <w:rsid w:val="00283BC5"/>
    <w:rsid w:val="00283C48"/>
    <w:rsid w:val="0028455E"/>
    <w:rsid w:val="00284DD4"/>
    <w:rsid w:val="00285766"/>
    <w:rsid w:val="0029100A"/>
    <w:rsid w:val="002911EA"/>
    <w:rsid w:val="00291A4F"/>
    <w:rsid w:val="002926DD"/>
    <w:rsid w:val="00292C77"/>
    <w:rsid w:val="0029309D"/>
    <w:rsid w:val="002933A1"/>
    <w:rsid w:val="0029405A"/>
    <w:rsid w:val="00294A8F"/>
    <w:rsid w:val="00295266"/>
    <w:rsid w:val="002952CE"/>
    <w:rsid w:val="00296B34"/>
    <w:rsid w:val="00297E94"/>
    <w:rsid w:val="002A2230"/>
    <w:rsid w:val="002A2721"/>
    <w:rsid w:val="002A273D"/>
    <w:rsid w:val="002A2F96"/>
    <w:rsid w:val="002A4335"/>
    <w:rsid w:val="002A46C7"/>
    <w:rsid w:val="002A5273"/>
    <w:rsid w:val="002A5A92"/>
    <w:rsid w:val="002A685E"/>
    <w:rsid w:val="002B09B6"/>
    <w:rsid w:val="002B0ED8"/>
    <w:rsid w:val="002B152D"/>
    <w:rsid w:val="002B1962"/>
    <w:rsid w:val="002B2973"/>
    <w:rsid w:val="002B3594"/>
    <w:rsid w:val="002B3DD3"/>
    <w:rsid w:val="002B4100"/>
    <w:rsid w:val="002B416E"/>
    <w:rsid w:val="002B47B2"/>
    <w:rsid w:val="002B6422"/>
    <w:rsid w:val="002B6A06"/>
    <w:rsid w:val="002B6AEF"/>
    <w:rsid w:val="002B70DA"/>
    <w:rsid w:val="002B71B9"/>
    <w:rsid w:val="002C0A83"/>
    <w:rsid w:val="002C0CDF"/>
    <w:rsid w:val="002C0E8D"/>
    <w:rsid w:val="002C1E41"/>
    <w:rsid w:val="002C3568"/>
    <w:rsid w:val="002C3861"/>
    <w:rsid w:val="002C3A76"/>
    <w:rsid w:val="002C3C07"/>
    <w:rsid w:val="002C4CB0"/>
    <w:rsid w:val="002C5068"/>
    <w:rsid w:val="002C6D2B"/>
    <w:rsid w:val="002D0E80"/>
    <w:rsid w:val="002D1D07"/>
    <w:rsid w:val="002D3575"/>
    <w:rsid w:val="002D3E58"/>
    <w:rsid w:val="002D53BF"/>
    <w:rsid w:val="002D5B18"/>
    <w:rsid w:val="002D5F11"/>
    <w:rsid w:val="002D647D"/>
    <w:rsid w:val="002D75E7"/>
    <w:rsid w:val="002D7B3D"/>
    <w:rsid w:val="002E0347"/>
    <w:rsid w:val="002E0E1D"/>
    <w:rsid w:val="002E10F6"/>
    <w:rsid w:val="002E1BD4"/>
    <w:rsid w:val="002E1F14"/>
    <w:rsid w:val="002E2117"/>
    <w:rsid w:val="002E3B8A"/>
    <w:rsid w:val="002E3FB9"/>
    <w:rsid w:val="002E48D2"/>
    <w:rsid w:val="002E5120"/>
    <w:rsid w:val="002E52B9"/>
    <w:rsid w:val="002E718D"/>
    <w:rsid w:val="002E7DFB"/>
    <w:rsid w:val="002F27F8"/>
    <w:rsid w:val="002F401E"/>
    <w:rsid w:val="002F56C2"/>
    <w:rsid w:val="002F624B"/>
    <w:rsid w:val="0030241C"/>
    <w:rsid w:val="003028E8"/>
    <w:rsid w:val="00302FE7"/>
    <w:rsid w:val="0030300E"/>
    <w:rsid w:val="003053C9"/>
    <w:rsid w:val="003056F9"/>
    <w:rsid w:val="00306B46"/>
    <w:rsid w:val="003078F8"/>
    <w:rsid w:val="00307AB2"/>
    <w:rsid w:val="00310F9C"/>
    <w:rsid w:val="00311BDC"/>
    <w:rsid w:val="00312B4F"/>
    <w:rsid w:val="00312E97"/>
    <w:rsid w:val="00313A8D"/>
    <w:rsid w:val="00313ABD"/>
    <w:rsid w:val="00315065"/>
    <w:rsid w:val="00315647"/>
    <w:rsid w:val="003156AF"/>
    <w:rsid w:val="00316944"/>
    <w:rsid w:val="00317273"/>
    <w:rsid w:val="00317572"/>
    <w:rsid w:val="00317E64"/>
    <w:rsid w:val="00320D0C"/>
    <w:rsid w:val="00320D34"/>
    <w:rsid w:val="00321084"/>
    <w:rsid w:val="00321090"/>
    <w:rsid w:val="0032163A"/>
    <w:rsid w:val="003217FF"/>
    <w:rsid w:val="00321A3E"/>
    <w:rsid w:val="00321A97"/>
    <w:rsid w:val="00321B51"/>
    <w:rsid w:val="00321BFD"/>
    <w:rsid w:val="003220E4"/>
    <w:rsid w:val="00322C7E"/>
    <w:rsid w:val="00323533"/>
    <w:rsid w:val="00324DAF"/>
    <w:rsid w:val="00325F41"/>
    <w:rsid w:val="00327346"/>
    <w:rsid w:val="00330D09"/>
    <w:rsid w:val="00331052"/>
    <w:rsid w:val="0033119A"/>
    <w:rsid w:val="003314EC"/>
    <w:rsid w:val="00331CF1"/>
    <w:rsid w:val="003353C6"/>
    <w:rsid w:val="0033541B"/>
    <w:rsid w:val="003358E6"/>
    <w:rsid w:val="00335DF3"/>
    <w:rsid w:val="00337AB7"/>
    <w:rsid w:val="003417BC"/>
    <w:rsid w:val="00341ACE"/>
    <w:rsid w:val="00341D78"/>
    <w:rsid w:val="003421BC"/>
    <w:rsid w:val="00344522"/>
    <w:rsid w:val="00344F89"/>
    <w:rsid w:val="00345A10"/>
    <w:rsid w:val="00346A96"/>
    <w:rsid w:val="00347C9A"/>
    <w:rsid w:val="003510EA"/>
    <w:rsid w:val="00351C5E"/>
    <w:rsid w:val="00353A67"/>
    <w:rsid w:val="00354587"/>
    <w:rsid w:val="00354CD2"/>
    <w:rsid w:val="00355A41"/>
    <w:rsid w:val="00356253"/>
    <w:rsid w:val="00356C50"/>
    <w:rsid w:val="003571A1"/>
    <w:rsid w:val="003610BC"/>
    <w:rsid w:val="0036519F"/>
    <w:rsid w:val="0036547A"/>
    <w:rsid w:val="003655A0"/>
    <w:rsid w:val="00365D44"/>
    <w:rsid w:val="0036708F"/>
    <w:rsid w:val="003670FF"/>
    <w:rsid w:val="0037156D"/>
    <w:rsid w:val="00371B31"/>
    <w:rsid w:val="003733CD"/>
    <w:rsid w:val="00375516"/>
    <w:rsid w:val="0037645B"/>
    <w:rsid w:val="003767FF"/>
    <w:rsid w:val="00377BEA"/>
    <w:rsid w:val="00377E77"/>
    <w:rsid w:val="00380097"/>
    <w:rsid w:val="0038332B"/>
    <w:rsid w:val="00383EE2"/>
    <w:rsid w:val="00384779"/>
    <w:rsid w:val="00384E55"/>
    <w:rsid w:val="00385442"/>
    <w:rsid w:val="00386BAD"/>
    <w:rsid w:val="00387936"/>
    <w:rsid w:val="00390225"/>
    <w:rsid w:val="00390C12"/>
    <w:rsid w:val="00391724"/>
    <w:rsid w:val="003918FF"/>
    <w:rsid w:val="00391E2A"/>
    <w:rsid w:val="003944BD"/>
    <w:rsid w:val="00395080"/>
    <w:rsid w:val="003950A1"/>
    <w:rsid w:val="0039632C"/>
    <w:rsid w:val="003967EC"/>
    <w:rsid w:val="00396C43"/>
    <w:rsid w:val="00397F66"/>
    <w:rsid w:val="003A00C8"/>
    <w:rsid w:val="003A056E"/>
    <w:rsid w:val="003A0E9D"/>
    <w:rsid w:val="003A1346"/>
    <w:rsid w:val="003A13FD"/>
    <w:rsid w:val="003A16A1"/>
    <w:rsid w:val="003A1817"/>
    <w:rsid w:val="003A1D52"/>
    <w:rsid w:val="003A2F23"/>
    <w:rsid w:val="003A38BA"/>
    <w:rsid w:val="003A566A"/>
    <w:rsid w:val="003B2F94"/>
    <w:rsid w:val="003B33D9"/>
    <w:rsid w:val="003B48AF"/>
    <w:rsid w:val="003B5669"/>
    <w:rsid w:val="003B6344"/>
    <w:rsid w:val="003C0190"/>
    <w:rsid w:val="003C0960"/>
    <w:rsid w:val="003C1D0A"/>
    <w:rsid w:val="003C24D4"/>
    <w:rsid w:val="003C2D61"/>
    <w:rsid w:val="003C41FB"/>
    <w:rsid w:val="003C42CB"/>
    <w:rsid w:val="003C46CB"/>
    <w:rsid w:val="003C646D"/>
    <w:rsid w:val="003C66BF"/>
    <w:rsid w:val="003C6930"/>
    <w:rsid w:val="003C6BCE"/>
    <w:rsid w:val="003D0067"/>
    <w:rsid w:val="003D13C7"/>
    <w:rsid w:val="003D16D5"/>
    <w:rsid w:val="003D16E2"/>
    <w:rsid w:val="003D42EC"/>
    <w:rsid w:val="003D4DCD"/>
    <w:rsid w:val="003D4E00"/>
    <w:rsid w:val="003D51B6"/>
    <w:rsid w:val="003D5D63"/>
    <w:rsid w:val="003D6147"/>
    <w:rsid w:val="003D6B93"/>
    <w:rsid w:val="003D6C12"/>
    <w:rsid w:val="003E0958"/>
    <w:rsid w:val="003E175B"/>
    <w:rsid w:val="003E1A3D"/>
    <w:rsid w:val="003E2108"/>
    <w:rsid w:val="003E243C"/>
    <w:rsid w:val="003E2887"/>
    <w:rsid w:val="003E3092"/>
    <w:rsid w:val="003E3521"/>
    <w:rsid w:val="003E353E"/>
    <w:rsid w:val="003E363F"/>
    <w:rsid w:val="003E4B86"/>
    <w:rsid w:val="003E5794"/>
    <w:rsid w:val="003E6079"/>
    <w:rsid w:val="003E759F"/>
    <w:rsid w:val="003E7ACA"/>
    <w:rsid w:val="003E7C5B"/>
    <w:rsid w:val="003F0144"/>
    <w:rsid w:val="003F2C7F"/>
    <w:rsid w:val="003F42F5"/>
    <w:rsid w:val="003F59BD"/>
    <w:rsid w:val="003F62EC"/>
    <w:rsid w:val="0040125A"/>
    <w:rsid w:val="00402FEC"/>
    <w:rsid w:val="004059DD"/>
    <w:rsid w:val="00405A52"/>
    <w:rsid w:val="004062A4"/>
    <w:rsid w:val="00407443"/>
    <w:rsid w:val="00411D9F"/>
    <w:rsid w:val="004133EF"/>
    <w:rsid w:val="00414FB4"/>
    <w:rsid w:val="00415472"/>
    <w:rsid w:val="00417DAD"/>
    <w:rsid w:val="0042050B"/>
    <w:rsid w:val="004208BB"/>
    <w:rsid w:val="0042099D"/>
    <w:rsid w:val="00421593"/>
    <w:rsid w:val="00421C16"/>
    <w:rsid w:val="004226E3"/>
    <w:rsid w:val="00422712"/>
    <w:rsid w:val="004238CC"/>
    <w:rsid w:val="00424DEE"/>
    <w:rsid w:val="0042630F"/>
    <w:rsid w:val="00426705"/>
    <w:rsid w:val="0042685B"/>
    <w:rsid w:val="00426F75"/>
    <w:rsid w:val="004307EA"/>
    <w:rsid w:val="00431C30"/>
    <w:rsid w:val="00431EF5"/>
    <w:rsid w:val="00431F88"/>
    <w:rsid w:val="00432C3C"/>
    <w:rsid w:val="00433BEB"/>
    <w:rsid w:val="00433C38"/>
    <w:rsid w:val="00433DD9"/>
    <w:rsid w:val="0043474B"/>
    <w:rsid w:val="00434E40"/>
    <w:rsid w:val="0043500C"/>
    <w:rsid w:val="00435E87"/>
    <w:rsid w:val="0043618A"/>
    <w:rsid w:val="00436B76"/>
    <w:rsid w:val="00436C96"/>
    <w:rsid w:val="00436EFC"/>
    <w:rsid w:val="00440018"/>
    <w:rsid w:val="00440E1D"/>
    <w:rsid w:val="00441AEB"/>
    <w:rsid w:val="00442548"/>
    <w:rsid w:val="00444C8F"/>
    <w:rsid w:val="00444D6F"/>
    <w:rsid w:val="00444EA1"/>
    <w:rsid w:val="004451D3"/>
    <w:rsid w:val="00445B42"/>
    <w:rsid w:val="00445D29"/>
    <w:rsid w:val="00445F9E"/>
    <w:rsid w:val="0045020B"/>
    <w:rsid w:val="0045151D"/>
    <w:rsid w:val="00451B7B"/>
    <w:rsid w:val="00452E74"/>
    <w:rsid w:val="0045351B"/>
    <w:rsid w:val="00453540"/>
    <w:rsid w:val="00453C2D"/>
    <w:rsid w:val="004551A0"/>
    <w:rsid w:val="0045556D"/>
    <w:rsid w:val="00455EAC"/>
    <w:rsid w:val="00456DEC"/>
    <w:rsid w:val="004573F8"/>
    <w:rsid w:val="004574DD"/>
    <w:rsid w:val="004575AC"/>
    <w:rsid w:val="00460C3A"/>
    <w:rsid w:val="004644F9"/>
    <w:rsid w:val="0046705F"/>
    <w:rsid w:val="004673AC"/>
    <w:rsid w:val="00467B55"/>
    <w:rsid w:val="00470471"/>
    <w:rsid w:val="00470A3F"/>
    <w:rsid w:val="00472827"/>
    <w:rsid w:val="0047399E"/>
    <w:rsid w:val="00473A26"/>
    <w:rsid w:val="0047422A"/>
    <w:rsid w:val="00474CE0"/>
    <w:rsid w:val="00475AFE"/>
    <w:rsid w:val="0047657F"/>
    <w:rsid w:val="004765BE"/>
    <w:rsid w:val="00481E67"/>
    <w:rsid w:val="00484E8E"/>
    <w:rsid w:val="004864EF"/>
    <w:rsid w:val="00486A36"/>
    <w:rsid w:val="004903AC"/>
    <w:rsid w:val="00492D0C"/>
    <w:rsid w:val="00492FD5"/>
    <w:rsid w:val="0049464D"/>
    <w:rsid w:val="0049497A"/>
    <w:rsid w:val="00495335"/>
    <w:rsid w:val="00495C25"/>
    <w:rsid w:val="0049623C"/>
    <w:rsid w:val="004969D2"/>
    <w:rsid w:val="00496B05"/>
    <w:rsid w:val="004971BB"/>
    <w:rsid w:val="004973BA"/>
    <w:rsid w:val="004A0065"/>
    <w:rsid w:val="004A087C"/>
    <w:rsid w:val="004A0FD6"/>
    <w:rsid w:val="004A1382"/>
    <w:rsid w:val="004A1B4C"/>
    <w:rsid w:val="004A1C62"/>
    <w:rsid w:val="004A1EB6"/>
    <w:rsid w:val="004A20EB"/>
    <w:rsid w:val="004A2829"/>
    <w:rsid w:val="004A3868"/>
    <w:rsid w:val="004A4DB5"/>
    <w:rsid w:val="004A4F1C"/>
    <w:rsid w:val="004A5546"/>
    <w:rsid w:val="004A5CEC"/>
    <w:rsid w:val="004A70AC"/>
    <w:rsid w:val="004B03B7"/>
    <w:rsid w:val="004B2BD7"/>
    <w:rsid w:val="004B35E3"/>
    <w:rsid w:val="004B3B59"/>
    <w:rsid w:val="004B527C"/>
    <w:rsid w:val="004B5507"/>
    <w:rsid w:val="004B565C"/>
    <w:rsid w:val="004B59B6"/>
    <w:rsid w:val="004B5C6B"/>
    <w:rsid w:val="004B6BD9"/>
    <w:rsid w:val="004C10EE"/>
    <w:rsid w:val="004C1305"/>
    <w:rsid w:val="004C1507"/>
    <w:rsid w:val="004C1863"/>
    <w:rsid w:val="004C1F79"/>
    <w:rsid w:val="004C36D6"/>
    <w:rsid w:val="004C3C6C"/>
    <w:rsid w:val="004C480F"/>
    <w:rsid w:val="004C6358"/>
    <w:rsid w:val="004C6680"/>
    <w:rsid w:val="004C6D21"/>
    <w:rsid w:val="004C7C60"/>
    <w:rsid w:val="004D0074"/>
    <w:rsid w:val="004D241F"/>
    <w:rsid w:val="004D2521"/>
    <w:rsid w:val="004D25A1"/>
    <w:rsid w:val="004D33C0"/>
    <w:rsid w:val="004D4796"/>
    <w:rsid w:val="004D5082"/>
    <w:rsid w:val="004D517D"/>
    <w:rsid w:val="004D6689"/>
    <w:rsid w:val="004D6E6F"/>
    <w:rsid w:val="004D7293"/>
    <w:rsid w:val="004D742D"/>
    <w:rsid w:val="004D7B82"/>
    <w:rsid w:val="004E1E4D"/>
    <w:rsid w:val="004E2098"/>
    <w:rsid w:val="004E37E5"/>
    <w:rsid w:val="004E4072"/>
    <w:rsid w:val="004E4242"/>
    <w:rsid w:val="004E4380"/>
    <w:rsid w:val="004E4941"/>
    <w:rsid w:val="004E673E"/>
    <w:rsid w:val="004E7E81"/>
    <w:rsid w:val="004F0B7B"/>
    <w:rsid w:val="004F1047"/>
    <w:rsid w:val="004F1081"/>
    <w:rsid w:val="004F29FB"/>
    <w:rsid w:val="004F362B"/>
    <w:rsid w:val="004F4AD9"/>
    <w:rsid w:val="004F4F66"/>
    <w:rsid w:val="004F50A1"/>
    <w:rsid w:val="004F587B"/>
    <w:rsid w:val="004F770A"/>
    <w:rsid w:val="005013DA"/>
    <w:rsid w:val="00501A76"/>
    <w:rsid w:val="00502E46"/>
    <w:rsid w:val="00504B69"/>
    <w:rsid w:val="00505709"/>
    <w:rsid w:val="005076DA"/>
    <w:rsid w:val="00512B02"/>
    <w:rsid w:val="005135B6"/>
    <w:rsid w:val="005138E2"/>
    <w:rsid w:val="00514CA4"/>
    <w:rsid w:val="005154AC"/>
    <w:rsid w:val="00515656"/>
    <w:rsid w:val="00516E47"/>
    <w:rsid w:val="00517DFB"/>
    <w:rsid w:val="00520BAE"/>
    <w:rsid w:val="00522597"/>
    <w:rsid w:val="00523F73"/>
    <w:rsid w:val="0052405D"/>
    <w:rsid w:val="005251BB"/>
    <w:rsid w:val="00525DA6"/>
    <w:rsid w:val="0052673C"/>
    <w:rsid w:val="00526A39"/>
    <w:rsid w:val="00526D55"/>
    <w:rsid w:val="005316AB"/>
    <w:rsid w:val="00532178"/>
    <w:rsid w:val="00532D1F"/>
    <w:rsid w:val="00532E28"/>
    <w:rsid w:val="00534665"/>
    <w:rsid w:val="00534DB6"/>
    <w:rsid w:val="005354DE"/>
    <w:rsid w:val="00535A59"/>
    <w:rsid w:val="00536D87"/>
    <w:rsid w:val="0053730B"/>
    <w:rsid w:val="0054009E"/>
    <w:rsid w:val="00540385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6376"/>
    <w:rsid w:val="00550C3C"/>
    <w:rsid w:val="00551FE8"/>
    <w:rsid w:val="00552481"/>
    <w:rsid w:val="00553B30"/>
    <w:rsid w:val="00554C1E"/>
    <w:rsid w:val="00554ECF"/>
    <w:rsid w:val="00556CC7"/>
    <w:rsid w:val="00556D28"/>
    <w:rsid w:val="00556F47"/>
    <w:rsid w:val="005575F0"/>
    <w:rsid w:val="00561CD6"/>
    <w:rsid w:val="00563A65"/>
    <w:rsid w:val="00563C4E"/>
    <w:rsid w:val="00563CD4"/>
    <w:rsid w:val="00567C6A"/>
    <w:rsid w:val="00567D72"/>
    <w:rsid w:val="00567D88"/>
    <w:rsid w:val="00570746"/>
    <w:rsid w:val="00571325"/>
    <w:rsid w:val="0057483E"/>
    <w:rsid w:val="005750BC"/>
    <w:rsid w:val="0057608B"/>
    <w:rsid w:val="0057699A"/>
    <w:rsid w:val="00576F34"/>
    <w:rsid w:val="00577411"/>
    <w:rsid w:val="005777F8"/>
    <w:rsid w:val="00577CEC"/>
    <w:rsid w:val="00580859"/>
    <w:rsid w:val="00580C5B"/>
    <w:rsid w:val="00582A81"/>
    <w:rsid w:val="00582F9A"/>
    <w:rsid w:val="00584F3A"/>
    <w:rsid w:val="00585506"/>
    <w:rsid w:val="00586346"/>
    <w:rsid w:val="0058658B"/>
    <w:rsid w:val="00587211"/>
    <w:rsid w:val="005872C6"/>
    <w:rsid w:val="005903D4"/>
    <w:rsid w:val="0059080A"/>
    <w:rsid w:val="00590B39"/>
    <w:rsid w:val="00591E92"/>
    <w:rsid w:val="005920F1"/>
    <w:rsid w:val="00593CF1"/>
    <w:rsid w:val="005958D3"/>
    <w:rsid w:val="005968BB"/>
    <w:rsid w:val="00596FF7"/>
    <w:rsid w:val="005970DD"/>
    <w:rsid w:val="005A1E63"/>
    <w:rsid w:val="005A39C5"/>
    <w:rsid w:val="005A49E4"/>
    <w:rsid w:val="005A5E6F"/>
    <w:rsid w:val="005A5FAC"/>
    <w:rsid w:val="005A6782"/>
    <w:rsid w:val="005A6D98"/>
    <w:rsid w:val="005A6E74"/>
    <w:rsid w:val="005A71C5"/>
    <w:rsid w:val="005A7649"/>
    <w:rsid w:val="005B0125"/>
    <w:rsid w:val="005B04E1"/>
    <w:rsid w:val="005B140F"/>
    <w:rsid w:val="005B17A0"/>
    <w:rsid w:val="005B2965"/>
    <w:rsid w:val="005B3CB9"/>
    <w:rsid w:val="005B3D4E"/>
    <w:rsid w:val="005B4783"/>
    <w:rsid w:val="005B51C7"/>
    <w:rsid w:val="005B5A6E"/>
    <w:rsid w:val="005B60AE"/>
    <w:rsid w:val="005B66AC"/>
    <w:rsid w:val="005B7C8B"/>
    <w:rsid w:val="005C1247"/>
    <w:rsid w:val="005C2538"/>
    <w:rsid w:val="005C3AB9"/>
    <w:rsid w:val="005C4431"/>
    <w:rsid w:val="005C4EE5"/>
    <w:rsid w:val="005C5AAB"/>
    <w:rsid w:val="005C6056"/>
    <w:rsid w:val="005C68BB"/>
    <w:rsid w:val="005C6CC7"/>
    <w:rsid w:val="005C7A48"/>
    <w:rsid w:val="005D0843"/>
    <w:rsid w:val="005D0AD8"/>
    <w:rsid w:val="005D0ADF"/>
    <w:rsid w:val="005D0ED7"/>
    <w:rsid w:val="005D254D"/>
    <w:rsid w:val="005D291D"/>
    <w:rsid w:val="005D38B6"/>
    <w:rsid w:val="005D3DE4"/>
    <w:rsid w:val="005D5816"/>
    <w:rsid w:val="005E02C4"/>
    <w:rsid w:val="005E112E"/>
    <w:rsid w:val="005E1700"/>
    <w:rsid w:val="005E2ED2"/>
    <w:rsid w:val="005E3078"/>
    <w:rsid w:val="005E3DB4"/>
    <w:rsid w:val="005E432B"/>
    <w:rsid w:val="005E6174"/>
    <w:rsid w:val="005F08C7"/>
    <w:rsid w:val="005F0CC6"/>
    <w:rsid w:val="005F12CB"/>
    <w:rsid w:val="005F2527"/>
    <w:rsid w:val="005F34F6"/>
    <w:rsid w:val="005F362E"/>
    <w:rsid w:val="005F3E51"/>
    <w:rsid w:val="005F41D2"/>
    <w:rsid w:val="005F58EF"/>
    <w:rsid w:val="005F5D64"/>
    <w:rsid w:val="005F6220"/>
    <w:rsid w:val="005F667E"/>
    <w:rsid w:val="005F702F"/>
    <w:rsid w:val="005F76F9"/>
    <w:rsid w:val="0060086F"/>
    <w:rsid w:val="00600A10"/>
    <w:rsid w:val="0060275A"/>
    <w:rsid w:val="006059A3"/>
    <w:rsid w:val="006059A9"/>
    <w:rsid w:val="00605F31"/>
    <w:rsid w:val="00605F77"/>
    <w:rsid w:val="00605F9B"/>
    <w:rsid w:val="00607561"/>
    <w:rsid w:val="00611D71"/>
    <w:rsid w:val="0061230F"/>
    <w:rsid w:val="0061350A"/>
    <w:rsid w:val="00613946"/>
    <w:rsid w:val="00613D09"/>
    <w:rsid w:val="006163D2"/>
    <w:rsid w:val="00620B48"/>
    <w:rsid w:val="00620B4F"/>
    <w:rsid w:val="00620DCC"/>
    <w:rsid w:val="0062195B"/>
    <w:rsid w:val="00621A89"/>
    <w:rsid w:val="00622362"/>
    <w:rsid w:val="006223BE"/>
    <w:rsid w:val="00623633"/>
    <w:rsid w:val="006237AA"/>
    <w:rsid w:val="0062482F"/>
    <w:rsid w:val="00624933"/>
    <w:rsid w:val="00625B22"/>
    <w:rsid w:val="0062698A"/>
    <w:rsid w:val="00626FE6"/>
    <w:rsid w:val="00627933"/>
    <w:rsid w:val="00630C5A"/>
    <w:rsid w:val="00631474"/>
    <w:rsid w:val="0063191F"/>
    <w:rsid w:val="00632A20"/>
    <w:rsid w:val="00632AEA"/>
    <w:rsid w:val="006335E0"/>
    <w:rsid w:val="00634101"/>
    <w:rsid w:val="0063460D"/>
    <w:rsid w:val="006351FB"/>
    <w:rsid w:val="006356B2"/>
    <w:rsid w:val="00636470"/>
    <w:rsid w:val="00637542"/>
    <w:rsid w:val="006410B4"/>
    <w:rsid w:val="00642201"/>
    <w:rsid w:val="006429C7"/>
    <w:rsid w:val="00643E95"/>
    <w:rsid w:val="006462CA"/>
    <w:rsid w:val="0064737D"/>
    <w:rsid w:val="00647739"/>
    <w:rsid w:val="00650755"/>
    <w:rsid w:val="00650A38"/>
    <w:rsid w:val="00651463"/>
    <w:rsid w:val="00653109"/>
    <w:rsid w:val="006540A0"/>
    <w:rsid w:val="0065494E"/>
    <w:rsid w:val="00654D0A"/>
    <w:rsid w:val="0065619E"/>
    <w:rsid w:val="0065673D"/>
    <w:rsid w:val="006578BF"/>
    <w:rsid w:val="00660AE3"/>
    <w:rsid w:val="00662084"/>
    <w:rsid w:val="00663A9F"/>
    <w:rsid w:val="006643C9"/>
    <w:rsid w:val="006652CA"/>
    <w:rsid w:val="00667119"/>
    <w:rsid w:val="00667F87"/>
    <w:rsid w:val="006705A5"/>
    <w:rsid w:val="0067121C"/>
    <w:rsid w:val="00671280"/>
    <w:rsid w:val="006712C9"/>
    <w:rsid w:val="00671418"/>
    <w:rsid w:val="006731C1"/>
    <w:rsid w:val="00674A1D"/>
    <w:rsid w:val="00674D40"/>
    <w:rsid w:val="00680B63"/>
    <w:rsid w:val="00680D39"/>
    <w:rsid w:val="006819FE"/>
    <w:rsid w:val="006826D3"/>
    <w:rsid w:val="006826ED"/>
    <w:rsid w:val="00684077"/>
    <w:rsid w:val="00684900"/>
    <w:rsid w:val="00686440"/>
    <w:rsid w:val="00686968"/>
    <w:rsid w:val="00686EDF"/>
    <w:rsid w:val="0069037D"/>
    <w:rsid w:val="00690FC2"/>
    <w:rsid w:val="006912E7"/>
    <w:rsid w:val="00692B73"/>
    <w:rsid w:val="00693C49"/>
    <w:rsid w:val="00693F6D"/>
    <w:rsid w:val="006954BF"/>
    <w:rsid w:val="00695B38"/>
    <w:rsid w:val="006969B1"/>
    <w:rsid w:val="00696D82"/>
    <w:rsid w:val="00697480"/>
    <w:rsid w:val="006A0295"/>
    <w:rsid w:val="006A035B"/>
    <w:rsid w:val="006A29E7"/>
    <w:rsid w:val="006A300F"/>
    <w:rsid w:val="006A396A"/>
    <w:rsid w:val="006A499D"/>
    <w:rsid w:val="006A4C9D"/>
    <w:rsid w:val="006A5779"/>
    <w:rsid w:val="006A5F2C"/>
    <w:rsid w:val="006B014A"/>
    <w:rsid w:val="006B135A"/>
    <w:rsid w:val="006B16C4"/>
    <w:rsid w:val="006B202E"/>
    <w:rsid w:val="006B2999"/>
    <w:rsid w:val="006B2A1E"/>
    <w:rsid w:val="006B2DA8"/>
    <w:rsid w:val="006B32E8"/>
    <w:rsid w:val="006B4657"/>
    <w:rsid w:val="006B4A9C"/>
    <w:rsid w:val="006B5635"/>
    <w:rsid w:val="006B79E2"/>
    <w:rsid w:val="006C06F7"/>
    <w:rsid w:val="006C11B2"/>
    <w:rsid w:val="006C142D"/>
    <w:rsid w:val="006C36AC"/>
    <w:rsid w:val="006C3936"/>
    <w:rsid w:val="006C440B"/>
    <w:rsid w:val="006C5122"/>
    <w:rsid w:val="006C5448"/>
    <w:rsid w:val="006C5C5E"/>
    <w:rsid w:val="006C6321"/>
    <w:rsid w:val="006D0552"/>
    <w:rsid w:val="006D24BF"/>
    <w:rsid w:val="006D2BA9"/>
    <w:rsid w:val="006D4E5E"/>
    <w:rsid w:val="006D6491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81A"/>
    <w:rsid w:val="006E4AD3"/>
    <w:rsid w:val="006E54EE"/>
    <w:rsid w:val="006E7188"/>
    <w:rsid w:val="006E7DFD"/>
    <w:rsid w:val="006F0F76"/>
    <w:rsid w:val="006F4BF4"/>
    <w:rsid w:val="006F4C8F"/>
    <w:rsid w:val="006F73BE"/>
    <w:rsid w:val="0070021C"/>
    <w:rsid w:val="00700ACF"/>
    <w:rsid w:val="00701205"/>
    <w:rsid w:val="0070127F"/>
    <w:rsid w:val="007016F6"/>
    <w:rsid w:val="00702060"/>
    <w:rsid w:val="00702320"/>
    <w:rsid w:val="00703DD2"/>
    <w:rsid w:val="00704DB5"/>
    <w:rsid w:val="00705896"/>
    <w:rsid w:val="007066C1"/>
    <w:rsid w:val="007074BE"/>
    <w:rsid w:val="00710784"/>
    <w:rsid w:val="00711A4C"/>
    <w:rsid w:val="00711B50"/>
    <w:rsid w:val="00711B5D"/>
    <w:rsid w:val="0071380B"/>
    <w:rsid w:val="007141F3"/>
    <w:rsid w:val="00714713"/>
    <w:rsid w:val="00714E74"/>
    <w:rsid w:val="0071540B"/>
    <w:rsid w:val="00716548"/>
    <w:rsid w:val="0071671E"/>
    <w:rsid w:val="00717853"/>
    <w:rsid w:val="0072011A"/>
    <w:rsid w:val="00720E64"/>
    <w:rsid w:val="00721061"/>
    <w:rsid w:val="007218EA"/>
    <w:rsid w:val="00722D10"/>
    <w:rsid w:val="00723D38"/>
    <w:rsid w:val="00724EA8"/>
    <w:rsid w:val="00727F05"/>
    <w:rsid w:val="00727F67"/>
    <w:rsid w:val="0073119E"/>
    <w:rsid w:val="007312F1"/>
    <w:rsid w:val="00731AB8"/>
    <w:rsid w:val="007334C4"/>
    <w:rsid w:val="00733A0A"/>
    <w:rsid w:val="00733D8B"/>
    <w:rsid w:val="00734468"/>
    <w:rsid w:val="00735916"/>
    <w:rsid w:val="00740139"/>
    <w:rsid w:val="007403A2"/>
    <w:rsid w:val="00741208"/>
    <w:rsid w:val="0074310F"/>
    <w:rsid w:val="0074330B"/>
    <w:rsid w:val="00747E3B"/>
    <w:rsid w:val="00751649"/>
    <w:rsid w:val="0075368F"/>
    <w:rsid w:val="00754BEC"/>
    <w:rsid w:val="00754EF5"/>
    <w:rsid w:val="0075641F"/>
    <w:rsid w:val="007574D1"/>
    <w:rsid w:val="00760D76"/>
    <w:rsid w:val="007625E7"/>
    <w:rsid w:val="00763432"/>
    <w:rsid w:val="00763CAE"/>
    <w:rsid w:val="00764E5B"/>
    <w:rsid w:val="00770BC3"/>
    <w:rsid w:val="00770FFE"/>
    <w:rsid w:val="007710A0"/>
    <w:rsid w:val="00772CFC"/>
    <w:rsid w:val="00773CDD"/>
    <w:rsid w:val="007740A9"/>
    <w:rsid w:val="0077797C"/>
    <w:rsid w:val="007807CD"/>
    <w:rsid w:val="0078188F"/>
    <w:rsid w:val="00783311"/>
    <w:rsid w:val="007846BC"/>
    <w:rsid w:val="0078470E"/>
    <w:rsid w:val="007848E0"/>
    <w:rsid w:val="00785733"/>
    <w:rsid w:val="00786A13"/>
    <w:rsid w:val="00791703"/>
    <w:rsid w:val="00791750"/>
    <w:rsid w:val="00792E89"/>
    <w:rsid w:val="00793FCE"/>
    <w:rsid w:val="0079421D"/>
    <w:rsid w:val="00794C71"/>
    <w:rsid w:val="007967E9"/>
    <w:rsid w:val="007970B9"/>
    <w:rsid w:val="007A0FEF"/>
    <w:rsid w:val="007A142F"/>
    <w:rsid w:val="007A1E3B"/>
    <w:rsid w:val="007A28FB"/>
    <w:rsid w:val="007A2F63"/>
    <w:rsid w:val="007A314F"/>
    <w:rsid w:val="007A3201"/>
    <w:rsid w:val="007A403B"/>
    <w:rsid w:val="007A423D"/>
    <w:rsid w:val="007A4AE3"/>
    <w:rsid w:val="007A510C"/>
    <w:rsid w:val="007A516F"/>
    <w:rsid w:val="007B00BE"/>
    <w:rsid w:val="007B03C9"/>
    <w:rsid w:val="007B0DF8"/>
    <w:rsid w:val="007B1C83"/>
    <w:rsid w:val="007B1D70"/>
    <w:rsid w:val="007B2D71"/>
    <w:rsid w:val="007B33D1"/>
    <w:rsid w:val="007B4203"/>
    <w:rsid w:val="007B5197"/>
    <w:rsid w:val="007B5B71"/>
    <w:rsid w:val="007B5BEB"/>
    <w:rsid w:val="007B5D60"/>
    <w:rsid w:val="007B6E89"/>
    <w:rsid w:val="007B77CF"/>
    <w:rsid w:val="007C19B8"/>
    <w:rsid w:val="007C500D"/>
    <w:rsid w:val="007C5BFE"/>
    <w:rsid w:val="007C5EC6"/>
    <w:rsid w:val="007C6EEE"/>
    <w:rsid w:val="007D0C6F"/>
    <w:rsid w:val="007D1154"/>
    <w:rsid w:val="007D1406"/>
    <w:rsid w:val="007D1A8A"/>
    <w:rsid w:val="007D3B04"/>
    <w:rsid w:val="007D40CB"/>
    <w:rsid w:val="007D4957"/>
    <w:rsid w:val="007D7056"/>
    <w:rsid w:val="007E08C3"/>
    <w:rsid w:val="007E0CA3"/>
    <w:rsid w:val="007E105C"/>
    <w:rsid w:val="007E28C2"/>
    <w:rsid w:val="007E2E8C"/>
    <w:rsid w:val="007E31F6"/>
    <w:rsid w:val="007E38E2"/>
    <w:rsid w:val="007E55FA"/>
    <w:rsid w:val="007E58CB"/>
    <w:rsid w:val="007E6B98"/>
    <w:rsid w:val="007E6D68"/>
    <w:rsid w:val="007F0B66"/>
    <w:rsid w:val="007F0CF6"/>
    <w:rsid w:val="007F1141"/>
    <w:rsid w:val="007F1592"/>
    <w:rsid w:val="007F2403"/>
    <w:rsid w:val="007F3E57"/>
    <w:rsid w:val="007F40DB"/>
    <w:rsid w:val="007F5552"/>
    <w:rsid w:val="007F5A27"/>
    <w:rsid w:val="00800174"/>
    <w:rsid w:val="0080089D"/>
    <w:rsid w:val="00801ABE"/>
    <w:rsid w:val="00803EE4"/>
    <w:rsid w:val="008057D8"/>
    <w:rsid w:val="0080622D"/>
    <w:rsid w:val="008067CB"/>
    <w:rsid w:val="008067E7"/>
    <w:rsid w:val="0080783D"/>
    <w:rsid w:val="00807DD2"/>
    <w:rsid w:val="008113B4"/>
    <w:rsid w:val="0081194C"/>
    <w:rsid w:val="00813AA8"/>
    <w:rsid w:val="008146B2"/>
    <w:rsid w:val="008160A6"/>
    <w:rsid w:val="0081630C"/>
    <w:rsid w:val="008166CD"/>
    <w:rsid w:val="00816ED3"/>
    <w:rsid w:val="00817F20"/>
    <w:rsid w:val="00824BF7"/>
    <w:rsid w:val="008258B9"/>
    <w:rsid w:val="00830E11"/>
    <w:rsid w:val="008314CD"/>
    <w:rsid w:val="008319BC"/>
    <w:rsid w:val="00833EAA"/>
    <w:rsid w:val="0083637F"/>
    <w:rsid w:val="008367B2"/>
    <w:rsid w:val="0083708D"/>
    <w:rsid w:val="00837970"/>
    <w:rsid w:val="0084034E"/>
    <w:rsid w:val="00840B40"/>
    <w:rsid w:val="00840DC5"/>
    <w:rsid w:val="00840E5A"/>
    <w:rsid w:val="0084181B"/>
    <w:rsid w:val="00841EE8"/>
    <w:rsid w:val="008424C1"/>
    <w:rsid w:val="00843076"/>
    <w:rsid w:val="00843E9F"/>
    <w:rsid w:val="00844527"/>
    <w:rsid w:val="00844697"/>
    <w:rsid w:val="0084473C"/>
    <w:rsid w:val="00845285"/>
    <w:rsid w:val="008453D3"/>
    <w:rsid w:val="00845891"/>
    <w:rsid w:val="0084595F"/>
    <w:rsid w:val="008502C7"/>
    <w:rsid w:val="008506AB"/>
    <w:rsid w:val="0085172B"/>
    <w:rsid w:val="00852C4B"/>
    <w:rsid w:val="0085417C"/>
    <w:rsid w:val="0085560B"/>
    <w:rsid w:val="00855B23"/>
    <w:rsid w:val="00855DA3"/>
    <w:rsid w:val="00855F2D"/>
    <w:rsid w:val="00857A28"/>
    <w:rsid w:val="00857FB6"/>
    <w:rsid w:val="00860EC6"/>
    <w:rsid w:val="00860F53"/>
    <w:rsid w:val="00861AD8"/>
    <w:rsid w:val="00862503"/>
    <w:rsid w:val="0086485C"/>
    <w:rsid w:val="00864F6C"/>
    <w:rsid w:val="008651F0"/>
    <w:rsid w:val="0086536F"/>
    <w:rsid w:val="008658B2"/>
    <w:rsid w:val="00866168"/>
    <w:rsid w:val="00866420"/>
    <w:rsid w:val="0086726B"/>
    <w:rsid w:val="0086785C"/>
    <w:rsid w:val="00867CA4"/>
    <w:rsid w:val="00867EF9"/>
    <w:rsid w:val="008717C7"/>
    <w:rsid w:val="00871D66"/>
    <w:rsid w:val="008720FD"/>
    <w:rsid w:val="00874F8F"/>
    <w:rsid w:val="0087694D"/>
    <w:rsid w:val="00876956"/>
    <w:rsid w:val="008770AC"/>
    <w:rsid w:val="0087749D"/>
    <w:rsid w:val="008776E5"/>
    <w:rsid w:val="00877798"/>
    <w:rsid w:val="0087787B"/>
    <w:rsid w:val="0088060F"/>
    <w:rsid w:val="00880C4C"/>
    <w:rsid w:val="00880D63"/>
    <w:rsid w:val="00880DC2"/>
    <w:rsid w:val="00881A2E"/>
    <w:rsid w:val="00882BD8"/>
    <w:rsid w:val="00884E05"/>
    <w:rsid w:val="00885BB9"/>
    <w:rsid w:val="008900B6"/>
    <w:rsid w:val="008909B0"/>
    <w:rsid w:val="00890C3A"/>
    <w:rsid w:val="00892402"/>
    <w:rsid w:val="008943A5"/>
    <w:rsid w:val="00894AFB"/>
    <w:rsid w:val="00894C2A"/>
    <w:rsid w:val="00894E80"/>
    <w:rsid w:val="00897B6C"/>
    <w:rsid w:val="00897D24"/>
    <w:rsid w:val="00897D42"/>
    <w:rsid w:val="008A036F"/>
    <w:rsid w:val="008A1ABE"/>
    <w:rsid w:val="008A1B6F"/>
    <w:rsid w:val="008A25F7"/>
    <w:rsid w:val="008A2796"/>
    <w:rsid w:val="008A2C1B"/>
    <w:rsid w:val="008A2D25"/>
    <w:rsid w:val="008A37DA"/>
    <w:rsid w:val="008A3A3E"/>
    <w:rsid w:val="008A4CC1"/>
    <w:rsid w:val="008A5301"/>
    <w:rsid w:val="008A59A4"/>
    <w:rsid w:val="008A6943"/>
    <w:rsid w:val="008A6E11"/>
    <w:rsid w:val="008A78CA"/>
    <w:rsid w:val="008A78D8"/>
    <w:rsid w:val="008A7D10"/>
    <w:rsid w:val="008B16B3"/>
    <w:rsid w:val="008B31F6"/>
    <w:rsid w:val="008B395E"/>
    <w:rsid w:val="008B5039"/>
    <w:rsid w:val="008B57C4"/>
    <w:rsid w:val="008B6AC4"/>
    <w:rsid w:val="008B6DDA"/>
    <w:rsid w:val="008B77E9"/>
    <w:rsid w:val="008B7939"/>
    <w:rsid w:val="008B7A92"/>
    <w:rsid w:val="008B7EAC"/>
    <w:rsid w:val="008C033A"/>
    <w:rsid w:val="008C1528"/>
    <w:rsid w:val="008C2508"/>
    <w:rsid w:val="008C307C"/>
    <w:rsid w:val="008C36FB"/>
    <w:rsid w:val="008C43E5"/>
    <w:rsid w:val="008C4F2D"/>
    <w:rsid w:val="008C5910"/>
    <w:rsid w:val="008C5F41"/>
    <w:rsid w:val="008D017A"/>
    <w:rsid w:val="008D113E"/>
    <w:rsid w:val="008D18E2"/>
    <w:rsid w:val="008D1A5E"/>
    <w:rsid w:val="008D21E2"/>
    <w:rsid w:val="008D230E"/>
    <w:rsid w:val="008D234C"/>
    <w:rsid w:val="008D4711"/>
    <w:rsid w:val="008D56CA"/>
    <w:rsid w:val="008D78C9"/>
    <w:rsid w:val="008E0087"/>
    <w:rsid w:val="008E0930"/>
    <w:rsid w:val="008E0BBE"/>
    <w:rsid w:val="008E1141"/>
    <w:rsid w:val="008E1372"/>
    <w:rsid w:val="008E1E5F"/>
    <w:rsid w:val="008E20BB"/>
    <w:rsid w:val="008E2A07"/>
    <w:rsid w:val="008E3000"/>
    <w:rsid w:val="008E5551"/>
    <w:rsid w:val="008E5727"/>
    <w:rsid w:val="008E59AF"/>
    <w:rsid w:val="008E626C"/>
    <w:rsid w:val="008E6F1D"/>
    <w:rsid w:val="008E765C"/>
    <w:rsid w:val="008E7ABC"/>
    <w:rsid w:val="008E7BB8"/>
    <w:rsid w:val="008F03D8"/>
    <w:rsid w:val="008F1DB7"/>
    <w:rsid w:val="008F279D"/>
    <w:rsid w:val="008F4074"/>
    <w:rsid w:val="008F5AB7"/>
    <w:rsid w:val="008F5B8F"/>
    <w:rsid w:val="008F6C88"/>
    <w:rsid w:val="008F7C92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7C2"/>
    <w:rsid w:val="00906E01"/>
    <w:rsid w:val="009071F9"/>
    <w:rsid w:val="0090773B"/>
    <w:rsid w:val="00907F08"/>
    <w:rsid w:val="00910929"/>
    <w:rsid w:val="00911B5B"/>
    <w:rsid w:val="00911D4A"/>
    <w:rsid w:val="00912A28"/>
    <w:rsid w:val="00912DE1"/>
    <w:rsid w:val="00913216"/>
    <w:rsid w:val="00914D6B"/>
    <w:rsid w:val="00920220"/>
    <w:rsid w:val="009215C7"/>
    <w:rsid w:val="00921C95"/>
    <w:rsid w:val="00921E59"/>
    <w:rsid w:val="0092324B"/>
    <w:rsid w:val="0092338E"/>
    <w:rsid w:val="0092381D"/>
    <w:rsid w:val="00925101"/>
    <w:rsid w:val="00925A33"/>
    <w:rsid w:val="0092733C"/>
    <w:rsid w:val="00927955"/>
    <w:rsid w:val="009302F0"/>
    <w:rsid w:val="00931A47"/>
    <w:rsid w:val="009335D8"/>
    <w:rsid w:val="00934264"/>
    <w:rsid w:val="009402DC"/>
    <w:rsid w:val="00940F2B"/>
    <w:rsid w:val="00942534"/>
    <w:rsid w:val="00942ACB"/>
    <w:rsid w:val="0094351E"/>
    <w:rsid w:val="0094372F"/>
    <w:rsid w:val="0094380D"/>
    <w:rsid w:val="009452B7"/>
    <w:rsid w:val="0094674D"/>
    <w:rsid w:val="00950343"/>
    <w:rsid w:val="00950599"/>
    <w:rsid w:val="00950AB6"/>
    <w:rsid w:val="009532AD"/>
    <w:rsid w:val="00953E7B"/>
    <w:rsid w:val="00954B3F"/>
    <w:rsid w:val="009555D9"/>
    <w:rsid w:val="00955EE7"/>
    <w:rsid w:val="0095674B"/>
    <w:rsid w:val="00956972"/>
    <w:rsid w:val="00956C86"/>
    <w:rsid w:val="0095719F"/>
    <w:rsid w:val="009575CB"/>
    <w:rsid w:val="00960D50"/>
    <w:rsid w:val="00961D02"/>
    <w:rsid w:val="0096330A"/>
    <w:rsid w:val="00963BD3"/>
    <w:rsid w:val="009641DB"/>
    <w:rsid w:val="0096595C"/>
    <w:rsid w:val="00966C6E"/>
    <w:rsid w:val="00966FBA"/>
    <w:rsid w:val="00970439"/>
    <w:rsid w:val="009708FF"/>
    <w:rsid w:val="00970C31"/>
    <w:rsid w:val="009720D3"/>
    <w:rsid w:val="00972D68"/>
    <w:rsid w:val="00972FD7"/>
    <w:rsid w:val="009751D9"/>
    <w:rsid w:val="00976169"/>
    <w:rsid w:val="00976A15"/>
    <w:rsid w:val="00977971"/>
    <w:rsid w:val="00980D64"/>
    <w:rsid w:val="00982455"/>
    <w:rsid w:val="00982722"/>
    <w:rsid w:val="009838A5"/>
    <w:rsid w:val="009845E8"/>
    <w:rsid w:val="0098647A"/>
    <w:rsid w:val="00987D01"/>
    <w:rsid w:val="0099089C"/>
    <w:rsid w:val="0099211B"/>
    <w:rsid w:val="00992D94"/>
    <w:rsid w:val="0099556B"/>
    <w:rsid w:val="00995AD7"/>
    <w:rsid w:val="00996D3F"/>
    <w:rsid w:val="00997B3A"/>
    <w:rsid w:val="009A05E0"/>
    <w:rsid w:val="009A0BD2"/>
    <w:rsid w:val="009A122F"/>
    <w:rsid w:val="009A393B"/>
    <w:rsid w:val="009A4EFE"/>
    <w:rsid w:val="009A6CA1"/>
    <w:rsid w:val="009A7012"/>
    <w:rsid w:val="009A77FF"/>
    <w:rsid w:val="009A7C8B"/>
    <w:rsid w:val="009B2BCA"/>
    <w:rsid w:val="009B37A9"/>
    <w:rsid w:val="009B5CD0"/>
    <w:rsid w:val="009B5E53"/>
    <w:rsid w:val="009B6BD2"/>
    <w:rsid w:val="009B7761"/>
    <w:rsid w:val="009B7BF0"/>
    <w:rsid w:val="009B7D43"/>
    <w:rsid w:val="009C03F6"/>
    <w:rsid w:val="009C0A55"/>
    <w:rsid w:val="009C16EC"/>
    <w:rsid w:val="009C38BF"/>
    <w:rsid w:val="009C38C0"/>
    <w:rsid w:val="009C405E"/>
    <w:rsid w:val="009C41D3"/>
    <w:rsid w:val="009C619B"/>
    <w:rsid w:val="009C7A41"/>
    <w:rsid w:val="009C7CF2"/>
    <w:rsid w:val="009D04E9"/>
    <w:rsid w:val="009D19D9"/>
    <w:rsid w:val="009D3B74"/>
    <w:rsid w:val="009D3BDA"/>
    <w:rsid w:val="009D4A7B"/>
    <w:rsid w:val="009D54CB"/>
    <w:rsid w:val="009D604A"/>
    <w:rsid w:val="009D6DB2"/>
    <w:rsid w:val="009D736B"/>
    <w:rsid w:val="009D759D"/>
    <w:rsid w:val="009E03D2"/>
    <w:rsid w:val="009E0F92"/>
    <w:rsid w:val="009E12DA"/>
    <w:rsid w:val="009E1B2B"/>
    <w:rsid w:val="009E1B59"/>
    <w:rsid w:val="009E20E1"/>
    <w:rsid w:val="009E3654"/>
    <w:rsid w:val="009E58A7"/>
    <w:rsid w:val="009E5A78"/>
    <w:rsid w:val="009E5DCC"/>
    <w:rsid w:val="009E634B"/>
    <w:rsid w:val="009E6654"/>
    <w:rsid w:val="009E69C5"/>
    <w:rsid w:val="009E73D9"/>
    <w:rsid w:val="009E7408"/>
    <w:rsid w:val="009E745A"/>
    <w:rsid w:val="009E7D06"/>
    <w:rsid w:val="009F0061"/>
    <w:rsid w:val="009F1C8B"/>
    <w:rsid w:val="009F2AC5"/>
    <w:rsid w:val="009F3855"/>
    <w:rsid w:val="009F41DB"/>
    <w:rsid w:val="009F4756"/>
    <w:rsid w:val="009F5664"/>
    <w:rsid w:val="009F7234"/>
    <w:rsid w:val="009F7E14"/>
    <w:rsid w:val="00A00155"/>
    <w:rsid w:val="00A004BF"/>
    <w:rsid w:val="00A016D1"/>
    <w:rsid w:val="00A01B3B"/>
    <w:rsid w:val="00A020D4"/>
    <w:rsid w:val="00A02A63"/>
    <w:rsid w:val="00A02DFC"/>
    <w:rsid w:val="00A02F21"/>
    <w:rsid w:val="00A049E6"/>
    <w:rsid w:val="00A04DD8"/>
    <w:rsid w:val="00A05293"/>
    <w:rsid w:val="00A109C4"/>
    <w:rsid w:val="00A11250"/>
    <w:rsid w:val="00A1179B"/>
    <w:rsid w:val="00A12096"/>
    <w:rsid w:val="00A12F35"/>
    <w:rsid w:val="00A14B28"/>
    <w:rsid w:val="00A1531F"/>
    <w:rsid w:val="00A158D9"/>
    <w:rsid w:val="00A16D16"/>
    <w:rsid w:val="00A178BE"/>
    <w:rsid w:val="00A218DF"/>
    <w:rsid w:val="00A21E64"/>
    <w:rsid w:val="00A225D1"/>
    <w:rsid w:val="00A22BD4"/>
    <w:rsid w:val="00A22D08"/>
    <w:rsid w:val="00A2336F"/>
    <w:rsid w:val="00A238FD"/>
    <w:rsid w:val="00A249D8"/>
    <w:rsid w:val="00A25677"/>
    <w:rsid w:val="00A264E0"/>
    <w:rsid w:val="00A266CB"/>
    <w:rsid w:val="00A273EA"/>
    <w:rsid w:val="00A279EC"/>
    <w:rsid w:val="00A31727"/>
    <w:rsid w:val="00A33154"/>
    <w:rsid w:val="00A33735"/>
    <w:rsid w:val="00A33C7E"/>
    <w:rsid w:val="00A34521"/>
    <w:rsid w:val="00A3642D"/>
    <w:rsid w:val="00A414F5"/>
    <w:rsid w:val="00A41F24"/>
    <w:rsid w:val="00A41FCB"/>
    <w:rsid w:val="00A43AD2"/>
    <w:rsid w:val="00A44577"/>
    <w:rsid w:val="00A4732B"/>
    <w:rsid w:val="00A50D6D"/>
    <w:rsid w:val="00A511C2"/>
    <w:rsid w:val="00A52480"/>
    <w:rsid w:val="00A52597"/>
    <w:rsid w:val="00A52EB5"/>
    <w:rsid w:val="00A546F8"/>
    <w:rsid w:val="00A54FEE"/>
    <w:rsid w:val="00A5506A"/>
    <w:rsid w:val="00A55951"/>
    <w:rsid w:val="00A55BE1"/>
    <w:rsid w:val="00A56D67"/>
    <w:rsid w:val="00A61A5D"/>
    <w:rsid w:val="00A61C32"/>
    <w:rsid w:val="00A62534"/>
    <w:rsid w:val="00A62567"/>
    <w:rsid w:val="00A64B1D"/>
    <w:rsid w:val="00A64C28"/>
    <w:rsid w:val="00A6661F"/>
    <w:rsid w:val="00A66B77"/>
    <w:rsid w:val="00A66DCA"/>
    <w:rsid w:val="00A6711C"/>
    <w:rsid w:val="00A6754E"/>
    <w:rsid w:val="00A67686"/>
    <w:rsid w:val="00A70470"/>
    <w:rsid w:val="00A71765"/>
    <w:rsid w:val="00A71CEF"/>
    <w:rsid w:val="00A72105"/>
    <w:rsid w:val="00A72485"/>
    <w:rsid w:val="00A73590"/>
    <w:rsid w:val="00A76A19"/>
    <w:rsid w:val="00A7776E"/>
    <w:rsid w:val="00A8125B"/>
    <w:rsid w:val="00A8192A"/>
    <w:rsid w:val="00A82933"/>
    <w:rsid w:val="00A83CDD"/>
    <w:rsid w:val="00A8418D"/>
    <w:rsid w:val="00A84BD0"/>
    <w:rsid w:val="00A85003"/>
    <w:rsid w:val="00A8593A"/>
    <w:rsid w:val="00A86278"/>
    <w:rsid w:val="00A86A4D"/>
    <w:rsid w:val="00A87280"/>
    <w:rsid w:val="00A879A0"/>
    <w:rsid w:val="00A90C4B"/>
    <w:rsid w:val="00A90CF7"/>
    <w:rsid w:val="00A90DEB"/>
    <w:rsid w:val="00A91E4F"/>
    <w:rsid w:val="00A91EFA"/>
    <w:rsid w:val="00A93923"/>
    <w:rsid w:val="00A95A54"/>
    <w:rsid w:val="00A9630E"/>
    <w:rsid w:val="00A979CA"/>
    <w:rsid w:val="00A97AF2"/>
    <w:rsid w:val="00AA1464"/>
    <w:rsid w:val="00AA1F3B"/>
    <w:rsid w:val="00AA2FF0"/>
    <w:rsid w:val="00AA49B3"/>
    <w:rsid w:val="00AA4C92"/>
    <w:rsid w:val="00AA697A"/>
    <w:rsid w:val="00AA6997"/>
    <w:rsid w:val="00AB0279"/>
    <w:rsid w:val="00AB2260"/>
    <w:rsid w:val="00AB2417"/>
    <w:rsid w:val="00AB2678"/>
    <w:rsid w:val="00AB386C"/>
    <w:rsid w:val="00AB399C"/>
    <w:rsid w:val="00AB4162"/>
    <w:rsid w:val="00AB4268"/>
    <w:rsid w:val="00AB60D0"/>
    <w:rsid w:val="00AB660C"/>
    <w:rsid w:val="00AB6B8A"/>
    <w:rsid w:val="00AB7B6B"/>
    <w:rsid w:val="00AC0DCC"/>
    <w:rsid w:val="00AC1401"/>
    <w:rsid w:val="00AC19FF"/>
    <w:rsid w:val="00AC2587"/>
    <w:rsid w:val="00AC2E3E"/>
    <w:rsid w:val="00AC33E2"/>
    <w:rsid w:val="00AC49C1"/>
    <w:rsid w:val="00AC4F2C"/>
    <w:rsid w:val="00AC6919"/>
    <w:rsid w:val="00AC7869"/>
    <w:rsid w:val="00AC7AD9"/>
    <w:rsid w:val="00AC7D34"/>
    <w:rsid w:val="00AD0FC7"/>
    <w:rsid w:val="00AD12E4"/>
    <w:rsid w:val="00AD1AC8"/>
    <w:rsid w:val="00AD1B1C"/>
    <w:rsid w:val="00AD1E81"/>
    <w:rsid w:val="00AD1FF4"/>
    <w:rsid w:val="00AD2310"/>
    <w:rsid w:val="00AD4C30"/>
    <w:rsid w:val="00AD5E56"/>
    <w:rsid w:val="00AD61BD"/>
    <w:rsid w:val="00AD6869"/>
    <w:rsid w:val="00AD713D"/>
    <w:rsid w:val="00AD770D"/>
    <w:rsid w:val="00AE1158"/>
    <w:rsid w:val="00AE1AEA"/>
    <w:rsid w:val="00AE22CF"/>
    <w:rsid w:val="00AE2682"/>
    <w:rsid w:val="00AE30AE"/>
    <w:rsid w:val="00AE3F51"/>
    <w:rsid w:val="00AE4527"/>
    <w:rsid w:val="00AE6C17"/>
    <w:rsid w:val="00AE7298"/>
    <w:rsid w:val="00AE7D7B"/>
    <w:rsid w:val="00AF087B"/>
    <w:rsid w:val="00AF08EE"/>
    <w:rsid w:val="00AF0DD1"/>
    <w:rsid w:val="00AF0F2E"/>
    <w:rsid w:val="00AF0F7B"/>
    <w:rsid w:val="00AF369C"/>
    <w:rsid w:val="00AF55AB"/>
    <w:rsid w:val="00AF6BAA"/>
    <w:rsid w:val="00AF731A"/>
    <w:rsid w:val="00AF7CC8"/>
    <w:rsid w:val="00AF7DF5"/>
    <w:rsid w:val="00B00D42"/>
    <w:rsid w:val="00B00EB8"/>
    <w:rsid w:val="00B01B27"/>
    <w:rsid w:val="00B01BF8"/>
    <w:rsid w:val="00B02093"/>
    <w:rsid w:val="00B02971"/>
    <w:rsid w:val="00B02F36"/>
    <w:rsid w:val="00B03BDA"/>
    <w:rsid w:val="00B0458D"/>
    <w:rsid w:val="00B062B2"/>
    <w:rsid w:val="00B064CE"/>
    <w:rsid w:val="00B10350"/>
    <w:rsid w:val="00B104F8"/>
    <w:rsid w:val="00B111BC"/>
    <w:rsid w:val="00B11DBC"/>
    <w:rsid w:val="00B12128"/>
    <w:rsid w:val="00B1263B"/>
    <w:rsid w:val="00B12B51"/>
    <w:rsid w:val="00B131AC"/>
    <w:rsid w:val="00B13B52"/>
    <w:rsid w:val="00B141C3"/>
    <w:rsid w:val="00B1538C"/>
    <w:rsid w:val="00B16230"/>
    <w:rsid w:val="00B165E3"/>
    <w:rsid w:val="00B17461"/>
    <w:rsid w:val="00B17475"/>
    <w:rsid w:val="00B17D41"/>
    <w:rsid w:val="00B20997"/>
    <w:rsid w:val="00B20A75"/>
    <w:rsid w:val="00B20D04"/>
    <w:rsid w:val="00B22AF2"/>
    <w:rsid w:val="00B23872"/>
    <w:rsid w:val="00B24722"/>
    <w:rsid w:val="00B247E8"/>
    <w:rsid w:val="00B24A62"/>
    <w:rsid w:val="00B265FC"/>
    <w:rsid w:val="00B26686"/>
    <w:rsid w:val="00B31E2B"/>
    <w:rsid w:val="00B32CA0"/>
    <w:rsid w:val="00B3320B"/>
    <w:rsid w:val="00B3371E"/>
    <w:rsid w:val="00B33A3B"/>
    <w:rsid w:val="00B348E9"/>
    <w:rsid w:val="00B3494A"/>
    <w:rsid w:val="00B34C86"/>
    <w:rsid w:val="00B3585A"/>
    <w:rsid w:val="00B370B3"/>
    <w:rsid w:val="00B3718B"/>
    <w:rsid w:val="00B37321"/>
    <w:rsid w:val="00B376B5"/>
    <w:rsid w:val="00B40108"/>
    <w:rsid w:val="00B40321"/>
    <w:rsid w:val="00B408C2"/>
    <w:rsid w:val="00B40FF0"/>
    <w:rsid w:val="00B41639"/>
    <w:rsid w:val="00B41F5E"/>
    <w:rsid w:val="00B427D3"/>
    <w:rsid w:val="00B43688"/>
    <w:rsid w:val="00B44944"/>
    <w:rsid w:val="00B454CA"/>
    <w:rsid w:val="00B45C15"/>
    <w:rsid w:val="00B45E26"/>
    <w:rsid w:val="00B46F1A"/>
    <w:rsid w:val="00B511A2"/>
    <w:rsid w:val="00B5131A"/>
    <w:rsid w:val="00B51917"/>
    <w:rsid w:val="00B52E1A"/>
    <w:rsid w:val="00B52E49"/>
    <w:rsid w:val="00B53518"/>
    <w:rsid w:val="00B538AF"/>
    <w:rsid w:val="00B54292"/>
    <w:rsid w:val="00B55A24"/>
    <w:rsid w:val="00B560A5"/>
    <w:rsid w:val="00B573B2"/>
    <w:rsid w:val="00B60C13"/>
    <w:rsid w:val="00B60DA2"/>
    <w:rsid w:val="00B6136C"/>
    <w:rsid w:val="00B613F7"/>
    <w:rsid w:val="00B61A58"/>
    <w:rsid w:val="00B6290C"/>
    <w:rsid w:val="00B633A1"/>
    <w:rsid w:val="00B6362C"/>
    <w:rsid w:val="00B63F97"/>
    <w:rsid w:val="00B64079"/>
    <w:rsid w:val="00B66435"/>
    <w:rsid w:val="00B66566"/>
    <w:rsid w:val="00B66CD7"/>
    <w:rsid w:val="00B7029D"/>
    <w:rsid w:val="00B7111D"/>
    <w:rsid w:val="00B71FD9"/>
    <w:rsid w:val="00B722AC"/>
    <w:rsid w:val="00B72368"/>
    <w:rsid w:val="00B72767"/>
    <w:rsid w:val="00B73475"/>
    <w:rsid w:val="00B744D2"/>
    <w:rsid w:val="00B7536D"/>
    <w:rsid w:val="00B755A3"/>
    <w:rsid w:val="00B759BF"/>
    <w:rsid w:val="00B75AE1"/>
    <w:rsid w:val="00B75F3A"/>
    <w:rsid w:val="00B76D3C"/>
    <w:rsid w:val="00B80759"/>
    <w:rsid w:val="00B818D0"/>
    <w:rsid w:val="00B81C62"/>
    <w:rsid w:val="00B830B2"/>
    <w:rsid w:val="00B83C25"/>
    <w:rsid w:val="00B83F8D"/>
    <w:rsid w:val="00B8401B"/>
    <w:rsid w:val="00B8576B"/>
    <w:rsid w:val="00B85B2E"/>
    <w:rsid w:val="00B90DD6"/>
    <w:rsid w:val="00B91A0F"/>
    <w:rsid w:val="00B924A1"/>
    <w:rsid w:val="00B92909"/>
    <w:rsid w:val="00B92AD2"/>
    <w:rsid w:val="00B930C7"/>
    <w:rsid w:val="00B9327C"/>
    <w:rsid w:val="00B94854"/>
    <w:rsid w:val="00B969A7"/>
    <w:rsid w:val="00B978DF"/>
    <w:rsid w:val="00B97AC8"/>
    <w:rsid w:val="00BA0557"/>
    <w:rsid w:val="00BA0A73"/>
    <w:rsid w:val="00BA0B61"/>
    <w:rsid w:val="00BA2434"/>
    <w:rsid w:val="00BA2D7E"/>
    <w:rsid w:val="00BA5271"/>
    <w:rsid w:val="00BA5709"/>
    <w:rsid w:val="00BA6755"/>
    <w:rsid w:val="00BA6A90"/>
    <w:rsid w:val="00BA7098"/>
    <w:rsid w:val="00BA7504"/>
    <w:rsid w:val="00BB2224"/>
    <w:rsid w:val="00BB26A0"/>
    <w:rsid w:val="00BB440F"/>
    <w:rsid w:val="00BB458D"/>
    <w:rsid w:val="00BB46C0"/>
    <w:rsid w:val="00BB4DDD"/>
    <w:rsid w:val="00BB5759"/>
    <w:rsid w:val="00BB6586"/>
    <w:rsid w:val="00BB6D2D"/>
    <w:rsid w:val="00BB7A8F"/>
    <w:rsid w:val="00BC0CCE"/>
    <w:rsid w:val="00BC0F67"/>
    <w:rsid w:val="00BC1A41"/>
    <w:rsid w:val="00BC1B66"/>
    <w:rsid w:val="00BC25A4"/>
    <w:rsid w:val="00BC3494"/>
    <w:rsid w:val="00BC404C"/>
    <w:rsid w:val="00BC4D4B"/>
    <w:rsid w:val="00BC546A"/>
    <w:rsid w:val="00BC5FED"/>
    <w:rsid w:val="00BC62D3"/>
    <w:rsid w:val="00BC74D8"/>
    <w:rsid w:val="00BC7D3E"/>
    <w:rsid w:val="00BD05C3"/>
    <w:rsid w:val="00BD0FD6"/>
    <w:rsid w:val="00BD19C2"/>
    <w:rsid w:val="00BD2F33"/>
    <w:rsid w:val="00BD2F6F"/>
    <w:rsid w:val="00BD4191"/>
    <w:rsid w:val="00BD48AC"/>
    <w:rsid w:val="00BD49F4"/>
    <w:rsid w:val="00BD4C83"/>
    <w:rsid w:val="00BD5506"/>
    <w:rsid w:val="00BE02E6"/>
    <w:rsid w:val="00BE09E4"/>
    <w:rsid w:val="00BE2C9F"/>
    <w:rsid w:val="00BE4558"/>
    <w:rsid w:val="00BE49B5"/>
    <w:rsid w:val="00BE53D1"/>
    <w:rsid w:val="00BE6018"/>
    <w:rsid w:val="00BE7AE4"/>
    <w:rsid w:val="00BF0A13"/>
    <w:rsid w:val="00BF10A2"/>
    <w:rsid w:val="00BF54E2"/>
    <w:rsid w:val="00BF5972"/>
    <w:rsid w:val="00BF5F6E"/>
    <w:rsid w:val="00C00413"/>
    <w:rsid w:val="00C00FA3"/>
    <w:rsid w:val="00C013DE"/>
    <w:rsid w:val="00C01D84"/>
    <w:rsid w:val="00C02156"/>
    <w:rsid w:val="00C02819"/>
    <w:rsid w:val="00C02CC9"/>
    <w:rsid w:val="00C04C14"/>
    <w:rsid w:val="00C04D57"/>
    <w:rsid w:val="00C056EE"/>
    <w:rsid w:val="00C061A2"/>
    <w:rsid w:val="00C06821"/>
    <w:rsid w:val="00C072FD"/>
    <w:rsid w:val="00C102E9"/>
    <w:rsid w:val="00C10ED2"/>
    <w:rsid w:val="00C117D4"/>
    <w:rsid w:val="00C11C13"/>
    <w:rsid w:val="00C12AE7"/>
    <w:rsid w:val="00C138FE"/>
    <w:rsid w:val="00C14017"/>
    <w:rsid w:val="00C14967"/>
    <w:rsid w:val="00C14A04"/>
    <w:rsid w:val="00C1566E"/>
    <w:rsid w:val="00C164B4"/>
    <w:rsid w:val="00C1671A"/>
    <w:rsid w:val="00C16FEE"/>
    <w:rsid w:val="00C206A1"/>
    <w:rsid w:val="00C209CA"/>
    <w:rsid w:val="00C2263A"/>
    <w:rsid w:val="00C233D3"/>
    <w:rsid w:val="00C25236"/>
    <w:rsid w:val="00C2626B"/>
    <w:rsid w:val="00C30833"/>
    <w:rsid w:val="00C31511"/>
    <w:rsid w:val="00C337F1"/>
    <w:rsid w:val="00C34271"/>
    <w:rsid w:val="00C344E9"/>
    <w:rsid w:val="00C352B5"/>
    <w:rsid w:val="00C365E0"/>
    <w:rsid w:val="00C37F2A"/>
    <w:rsid w:val="00C40149"/>
    <w:rsid w:val="00C4125E"/>
    <w:rsid w:val="00C42D59"/>
    <w:rsid w:val="00C44D27"/>
    <w:rsid w:val="00C45182"/>
    <w:rsid w:val="00C4561F"/>
    <w:rsid w:val="00C46C32"/>
    <w:rsid w:val="00C471C5"/>
    <w:rsid w:val="00C4728E"/>
    <w:rsid w:val="00C50155"/>
    <w:rsid w:val="00C511BA"/>
    <w:rsid w:val="00C514F2"/>
    <w:rsid w:val="00C515CA"/>
    <w:rsid w:val="00C52332"/>
    <w:rsid w:val="00C523CB"/>
    <w:rsid w:val="00C52955"/>
    <w:rsid w:val="00C52B56"/>
    <w:rsid w:val="00C55050"/>
    <w:rsid w:val="00C557B0"/>
    <w:rsid w:val="00C55B20"/>
    <w:rsid w:val="00C5679E"/>
    <w:rsid w:val="00C568E3"/>
    <w:rsid w:val="00C602B7"/>
    <w:rsid w:val="00C60984"/>
    <w:rsid w:val="00C61318"/>
    <w:rsid w:val="00C61626"/>
    <w:rsid w:val="00C62356"/>
    <w:rsid w:val="00C633EC"/>
    <w:rsid w:val="00C64B81"/>
    <w:rsid w:val="00C659CB"/>
    <w:rsid w:val="00C6645C"/>
    <w:rsid w:val="00C67045"/>
    <w:rsid w:val="00C705A2"/>
    <w:rsid w:val="00C70F7A"/>
    <w:rsid w:val="00C75286"/>
    <w:rsid w:val="00C75D17"/>
    <w:rsid w:val="00C76811"/>
    <w:rsid w:val="00C76E49"/>
    <w:rsid w:val="00C800BC"/>
    <w:rsid w:val="00C81409"/>
    <w:rsid w:val="00C8147C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978C3"/>
    <w:rsid w:val="00CA06E0"/>
    <w:rsid w:val="00CA1451"/>
    <w:rsid w:val="00CA17C0"/>
    <w:rsid w:val="00CA21CB"/>
    <w:rsid w:val="00CA39AE"/>
    <w:rsid w:val="00CA3A25"/>
    <w:rsid w:val="00CA53F7"/>
    <w:rsid w:val="00CA6034"/>
    <w:rsid w:val="00CA643C"/>
    <w:rsid w:val="00CA71E0"/>
    <w:rsid w:val="00CA72C2"/>
    <w:rsid w:val="00CA78C3"/>
    <w:rsid w:val="00CB226B"/>
    <w:rsid w:val="00CB23D1"/>
    <w:rsid w:val="00CB26FE"/>
    <w:rsid w:val="00CB28E8"/>
    <w:rsid w:val="00CB3671"/>
    <w:rsid w:val="00CB4254"/>
    <w:rsid w:val="00CB6490"/>
    <w:rsid w:val="00CB6CEF"/>
    <w:rsid w:val="00CB7231"/>
    <w:rsid w:val="00CB7FB7"/>
    <w:rsid w:val="00CC2B97"/>
    <w:rsid w:val="00CC2ED4"/>
    <w:rsid w:val="00CC47DE"/>
    <w:rsid w:val="00CC4CFB"/>
    <w:rsid w:val="00CC4FD2"/>
    <w:rsid w:val="00CC5A60"/>
    <w:rsid w:val="00CC621B"/>
    <w:rsid w:val="00CC659B"/>
    <w:rsid w:val="00CC7115"/>
    <w:rsid w:val="00CD08B1"/>
    <w:rsid w:val="00CD09EB"/>
    <w:rsid w:val="00CD1A3D"/>
    <w:rsid w:val="00CD1EA6"/>
    <w:rsid w:val="00CD28EC"/>
    <w:rsid w:val="00CD2F70"/>
    <w:rsid w:val="00CD5D60"/>
    <w:rsid w:val="00CD6062"/>
    <w:rsid w:val="00CD6610"/>
    <w:rsid w:val="00CD668A"/>
    <w:rsid w:val="00CD6824"/>
    <w:rsid w:val="00CD7BDE"/>
    <w:rsid w:val="00CE0080"/>
    <w:rsid w:val="00CE0A62"/>
    <w:rsid w:val="00CE15FC"/>
    <w:rsid w:val="00CE2E8F"/>
    <w:rsid w:val="00CE3DFD"/>
    <w:rsid w:val="00CE6601"/>
    <w:rsid w:val="00CE663F"/>
    <w:rsid w:val="00CE6F7B"/>
    <w:rsid w:val="00CE7178"/>
    <w:rsid w:val="00CE7715"/>
    <w:rsid w:val="00CF20E0"/>
    <w:rsid w:val="00CF2284"/>
    <w:rsid w:val="00CF314C"/>
    <w:rsid w:val="00CF33EC"/>
    <w:rsid w:val="00CF4664"/>
    <w:rsid w:val="00CF6508"/>
    <w:rsid w:val="00CF6F43"/>
    <w:rsid w:val="00CF7D0A"/>
    <w:rsid w:val="00D005AE"/>
    <w:rsid w:val="00D01B1B"/>
    <w:rsid w:val="00D022F4"/>
    <w:rsid w:val="00D02DDD"/>
    <w:rsid w:val="00D0313B"/>
    <w:rsid w:val="00D06A9A"/>
    <w:rsid w:val="00D06B51"/>
    <w:rsid w:val="00D07AD1"/>
    <w:rsid w:val="00D10B4A"/>
    <w:rsid w:val="00D117F4"/>
    <w:rsid w:val="00D11E31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1AF1"/>
    <w:rsid w:val="00D223B9"/>
    <w:rsid w:val="00D2245A"/>
    <w:rsid w:val="00D22F82"/>
    <w:rsid w:val="00D23799"/>
    <w:rsid w:val="00D25903"/>
    <w:rsid w:val="00D259D9"/>
    <w:rsid w:val="00D2658A"/>
    <w:rsid w:val="00D26908"/>
    <w:rsid w:val="00D30BE4"/>
    <w:rsid w:val="00D320B9"/>
    <w:rsid w:val="00D3261D"/>
    <w:rsid w:val="00D338C9"/>
    <w:rsid w:val="00D35A69"/>
    <w:rsid w:val="00D35B77"/>
    <w:rsid w:val="00D3743E"/>
    <w:rsid w:val="00D37C44"/>
    <w:rsid w:val="00D40505"/>
    <w:rsid w:val="00D4094E"/>
    <w:rsid w:val="00D416FB"/>
    <w:rsid w:val="00D42A63"/>
    <w:rsid w:val="00D42BC8"/>
    <w:rsid w:val="00D42EB1"/>
    <w:rsid w:val="00D42F11"/>
    <w:rsid w:val="00D43D68"/>
    <w:rsid w:val="00D44BDF"/>
    <w:rsid w:val="00D451E2"/>
    <w:rsid w:val="00D459D8"/>
    <w:rsid w:val="00D466AD"/>
    <w:rsid w:val="00D50AC8"/>
    <w:rsid w:val="00D50C33"/>
    <w:rsid w:val="00D51874"/>
    <w:rsid w:val="00D51AE0"/>
    <w:rsid w:val="00D52977"/>
    <w:rsid w:val="00D52C37"/>
    <w:rsid w:val="00D536E5"/>
    <w:rsid w:val="00D5488D"/>
    <w:rsid w:val="00D5512E"/>
    <w:rsid w:val="00D56332"/>
    <w:rsid w:val="00D56644"/>
    <w:rsid w:val="00D56811"/>
    <w:rsid w:val="00D56C77"/>
    <w:rsid w:val="00D577C0"/>
    <w:rsid w:val="00D57E69"/>
    <w:rsid w:val="00D60E10"/>
    <w:rsid w:val="00D617D3"/>
    <w:rsid w:val="00D61E6A"/>
    <w:rsid w:val="00D626FE"/>
    <w:rsid w:val="00D62829"/>
    <w:rsid w:val="00D63392"/>
    <w:rsid w:val="00D63C6C"/>
    <w:rsid w:val="00D63FF6"/>
    <w:rsid w:val="00D6447A"/>
    <w:rsid w:val="00D645E5"/>
    <w:rsid w:val="00D657C3"/>
    <w:rsid w:val="00D664EF"/>
    <w:rsid w:val="00D6682B"/>
    <w:rsid w:val="00D67676"/>
    <w:rsid w:val="00D71B62"/>
    <w:rsid w:val="00D71CA0"/>
    <w:rsid w:val="00D726CA"/>
    <w:rsid w:val="00D732EB"/>
    <w:rsid w:val="00D73CC6"/>
    <w:rsid w:val="00D76ED4"/>
    <w:rsid w:val="00D776F9"/>
    <w:rsid w:val="00D77BB4"/>
    <w:rsid w:val="00D80596"/>
    <w:rsid w:val="00D80DA9"/>
    <w:rsid w:val="00D810EF"/>
    <w:rsid w:val="00D81697"/>
    <w:rsid w:val="00D82263"/>
    <w:rsid w:val="00D83A01"/>
    <w:rsid w:val="00D840BB"/>
    <w:rsid w:val="00D84314"/>
    <w:rsid w:val="00D84EF3"/>
    <w:rsid w:val="00D8598F"/>
    <w:rsid w:val="00D85C61"/>
    <w:rsid w:val="00D8718F"/>
    <w:rsid w:val="00D872EC"/>
    <w:rsid w:val="00D904E2"/>
    <w:rsid w:val="00D91BD0"/>
    <w:rsid w:val="00D9600A"/>
    <w:rsid w:val="00D9766D"/>
    <w:rsid w:val="00DA0150"/>
    <w:rsid w:val="00DA098D"/>
    <w:rsid w:val="00DA3545"/>
    <w:rsid w:val="00DA3817"/>
    <w:rsid w:val="00DA3EC0"/>
    <w:rsid w:val="00DA6BA6"/>
    <w:rsid w:val="00DA6BB2"/>
    <w:rsid w:val="00DA779D"/>
    <w:rsid w:val="00DA7BFE"/>
    <w:rsid w:val="00DB0CE7"/>
    <w:rsid w:val="00DB123E"/>
    <w:rsid w:val="00DB198F"/>
    <w:rsid w:val="00DB2187"/>
    <w:rsid w:val="00DB2358"/>
    <w:rsid w:val="00DB54CD"/>
    <w:rsid w:val="00DB5C2A"/>
    <w:rsid w:val="00DB6886"/>
    <w:rsid w:val="00DB78F3"/>
    <w:rsid w:val="00DB7C43"/>
    <w:rsid w:val="00DB7E47"/>
    <w:rsid w:val="00DC0253"/>
    <w:rsid w:val="00DC02D0"/>
    <w:rsid w:val="00DC0419"/>
    <w:rsid w:val="00DC0D97"/>
    <w:rsid w:val="00DC1E23"/>
    <w:rsid w:val="00DC2BD1"/>
    <w:rsid w:val="00DC2BEF"/>
    <w:rsid w:val="00DC3951"/>
    <w:rsid w:val="00DC4694"/>
    <w:rsid w:val="00DC568E"/>
    <w:rsid w:val="00DC60D8"/>
    <w:rsid w:val="00DC645F"/>
    <w:rsid w:val="00DC64C1"/>
    <w:rsid w:val="00DC6E83"/>
    <w:rsid w:val="00DD0237"/>
    <w:rsid w:val="00DD0B68"/>
    <w:rsid w:val="00DD1393"/>
    <w:rsid w:val="00DD2FD8"/>
    <w:rsid w:val="00DD4535"/>
    <w:rsid w:val="00DD5103"/>
    <w:rsid w:val="00DD5180"/>
    <w:rsid w:val="00DD5689"/>
    <w:rsid w:val="00DD6395"/>
    <w:rsid w:val="00DD6B4F"/>
    <w:rsid w:val="00DD6CDA"/>
    <w:rsid w:val="00DD7BB0"/>
    <w:rsid w:val="00DE20FD"/>
    <w:rsid w:val="00DE37BA"/>
    <w:rsid w:val="00DE3FAB"/>
    <w:rsid w:val="00DE4597"/>
    <w:rsid w:val="00DE47EA"/>
    <w:rsid w:val="00DE4A48"/>
    <w:rsid w:val="00DF016C"/>
    <w:rsid w:val="00DF0A57"/>
    <w:rsid w:val="00DF134E"/>
    <w:rsid w:val="00DF2211"/>
    <w:rsid w:val="00DF2D34"/>
    <w:rsid w:val="00DF3F0B"/>
    <w:rsid w:val="00DF4FAB"/>
    <w:rsid w:val="00DF51AC"/>
    <w:rsid w:val="00DF5EE2"/>
    <w:rsid w:val="00DF6BD5"/>
    <w:rsid w:val="00DF74B1"/>
    <w:rsid w:val="00DF7AB5"/>
    <w:rsid w:val="00E00E05"/>
    <w:rsid w:val="00E0245B"/>
    <w:rsid w:val="00E025F6"/>
    <w:rsid w:val="00E027AF"/>
    <w:rsid w:val="00E0289C"/>
    <w:rsid w:val="00E06AEC"/>
    <w:rsid w:val="00E135E0"/>
    <w:rsid w:val="00E156E9"/>
    <w:rsid w:val="00E15BC1"/>
    <w:rsid w:val="00E169AB"/>
    <w:rsid w:val="00E200A2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27CA3"/>
    <w:rsid w:val="00E303B5"/>
    <w:rsid w:val="00E30634"/>
    <w:rsid w:val="00E30674"/>
    <w:rsid w:val="00E30E54"/>
    <w:rsid w:val="00E30F4A"/>
    <w:rsid w:val="00E32969"/>
    <w:rsid w:val="00E33BB0"/>
    <w:rsid w:val="00E351F3"/>
    <w:rsid w:val="00E35489"/>
    <w:rsid w:val="00E35975"/>
    <w:rsid w:val="00E36CFE"/>
    <w:rsid w:val="00E41482"/>
    <w:rsid w:val="00E41996"/>
    <w:rsid w:val="00E42251"/>
    <w:rsid w:val="00E43EC3"/>
    <w:rsid w:val="00E43F5C"/>
    <w:rsid w:val="00E44021"/>
    <w:rsid w:val="00E44D18"/>
    <w:rsid w:val="00E4607E"/>
    <w:rsid w:val="00E46C97"/>
    <w:rsid w:val="00E50699"/>
    <w:rsid w:val="00E51908"/>
    <w:rsid w:val="00E523D6"/>
    <w:rsid w:val="00E52D6B"/>
    <w:rsid w:val="00E535A7"/>
    <w:rsid w:val="00E53D71"/>
    <w:rsid w:val="00E54382"/>
    <w:rsid w:val="00E57BBC"/>
    <w:rsid w:val="00E60FB5"/>
    <w:rsid w:val="00E62C37"/>
    <w:rsid w:val="00E6308B"/>
    <w:rsid w:val="00E63CD6"/>
    <w:rsid w:val="00E64FEB"/>
    <w:rsid w:val="00E653BD"/>
    <w:rsid w:val="00E671F1"/>
    <w:rsid w:val="00E70634"/>
    <w:rsid w:val="00E7123D"/>
    <w:rsid w:val="00E7274A"/>
    <w:rsid w:val="00E743A1"/>
    <w:rsid w:val="00E74874"/>
    <w:rsid w:val="00E748D5"/>
    <w:rsid w:val="00E7510E"/>
    <w:rsid w:val="00E751E0"/>
    <w:rsid w:val="00E768ED"/>
    <w:rsid w:val="00E76963"/>
    <w:rsid w:val="00E81666"/>
    <w:rsid w:val="00E81C25"/>
    <w:rsid w:val="00E851D5"/>
    <w:rsid w:val="00E85941"/>
    <w:rsid w:val="00E86930"/>
    <w:rsid w:val="00E90103"/>
    <w:rsid w:val="00E911C0"/>
    <w:rsid w:val="00E92AC3"/>
    <w:rsid w:val="00E936AD"/>
    <w:rsid w:val="00E93DA3"/>
    <w:rsid w:val="00E949D9"/>
    <w:rsid w:val="00E95092"/>
    <w:rsid w:val="00E9512B"/>
    <w:rsid w:val="00E95320"/>
    <w:rsid w:val="00E96304"/>
    <w:rsid w:val="00EA0E9C"/>
    <w:rsid w:val="00EA160C"/>
    <w:rsid w:val="00EA3D33"/>
    <w:rsid w:val="00EA637E"/>
    <w:rsid w:val="00EA79A3"/>
    <w:rsid w:val="00EB13E2"/>
    <w:rsid w:val="00EB153A"/>
    <w:rsid w:val="00EB17B1"/>
    <w:rsid w:val="00EB201B"/>
    <w:rsid w:val="00EB2192"/>
    <w:rsid w:val="00EB2335"/>
    <w:rsid w:val="00EB342F"/>
    <w:rsid w:val="00EB346B"/>
    <w:rsid w:val="00EB3CBD"/>
    <w:rsid w:val="00EB44AC"/>
    <w:rsid w:val="00EB4992"/>
    <w:rsid w:val="00EB4FA1"/>
    <w:rsid w:val="00EB5383"/>
    <w:rsid w:val="00EC051F"/>
    <w:rsid w:val="00EC1199"/>
    <w:rsid w:val="00EC1516"/>
    <w:rsid w:val="00EC158B"/>
    <w:rsid w:val="00EC245F"/>
    <w:rsid w:val="00EC3EDF"/>
    <w:rsid w:val="00EC40EE"/>
    <w:rsid w:val="00EC4209"/>
    <w:rsid w:val="00EC4B9E"/>
    <w:rsid w:val="00EC4DBD"/>
    <w:rsid w:val="00EC664E"/>
    <w:rsid w:val="00EC68F8"/>
    <w:rsid w:val="00EC69D5"/>
    <w:rsid w:val="00EC6A9A"/>
    <w:rsid w:val="00EC6FEB"/>
    <w:rsid w:val="00EC7407"/>
    <w:rsid w:val="00ED0436"/>
    <w:rsid w:val="00ED0EF5"/>
    <w:rsid w:val="00ED15DF"/>
    <w:rsid w:val="00ED1BE7"/>
    <w:rsid w:val="00ED24B0"/>
    <w:rsid w:val="00ED2719"/>
    <w:rsid w:val="00ED3357"/>
    <w:rsid w:val="00ED5736"/>
    <w:rsid w:val="00ED759A"/>
    <w:rsid w:val="00EE2BE4"/>
    <w:rsid w:val="00EE2C96"/>
    <w:rsid w:val="00EE3CD2"/>
    <w:rsid w:val="00EE6477"/>
    <w:rsid w:val="00EE70F2"/>
    <w:rsid w:val="00EE78A9"/>
    <w:rsid w:val="00EF0AB5"/>
    <w:rsid w:val="00EF0D93"/>
    <w:rsid w:val="00EF0ED2"/>
    <w:rsid w:val="00EF2891"/>
    <w:rsid w:val="00EF3A02"/>
    <w:rsid w:val="00EF3ADF"/>
    <w:rsid w:val="00EF4E96"/>
    <w:rsid w:val="00EF5AB4"/>
    <w:rsid w:val="00EF5C69"/>
    <w:rsid w:val="00EF5F03"/>
    <w:rsid w:val="00EF6309"/>
    <w:rsid w:val="00EF6716"/>
    <w:rsid w:val="00EF67FA"/>
    <w:rsid w:val="00EF6845"/>
    <w:rsid w:val="00EF7912"/>
    <w:rsid w:val="00F005D3"/>
    <w:rsid w:val="00F00A26"/>
    <w:rsid w:val="00F021AC"/>
    <w:rsid w:val="00F02862"/>
    <w:rsid w:val="00F02FD5"/>
    <w:rsid w:val="00F042DD"/>
    <w:rsid w:val="00F0587B"/>
    <w:rsid w:val="00F069A2"/>
    <w:rsid w:val="00F06D84"/>
    <w:rsid w:val="00F100DB"/>
    <w:rsid w:val="00F107D2"/>
    <w:rsid w:val="00F1098F"/>
    <w:rsid w:val="00F111A3"/>
    <w:rsid w:val="00F1246B"/>
    <w:rsid w:val="00F129A4"/>
    <w:rsid w:val="00F13169"/>
    <w:rsid w:val="00F13661"/>
    <w:rsid w:val="00F13E3D"/>
    <w:rsid w:val="00F14233"/>
    <w:rsid w:val="00F144FB"/>
    <w:rsid w:val="00F15052"/>
    <w:rsid w:val="00F1556A"/>
    <w:rsid w:val="00F15704"/>
    <w:rsid w:val="00F163C9"/>
    <w:rsid w:val="00F164EA"/>
    <w:rsid w:val="00F1672E"/>
    <w:rsid w:val="00F16D57"/>
    <w:rsid w:val="00F172C5"/>
    <w:rsid w:val="00F1754C"/>
    <w:rsid w:val="00F20CB4"/>
    <w:rsid w:val="00F20F95"/>
    <w:rsid w:val="00F2138F"/>
    <w:rsid w:val="00F225C9"/>
    <w:rsid w:val="00F23367"/>
    <w:rsid w:val="00F23FB2"/>
    <w:rsid w:val="00F25045"/>
    <w:rsid w:val="00F26176"/>
    <w:rsid w:val="00F26A4B"/>
    <w:rsid w:val="00F26B85"/>
    <w:rsid w:val="00F276ED"/>
    <w:rsid w:val="00F278F7"/>
    <w:rsid w:val="00F308B2"/>
    <w:rsid w:val="00F31DE9"/>
    <w:rsid w:val="00F32530"/>
    <w:rsid w:val="00F32B69"/>
    <w:rsid w:val="00F3358B"/>
    <w:rsid w:val="00F35297"/>
    <w:rsid w:val="00F3612F"/>
    <w:rsid w:val="00F373DE"/>
    <w:rsid w:val="00F400EA"/>
    <w:rsid w:val="00F40AEE"/>
    <w:rsid w:val="00F41CCD"/>
    <w:rsid w:val="00F43C03"/>
    <w:rsid w:val="00F45C5D"/>
    <w:rsid w:val="00F479A2"/>
    <w:rsid w:val="00F47BD2"/>
    <w:rsid w:val="00F50CC2"/>
    <w:rsid w:val="00F53005"/>
    <w:rsid w:val="00F532AE"/>
    <w:rsid w:val="00F54141"/>
    <w:rsid w:val="00F54782"/>
    <w:rsid w:val="00F55162"/>
    <w:rsid w:val="00F55A51"/>
    <w:rsid w:val="00F62020"/>
    <w:rsid w:val="00F62C09"/>
    <w:rsid w:val="00F63B6D"/>
    <w:rsid w:val="00F646EE"/>
    <w:rsid w:val="00F647D9"/>
    <w:rsid w:val="00F64CE4"/>
    <w:rsid w:val="00F65266"/>
    <w:rsid w:val="00F6635E"/>
    <w:rsid w:val="00F668F9"/>
    <w:rsid w:val="00F703CD"/>
    <w:rsid w:val="00F703E5"/>
    <w:rsid w:val="00F70C6C"/>
    <w:rsid w:val="00F729E1"/>
    <w:rsid w:val="00F7314C"/>
    <w:rsid w:val="00F7457E"/>
    <w:rsid w:val="00F74A27"/>
    <w:rsid w:val="00F7706C"/>
    <w:rsid w:val="00F80BA9"/>
    <w:rsid w:val="00F81E87"/>
    <w:rsid w:val="00F824AC"/>
    <w:rsid w:val="00F83DBE"/>
    <w:rsid w:val="00F85997"/>
    <w:rsid w:val="00F86F40"/>
    <w:rsid w:val="00F87B73"/>
    <w:rsid w:val="00F911B3"/>
    <w:rsid w:val="00F914B2"/>
    <w:rsid w:val="00F91E41"/>
    <w:rsid w:val="00F927D4"/>
    <w:rsid w:val="00F928C8"/>
    <w:rsid w:val="00F92E66"/>
    <w:rsid w:val="00F92F6E"/>
    <w:rsid w:val="00F95137"/>
    <w:rsid w:val="00F9513C"/>
    <w:rsid w:val="00F9543B"/>
    <w:rsid w:val="00F95A36"/>
    <w:rsid w:val="00F95B43"/>
    <w:rsid w:val="00FA0268"/>
    <w:rsid w:val="00FA05BA"/>
    <w:rsid w:val="00FA14EF"/>
    <w:rsid w:val="00FA1636"/>
    <w:rsid w:val="00FA3113"/>
    <w:rsid w:val="00FA348B"/>
    <w:rsid w:val="00FA3AFB"/>
    <w:rsid w:val="00FA43C5"/>
    <w:rsid w:val="00FA509D"/>
    <w:rsid w:val="00FA519A"/>
    <w:rsid w:val="00FA5AC5"/>
    <w:rsid w:val="00FA6ED9"/>
    <w:rsid w:val="00FA776D"/>
    <w:rsid w:val="00FA77C3"/>
    <w:rsid w:val="00FB095E"/>
    <w:rsid w:val="00FB1A2B"/>
    <w:rsid w:val="00FB22DA"/>
    <w:rsid w:val="00FB29ED"/>
    <w:rsid w:val="00FB2D21"/>
    <w:rsid w:val="00FB3026"/>
    <w:rsid w:val="00FB42E3"/>
    <w:rsid w:val="00FB4E8E"/>
    <w:rsid w:val="00FB5DFF"/>
    <w:rsid w:val="00FB7A9A"/>
    <w:rsid w:val="00FC1185"/>
    <w:rsid w:val="00FC17EB"/>
    <w:rsid w:val="00FC1FF5"/>
    <w:rsid w:val="00FC2472"/>
    <w:rsid w:val="00FC4098"/>
    <w:rsid w:val="00FC4E73"/>
    <w:rsid w:val="00FC5638"/>
    <w:rsid w:val="00FC6E03"/>
    <w:rsid w:val="00FD0640"/>
    <w:rsid w:val="00FD37E9"/>
    <w:rsid w:val="00FD4101"/>
    <w:rsid w:val="00FD5929"/>
    <w:rsid w:val="00FD6F79"/>
    <w:rsid w:val="00FD7818"/>
    <w:rsid w:val="00FD782D"/>
    <w:rsid w:val="00FE0AA2"/>
    <w:rsid w:val="00FE0EA2"/>
    <w:rsid w:val="00FE12B6"/>
    <w:rsid w:val="00FE15EB"/>
    <w:rsid w:val="00FE1CEC"/>
    <w:rsid w:val="00FE2506"/>
    <w:rsid w:val="00FE26F6"/>
    <w:rsid w:val="00FE2C5C"/>
    <w:rsid w:val="00FE30AB"/>
    <w:rsid w:val="00FE70D2"/>
    <w:rsid w:val="00FE7426"/>
    <w:rsid w:val="00FF0A56"/>
    <w:rsid w:val="00FF3039"/>
    <w:rsid w:val="00FF3454"/>
    <w:rsid w:val="00FF3821"/>
    <w:rsid w:val="00FF3912"/>
    <w:rsid w:val="00FF3939"/>
    <w:rsid w:val="00FF479E"/>
    <w:rsid w:val="00FF5130"/>
    <w:rsid w:val="00FF562B"/>
    <w:rsid w:val="00FF56A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  <w15:docId w15:val="{84BA9C3B-83F3-4FE4-AD40-81B426A3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aliases w:val="Comment Reference (Czech Tourism)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paragraph" w:customStyle="1" w:styleId="Default">
    <w:name w:val="Default"/>
    <w:rsid w:val="000D16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EV0">
    <w:name w:val="NÁZEV"/>
    <w:basedOn w:val="Obsah1"/>
    <w:rsid w:val="00033FF2"/>
    <w:pPr>
      <w:tabs>
        <w:tab w:val="clear" w:pos="426"/>
        <w:tab w:val="clear" w:pos="9498"/>
        <w:tab w:val="left" w:pos="400"/>
        <w:tab w:val="left" w:pos="540"/>
        <w:tab w:val="right" w:leader="dot" w:pos="9062"/>
      </w:tabs>
      <w:spacing w:before="120"/>
      <w:ind w:left="540" w:hanging="540"/>
      <w:jc w:val="center"/>
    </w:pPr>
    <w:rPr>
      <w:rFonts w:ascii="Arial" w:eastAsiaTheme="minorEastAsia" w:hAnsi="Arial" w:cstheme="minorBidi"/>
      <w:b/>
      <w:bCs/>
      <w:caps/>
      <w:noProof w:val="0"/>
      <w:sz w:val="48"/>
      <w:szCs w:val="20"/>
    </w:rPr>
  </w:style>
  <w:style w:type="paragraph" w:customStyle="1" w:styleId="Normln11">
    <w:name w:val="Normální 11"/>
    <w:basedOn w:val="Normln"/>
    <w:rsid w:val="00033FF2"/>
    <w:pPr>
      <w:spacing w:after="0" w:line="240" w:lineRule="auto"/>
      <w:ind w:firstLine="360"/>
    </w:pPr>
    <w:rPr>
      <w:rFonts w:eastAsiaTheme="minorEastAsia" w:cstheme="minorBidi"/>
      <w:sz w:val="22"/>
      <w:szCs w:val="22"/>
    </w:rPr>
  </w:style>
  <w:style w:type="character" w:customStyle="1" w:styleId="ZpatChar2">
    <w:name w:val="Zápatí Char2"/>
    <w:uiPriority w:val="99"/>
    <w:locked/>
    <w:rsid w:val="00033FF2"/>
    <w:rPr>
      <w:sz w:val="24"/>
      <w:szCs w:val="24"/>
    </w:rPr>
  </w:style>
  <w:style w:type="character" w:customStyle="1" w:styleId="ZhlavChar2">
    <w:name w:val="Záhlaví Char2"/>
    <w:basedOn w:val="Standardnpsmoodstavce"/>
    <w:rsid w:val="00033FF2"/>
    <w:rPr>
      <w:rFonts w:ascii="Arial" w:hAnsi="Arial"/>
      <w:lang w:val="en-US"/>
    </w:rPr>
  </w:style>
  <w:style w:type="paragraph" w:customStyle="1" w:styleId="EARSmall">
    <w:name w:val="EAR Small"/>
    <w:basedOn w:val="Normln"/>
    <w:next w:val="Normln"/>
    <w:link w:val="EARSmallChar"/>
    <w:rsid w:val="00033FF2"/>
    <w:pPr>
      <w:spacing w:before="120" w:after="60" w:line="240" w:lineRule="auto"/>
    </w:pPr>
    <w:rPr>
      <w:rFonts w:ascii="Calibri" w:eastAsiaTheme="minorHAnsi" w:hAnsi="Calibri" w:cstheme="minorBidi"/>
      <w:sz w:val="18"/>
      <w:szCs w:val="22"/>
      <w:lang w:eastAsia="en-US"/>
    </w:rPr>
  </w:style>
  <w:style w:type="character" w:customStyle="1" w:styleId="EARSmallChar">
    <w:name w:val="EAR Small Char"/>
    <w:basedOn w:val="Standardnpsmoodstavce"/>
    <w:link w:val="EARSmall"/>
    <w:rsid w:val="00033FF2"/>
    <w:rPr>
      <w:rFonts w:ascii="Calibri" w:eastAsiaTheme="minorHAnsi" w:hAnsi="Calibri" w:cstheme="minorBidi"/>
      <w:sz w:val="18"/>
      <w:szCs w:val="22"/>
      <w:lang w:eastAsia="en-US"/>
    </w:rPr>
  </w:style>
  <w:style w:type="table" w:customStyle="1" w:styleId="EARTable">
    <w:name w:val="EAR Table"/>
    <w:basedOn w:val="Normlntabulka"/>
    <w:rsid w:val="00033FF2"/>
    <w:pPr>
      <w:ind w:firstLine="360"/>
    </w:pPr>
    <w:rPr>
      <w:rFonts w:asciiTheme="minorHAnsi" w:eastAsiaTheme="minorEastAsia" w:hAnsiTheme="minorHAnsi" w:cstheme="minorBid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CNadpis1">
    <w:name w:val="AC Nadpis 1"/>
    <w:basedOn w:val="Normln"/>
    <w:next w:val="Normln"/>
    <w:qFormat/>
    <w:rsid w:val="00033FF2"/>
    <w:pPr>
      <w:keepNext/>
      <w:pageBreakBefore/>
      <w:widowControl w:val="0"/>
      <w:numPr>
        <w:numId w:val="9"/>
      </w:numPr>
      <w:pBdr>
        <w:left w:val="single" w:sz="24" w:space="0" w:color="FF0000"/>
      </w:pBdr>
      <w:shd w:val="clear" w:color="auto" w:fill="D9D9D9" w:themeFill="background1" w:themeFillShade="D9"/>
      <w:spacing w:before="120" w:line="240" w:lineRule="auto"/>
      <w:outlineLvl w:val="0"/>
    </w:pPr>
    <w:rPr>
      <w:rFonts w:ascii="Calibri" w:hAnsi="Calibri"/>
      <w:caps/>
      <w:sz w:val="32"/>
      <w:szCs w:val="20"/>
    </w:rPr>
  </w:style>
  <w:style w:type="paragraph" w:customStyle="1" w:styleId="ACNadpis2">
    <w:name w:val="AC Nadpis 2"/>
    <w:basedOn w:val="Normln"/>
    <w:next w:val="Normln"/>
    <w:qFormat/>
    <w:rsid w:val="00033FF2"/>
    <w:pPr>
      <w:keepNext/>
      <w:numPr>
        <w:ilvl w:val="1"/>
        <w:numId w:val="9"/>
      </w:numPr>
      <w:pBdr>
        <w:bottom w:val="single" w:sz="12" w:space="1" w:color="7F7F7F" w:themeColor="text1" w:themeTint="80"/>
      </w:pBdr>
      <w:spacing w:before="240" w:line="240" w:lineRule="auto"/>
      <w:outlineLvl w:val="1"/>
    </w:pPr>
    <w:rPr>
      <w:rFonts w:ascii="Calibri" w:hAnsi="Calibri"/>
      <w:caps/>
      <w:sz w:val="28"/>
      <w:szCs w:val="20"/>
    </w:rPr>
  </w:style>
  <w:style w:type="paragraph" w:customStyle="1" w:styleId="ACNadpis3">
    <w:name w:val="AC Nadpis 3"/>
    <w:basedOn w:val="Normln"/>
    <w:next w:val="Normln"/>
    <w:qFormat/>
    <w:rsid w:val="00033FF2"/>
    <w:pPr>
      <w:keepNext/>
      <w:numPr>
        <w:ilvl w:val="2"/>
        <w:numId w:val="9"/>
      </w:numPr>
      <w:spacing w:before="240" w:line="240" w:lineRule="auto"/>
      <w:ind w:left="0"/>
      <w:outlineLvl w:val="2"/>
    </w:pPr>
    <w:rPr>
      <w:rFonts w:ascii="Calibri" w:hAnsi="Calibri"/>
      <w:b/>
      <w:caps/>
      <w:color w:val="404040" w:themeColor="text1" w:themeTint="BF"/>
      <w:sz w:val="24"/>
      <w:szCs w:val="20"/>
    </w:rPr>
  </w:style>
  <w:style w:type="numbering" w:customStyle="1" w:styleId="ACNadpis1-4">
    <w:name w:val="AC Nadpis 1-4"/>
    <w:basedOn w:val="Bezseznamu"/>
    <w:uiPriority w:val="99"/>
    <w:rsid w:val="00033FF2"/>
    <w:pPr>
      <w:numPr>
        <w:numId w:val="9"/>
      </w:numPr>
    </w:pPr>
  </w:style>
  <w:style w:type="paragraph" w:customStyle="1" w:styleId="ACNadpis4">
    <w:name w:val="AC Nadpis 4"/>
    <w:basedOn w:val="Normln"/>
    <w:next w:val="Normln"/>
    <w:rsid w:val="00033FF2"/>
    <w:pPr>
      <w:keepNext/>
      <w:numPr>
        <w:ilvl w:val="3"/>
        <w:numId w:val="9"/>
      </w:numPr>
      <w:spacing w:before="120" w:line="240" w:lineRule="auto"/>
      <w:outlineLvl w:val="3"/>
    </w:pPr>
    <w:rPr>
      <w:rFonts w:ascii="Calibri" w:hAnsi="Calibri"/>
      <w:b/>
      <w:color w:val="404040" w:themeColor="text1" w:themeTint="BF"/>
      <w:szCs w:val="20"/>
    </w:rPr>
  </w:style>
  <w:style w:type="character" w:customStyle="1" w:styleId="normaltextrun">
    <w:name w:val="normaltextrun"/>
    <w:basedOn w:val="Standardnpsmoodstavce"/>
    <w:rsid w:val="00033FF2"/>
  </w:style>
  <w:style w:type="character" w:customStyle="1" w:styleId="eop">
    <w:name w:val="eop"/>
    <w:basedOn w:val="Standardnpsmoodstavce"/>
    <w:rsid w:val="00033FF2"/>
  </w:style>
  <w:style w:type="paragraph" w:customStyle="1" w:styleId="Clanek11">
    <w:name w:val="Clanek 1.1"/>
    <w:basedOn w:val="Nadpis2"/>
    <w:link w:val="Clanek11Char"/>
    <w:qFormat/>
    <w:rsid w:val="00A84BD0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bCs/>
      <w:iCs/>
      <w:smallCaps w:val="0"/>
      <w:color w:val="auto"/>
      <w:spacing w:val="0"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A84BD0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sz w:val="22"/>
      <w:lang w:eastAsia="en-US"/>
    </w:rPr>
  </w:style>
  <w:style w:type="paragraph" w:customStyle="1" w:styleId="Claneki">
    <w:name w:val="Clanek (i)"/>
    <w:basedOn w:val="Normln"/>
    <w:qFormat/>
    <w:rsid w:val="00A84BD0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sz w:val="22"/>
      <w:lang w:eastAsia="en-US"/>
    </w:rPr>
  </w:style>
  <w:style w:type="character" w:customStyle="1" w:styleId="Clanek11Char">
    <w:name w:val="Clanek 1.1 Char"/>
    <w:link w:val="Clanek11"/>
    <w:locked/>
    <w:rsid w:val="00A84BD0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E4BF61F0528E419D13C366FD5AD1FB" ma:contentTypeVersion="6" ma:contentTypeDescription="Vytvoří nový dokument" ma:contentTypeScope="" ma:versionID="bfd68a852f6bf3dcd8074cb407e3c9ad">
  <xsd:schema xmlns:xsd="http://www.w3.org/2001/XMLSchema" xmlns:xs="http://www.w3.org/2001/XMLSchema" xmlns:p="http://schemas.microsoft.com/office/2006/metadata/properties" xmlns:ns2="5ec02a90-9916-44a8-b282-12d932ed8867" xmlns:ns3="75803e29-5db0-4595-8f10-49e953ca8981" targetNamespace="http://schemas.microsoft.com/office/2006/metadata/properties" ma:root="true" ma:fieldsID="6457ed0deac56c457ba3762e13a88103" ns2:_="" ns3:_="">
    <xsd:import namespace="5ec02a90-9916-44a8-b282-12d932ed8867"/>
    <xsd:import namespace="75803e29-5db0-4595-8f10-49e953ca8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02a90-9916-44a8-b282-12d932ed8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03e29-5db0-4595-8f10-49e953ca8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8E7F7-0319-4A55-B616-C53B698A8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790CF-5C94-4B77-A430-3A712CFDFFC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903E1B-49ED-4A4B-9643-081321F33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02a90-9916-44a8-b282-12d932ed8867"/>
    <ds:schemaRef ds:uri="75803e29-5db0-4595-8f10-49e953ca8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2179</Words>
  <Characters>12807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"Provozní integrační prostředí"</vt:lpstr>
    </vt:vector>
  </TitlesOfParts>
  <Company/>
  <LinksUpToDate>false</LinksUpToDate>
  <CharactersWithSpaces>14957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"Provozní integrační prostředí"</dc:title>
  <dc:creator>Križanovič Tomáš</dc:creator>
  <cp:lastModifiedBy>Najmanová Alena Ing. (MPSV)</cp:lastModifiedBy>
  <cp:revision>3</cp:revision>
  <cp:lastPrinted>2025-10-24T08:35:00Z</cp:lastPrinted>
  <dcterms:created xsi:type="dcterms:W3CDTF">2025-12-19T08:42:00Z</dcterms:created>
  <dcterms:modified xsi:type="dcterms:W3CDTF">2026-01-05T08:59:00Z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0x0101006DE4BF61F0528E419D13C366FD5AD1FB</vt:lpwstr>
  </property>
  <property fmtid="{D5CDD505-2E9C-101B-9397-08002B2CF9AE}" pid="3" name="Order">
    <vt:r8>9400</vt:r8>
  </property>
  <property fmtid="{D5CDD505-2E9C-101B-9397-08002B2CF9AE}" pid="4" name="ItemRetentionFormula">
    <vt:lpwstr/>
  </property>
  <property fmtid="{D5CDD505-2E9C-101B-9397-08002B2CF9AE}" pid="5" name="_dlc_policyId">
    <vt:lpwstr/>
  </property>
  <property fmtid="{D5CDD505-2E9C-101B-9397-08002B2CF9AE}" pid="6" name="_dlc_DocIdItemGuid">
    <vt:lpwstr>0c653ae8-f8b5-41b6-8383-e8c955bdc529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a7dd199a-7461-448c-9cd7-05c07fd49ca5_Enabled">
    <vt:lpwstr>true</vt:lpwstr>
  </property>
  <property fmtid="{D5CDD505-2E9C-101B-9397-08002B2CF9AE}" pid="14" name="MSIP_Label_a7dd199a-7461-448c-9cd7-05c07fd49ca5_SetDate">
    <vt:lpwstr>2025-11-05T12:40:06Z</vt:lpwstr>
  </property>
  <property fmtid="{D5CDD505-2E9C-101B-9397-08002B2CF9AE}" pid="15" name="MSIP_Label_a7dd199a-7461-448c-9cd7-05c07fd49ca5_Method">
    <vt:lpwstr>Privileged</vt:lpwstr>
  </property>
  <property fmtid="{D5CDD505-2E9C-101B-9397-08002B2CF9AE}" pid="16" name="MSIP_Label_a7dd199a-7461-448c-9cd7-05c07fd49ca5_Name">
    <vt:lpwstr>Veřejné informace (Public)</vt:lpwstr>
  </property>
  <property fmtid="{D5CDD505-2E9C-101B-9397-08002B2CF9AE}" pid="17" name="MSIP_Label_a7dd199a-7461-448c-9cd7-05c07fd49ca5_SiteId">
    <vt:lpwstr>0e9caf50-a549-4565-9c6d-4dc78e847c80</vt:lpwstr>
  </property>
  <property fmtid="{D5CDD505-2E9C-101B-9397-08002B2CF9AE}" pid="18" name="MSIP_Label_a7dd199a-7461-448c-9cd7-05c07fd49ca5_ActionId">
    <vt:lpwstr>5df046b6-0d05-4427-b011-79861b84a213</vt:lpwstr>
  </property>
  <property fmtid="{D5CDD505-2E9C-101B-9397-08002B2CF9AE}" pid="19" name="MSIP_Label_a7dd199a-7461-448c-9cd7-05c07fd49ca5_ContentBits">
    <vt:lpwstr>0</vt:lpwstr>
  </property>
  <property fmtid="{D5CDD505-2E9C-101B-9397-08002B2CF9AE}" pid="20" name="MSIP_Label_a7dd199a-7461-448c-9cd7-05c07fd49ca5_Tag">
    <vt:lpwstr>10, 0, 1, 1</vt:lpwstr>
  </property>
</Properties>
</file>