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DC8" w:rsidRDefault="00850DC8" w:rsidP="00850DC8">
      <w:pPr>
        <w:contextualSpacing/>
        <w:rPr>
          <w:rFonts w:ascii="Arial" w:hAnsi="Arial" w:cs="Arial"/>
          <w:b/>
          <w:color w:val="365F91" w:themeColor="accent1" w:themeShade="BF"/>
          <w:u w:val="single"/>
        </w:rPr>
      </w:pPr>
      <w:r w:rsidRPr="00B72E57">
        <w:rPr>
          <w:rFonts w:ascii="Arial" w:hAnsi="Arial" w:cs="Arial"/>
          <w:b/>
          <w:color w:val="365F91" w:themeColor="accent1" w:themeShade="BF"/>
          <w:u w:val="single"/>
        </w:rPr>
        <w:t>Nabídka</w:t>
      </w:r>
      <w:r w:rsidR="00EB0789">
        <w:rPr>
          <w:rFonts w:ascii="Arial" w:hAnsi="Arial" w:cs="Arial"/>
          <w:b/>
          <w:color w:val="365F91" w:themeColor="accent1" w:themeShade="BF"/>
          <w:u w:val="single"/>
        </w:rPr>
        <w:t xml:space="preserve"> č. 14072017</w:t>
      </w:r>
      <w:r>
        <w:rPr>
          <w:rFonts w:ascii="Arial" w:hAnsi="Arial" w:cs="Arial"/>
          <w:b/>
          <w:color w:val="365F91" w:themeColor="accent1" w:themeShade="BF"/>
          <w:u w:val="single"/>
        </w:rPr>
        <w:t xml:space="preserve">pro:  AGEL a.s., </w:t>
      </w:r>
      <w:r w:rsidR="00CA3356">
        <w:rPr>
          <w:rFonts w:ascii="Arial" w:hAnsi="Arial" w:cs="Arial"/>
          <w:b/>
          <w:color w:val="365F91" w:themeColor="accent1" w:themeShade="BF"/>
          <w:u w:val="single"/>
        </w:rPr>
        <w:t xml:space="preserve">Investiční odbor, </w:t>
      </w:r>
      <w:r>
        <w:rPr>
          <w:rFonts w:ascii="Arial" w:hAnsi="Arial" w:cs="Arial"/>
          <w:b/>
          <w:color w:val="365F91" w:themeColor="accent1" w:themeShade="BF"/>
          <w:u w:val="single"/>
        </w:rPr>
        <w:t>Jungmannova 28/17, 110 00 Praha 1</w:t>
      </w:r>
    </w:p>
    <w:p w:rsidR="00850DC8" w:rsidRDefault="003E175E" w:rsidP="00850DC8">
      <w:pPr>
        <w:contextualSpacing/>
        <w:rPr>
          <w:rFonts w:ascii="Arial" w:hAnsi="Arial" w:cs="Arial"/>
          <w:b/>
          <w:color w:val="365F91" w:themeColor="accent1" w:themeShade="BF"/>
          <w:u w:val="single"/>
        </w:rPr>
      </w:pPr>
      <w:r>
        <w:rPr>
          <w:rFonts w:ascii="Arial" w:hAnsi="Arial" w:cs="Arial"/>
          <w:b/>
          <w:color w:val="365F91" w:themeColor="accent1" w:themeShade="BF"/>
          <w:u w:val="single"/>
        </w:rPr>
        <w:t xml:space="preserve">Kód ID: 2017062, 2017038, </w:t>
      </w:r>
    </w:p>
    <w:p w:rsidR="003E175E" w:rsidRPr="00B72E57" w:rsidRDefault="003E175E" w:rsidP="00850DC8">
      <w:pPr>
        <w:contextualSpacing/>
        <w:rPr>
          <w:rFonts w:ascii="Arial" w:hAnsi="Arial" w:cs="Arial"/>
          <w:b/>
          <w:color w:val="365F91" w:themeColor="accent1" w:themeShade="BF"/>
          <w:u w:val="single"/>
        </w:rPr>
      </w:pPr>
    </w:p>
    <w:p w:rsidR="00850DC8" w:rsidRPr="00A63BBE" w:rsidRDefault="00850DC8" w:rsidP="00850DC8">
      <w:pPr>
        <w:rPr>
          <w:rFonts w:ascii="Arial" w:hAnsi="Arial" w:cs="Arial"/>
          <w:bCs/>
          <w:color w:val="365F91" w:themeColor="accent1" w:themeShade="BF"/>
          <w:sz w:val="16"/>
          <w:szCs w:val="16"/>
        </w:rPr>
      </w:pPr>
      <w:r w:rsidRPr="00A63BBE">
        <w:rPr>
          <w:rStyle w:val="Siln"/>
          <w:rFonts w:ascii="Arial" w:hAnsi="Arial" w:cs="Arial"/>
          <w:color w:val="365F91" w:themeColor="accent1" w:themeShade="BF"/>
          <w:sz w:val="16"/>
          <w:szCs w:val="16"/>
        </w:rPr>
        <w:t>Výrobce, dodavatel a poskytovatel servisu:  EMBITRON s.r.o., Borská 55, 301 00 Plzeň</w:t>
      </w:r>
    </w:p>
    <w:tbl>
      <w:tblPr>
        <w:tblStyle w:val="Mkatabulky"/>
        <w:tblW w:w="0" w:type="auto"/>
        <w:tblInd w:w="108" w:type="dxa"/>
        <w:tblLook w:val="04A0" w:firstRow="1" w:lastRow="0" w:firstColumn="1" w:lastColumn="0" w:noHBand="0" w:noVBand="1"/>
      </w:tblPr>
      <w:tblGrid>
        <w:gridCol w:w="9639"/>
      </w:tblGrid>
      <w:tr w:rsidR="00850DC8" w:rsidTr="00434009">
        <w:trPr>
          <w:trHeight w:val="1111"/>
        </w:trPr>
        <w:tc>
          <w:tcPr>
            <w:tcW w:w="9639" w:type="dxa"/>
            <w:shd w:val="clear" w:color="auto" w:fill="95B3D7" w:themeFill="accent1" w:themeFillTint="99"/>
          </w:tcPr>
          <w:p w:rsidR="00850DC8" w:rsidRDefault="00850DC8" w:rsidP="00434009">
            <w:pPr>
              <w:pStyle w:val="Nadpis5"/>
              <w:outlineLvl w:val="4"/>
              <w:rPr>
                <w:rFonts w:ascii="Arial" w:hAnsi="Arial" w:cs="Arial"/>
                <w:b/>
                <w:bCs/>
                <w:color w:val="336699"/>
              </w:rPr>
            </w:pPr>
          </w:p>
          <w:p w:rsidR="00850DC8" w:rsidRPr="00E40A8C" w:rsidRDefault="00850DC8" w:rsidP="00434009">
            <w:pPr>
              <w:pStyle w:val="Nadpis5"/>
              <w:outlineLvl w:val="4"/>
              <w:rPr>
                <w:rFonts w:ascii="Arial" w:hAnsi="Arial" w:cs="Arial"/>
                <w:b/>
                <w:bCs/>
                <w:color w:val="336699"/>
                <w:sz w:val="40"/>
                <w:szCs w:val="40"/>
              </w:rPr>
            </w:pPr>
            <w:r w:rsidRPr="00E40A8C">
              <w:rPr>
                <w:rFonts w:ascii="Arial" w:hAnsi="Arial" w:cs="Arial"/>
                <w:b/>
                <w:bCs/>
                <w:color w:val="336699"/>
                <w:sz w:val="40"/>
                <w:szCs w:val="40"/>
              </w:rPr>
              <w:t>VAS-07 edice „BETTER FUTURE“</w:t>
            </w:r>
          </w:p>
          <w:p w:rsidR="00850DC8" w:rsidRPr="00E40A8C" w:rsidRDefault="00850DC8" w:rsidP="00434009">
            <w:pPr>
              <w:pStyle w:val="Nadpis5"/>
              <w:outlineLvl w:val="4"/>
              <w:rPr>
                <w:rFonts w:ascii="Arial" w:hAnsi="Arial" w:cs="Arial"/>
                <w:b/>
                <w:bCs/>
                <w:color w:val="365F91" w:themeColor="accent1" w:themeShade="BF"/>
                <w:sz w:val="24"/>
                <w:szCs w:val="24"/>
              </w:rPr>
            </w:pPr>
            <w:r w:rsidRPr="00E40A8C">
              <w:rPr>
                <w:rFonts w:ascii="Arial" w:hAnsi="Arial" w:cs="Arial"/>
                <w:bCs/>
                <w:color w:val="336699"/>
                <w:sz w:val="24"/>
                <w:szCs w:val="24"/>
              </w:rPr>
              <w:t>p</w:t>
            </w:r>
            <w:r w:rsidRPr="00E40A8C">
              <w:rPr>
                <w:rFonts w:ascii="Arial" w:hAnsi="Arial" w:cs="Arial"/>
                <w:color w:val="365F91" w:themeColor="accent1" w:themeShade="BF"/>
                <w:sz w:val="24"/>
                <w:szCs w:val="24"/>
              </w:rPr>
              <w:t xml:space="preserve">řístroje pro </w:t>
            </w:r>
            <w:proofErr w:type="spellStart"/>
            <w:r w:rsidRPr="00E40A8C">
              <w:rPr>
                <w:rFonts w:ascii="Arial" w:hAnsi="Arial" w:cs="Arial"/>
                <w:color w:val="365F91" w:themeColor="accent1" w:themeShade="BF"/>
                <w:sz w:val="24"/>
                <w:szCs w:val="24"/>
              </w:rPr>
              <w:t>multiefektivní</w:t>
            </w:r>
            <w:proofErr w:type="spellEnd"/>
            <w:r w:rsidRPr="00E40A8C">
              <w:rPr>
                <w:rFonts w:ascii="Arial" w:hAnsi="Arial" w:cs="Arial"/>
                <w:color w:val="365F91" w:themeColor="accent1" w:themeShade="BF"/>
                <w:sz w:val="24"/>
                <w:szCs w:val="24"/>
              </w:rPr>
              <w:t xml:space="preserve"> distanční terapii </w:t>
            </w:r>
          </w:p>
          <w:p w:rsidR="00850DC8" w:rsidRPr="00E40A8C" w:rsidRDefault="00850DC8" w:rsidP="00434009"/>
        </w:tc>
      </w:tr>
    </w:tbl>
    <w:p w:rsidR="00850DC8" w:rsidRDefault="00850DC8" w:rsidP="00850DC8">
      <w:pPr>
        <w:pStyle w:val="Nadpis5"/>
        <w:rPr>
          <w:rFonts w:ascii="Arial" w:hAnsi="Arial" w:cs="Arial"/>
          <w:b/>
          <w:bCs/>
          <w:color w:val="336699"/>
        </w:rPr>
      </w:pPr>
    </w:p>
    <w:p w:rsidR="00850DC8" w:rsidRDefault="00850DC8" w:rsidP="00850DC8">
      <w:pPr>
        <w:pStyle w:val="Zkladntext"/>
        <w:numPr>
          <w:ilvl w:val="0"/>
          <w:numId w:val="1"/>
        </w:numPr>
      </w:pPr>
      <w:r>
        <w:t>Přístroje produkují 2 základní typy elektroléčebných proudů: proudy impulsní a proudy interferenční.</w:t>
      </w:r>
    </w:p>
    <w:p w:rsidR="00850DC8" w:rsidRDefault="00850DC8" w:rsidP="00850DC8">
      <w:pPr>
        <w:pStyle w:val="Zkladntext"/>
        <w:numPr>
          <w:ilvl w:val="0"/>
          <w:numId w:val="1"/>
        </w:numPr>
      </w:pPr>
      <w:r>
        <w:t xml:space="preserve">Působí především v oblasti pohybového aparátu hojivě, regeneračně a analgeticky. </w:t>
      </w:r>
    </w:p>
    <w:p w:rsidR="00850DC8" w:rsidRDefault="00850DC8" w:rsidP="00850DC8">
      <w:pPr>
        <w:pStyle w:val="Zkladntext"/>
        <w:numPr>
          <w:ilvl w:val="0"/>
          <w:numId w:val="1"/>
        </w:numPr>
      </w:pPr>
      <w:r>
        <w:t xml:space="preserve">Jsou </w:t>
      </w:r>
      <w:proofErr w:type="spellStart"/>
      <w:r>
        <w:t>předprogramovány</w:t>
      </w:r>
      <w:proofErr w:type="spellEnd"/>
      <w:r>
        <w:t xml:space="preserve"> pro 131 diagnóz a indikací 341 impulsních a 319 interferenčních elektroléčebných proudů. </w:t>
      </w:r>
    </w:p>
    <w:p w:rsidR="00850DC8" w:rsidRDefault="00850DC8" w:rsidP="00850DC8">
      <w:pPr>
        <w:pStyle w:val="Zkladntext"/>
        <w:numPr>
          <w:ilvl w:val="0"/>
          <w:numId w:val="1"/>
        </w:numPr>
      </w:pPr>
      <w:r>
        <w:t xml:space="preserve">Jednotlivé diagnózy jsou členěny jednak podle indikačních skupin (onemocnění </w:t>
      </w:r>
      <w:proofErr w:type="spellStart"/>
      <w:r>
        <w:t>vertebrogenní</w:t>
      </w:r>
      <w:proofErr w:type="spellEnd"/>
      <w:r>
        <w:t xml:space="preserve">, </w:t>
      </w:r>
      <w:proofErr w:type="gramStart"/>
      <w:r>
        <w:t>onemocnění  degenerativní</w:t>
      </w:r>
      <w:proofErr w:type="gramEnd"/>
      <w:r>
        <w:t xml:space="preserve">, onemocnění zánětlivá, onemocnění cév a lymfy, onemocnění kostí, traumata a podobná onemocnění, onemocnění svalů a nervů, </w:t>
      </w:r>
      <w:proofErr w:type="spellStart"/>
      <w:r>
        <w:t>entezopatie</w:t>
      </w:r>
      <w:proofErr w:type="spellEnd"/>
      <w:r>
        <w:t xml:space="preserve"> a ostatní); jednak podle lokalizace potíží (celkem 21 lokalit na těle pacienta).   </w:t>
      </w:r>
    </w:p>
    <w:p w:rsidR="00850DC8" w:rsidRDefault="00850DC8" w:rsidP="00850DC8">
      <w:pPr>
        <w:pStyle w:val="Zkladntext"/>
        <w:numPr>
          <w:ilvl w:val="0"/>
          <w:numId w:val="1"/>
        </w:numPr>
      </w:pPr>
      <w:r>
        <w:t xml:space="preserve">Intuitivní ovládání a snadná manipulace              </w:t>
      </w:r>
    </w:p>
    <w:p w:rsidR="00850DC8" w:rsidRDefault="00850DC8" w:rsidP="00850DC8">
      <w:pPr>
        <w:pStyle w:val="Zpat"/>
        <w:tabs>
          <w:tab w:val="left" w:pos="708"/>
        </w:tabs>
        <w:rPr>
          <w:rFonts w:ascii="Arial" w:hAnsi="Arial" w:cs="Arial"/>
          <w:b/>
          <w:bCs/>
          <w:u w:val="single"/>
        </w:rPr>
      </w:pPr>
    </w:p>
    <w:p w:rsidR="00850DC8" w:rsidRPr="001B3864" w:rsidRDefault="00850DC8" w:rsidP="00850DC8">
      <w:pPr>
        <w:pStyle w:val="Zpat"/>
        <w:tabs>
          <w:tab w:val="left" w:pos="708"/>
        </w:tabs>
        <w:rPr>
          <w:rFonts w:ascii="Arial" w:hAnsi="Arial" w:cs="Arial"/>
          <w:b/>
          <w:bCs/>
          <w:u w:val="single"/>
        </w:rPr>
      </w:pPr>
      <w:r w:rsidRPr="001B3864">
        <w:rPr>
          <w:rFonts w:ascii="Arial" w:hAnsi="Arial" w:cs="Arial"/>
          <w:b/>
          <w:bCs/>
          <w:u w:val="single"/>
        </w:rPr>
        <w:t xml:space="preserve">Cenová </w:t>
      </w:r>
      <w:r>
        <w:rPr>
          <w:rFonts w:ascii="Arial" w:hAnsi="Arial" w:cs="Arial"/>
          <w:b/>
          <w:bCs/>
          <w:u w:val="single"/>
        </w:rPr>
        <w:t xml:space="preserve">nabídka platná do </w:t>
      </w:r>
      <w:proofErr w:type="gramStart"/>
      <w:r>
        <w:rPr>
          <w:rFonts w:ascii="Arial" w:hAnsi="Arial" w:cs="Arial"/>
          <w:b/>
          <w:bCs/>
          <w:u w:val="single"/>
        </w:rPr>
        <w:t>30.9.2017</w:t>
      </w:r>
      <w:proofErr w:type="gramEnd"/>
    </w:p>
    <w:tbl>
      <w:tblPr>
        <w:tblW w:w="10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2693"/>
        <w:gridCol w:w="1559"/>
        <w:gridCol w:w="1418"/>
        <w:gridCol w:w="709"/>
        <w:gridCol w:w="1417"/>
        <w:gridCol w:w="1560"/>
      </w:tblGrid>
      <w:tr w:rsidR="00850DC8" w:rsidTr="00C90BCF">
        <w:tc>
          <w:tcPr>
            <w:tcW w:w="1488" w:type="dxa"/>
            <w:shd w:val="clear" w:color="auto" w:fill="95B3D7" w:themeFill="accent1" w:themeFillTint="99"/>
          </w:tcPr>
          <w:p w:rsidR="00850DC8" w:rsidRPr="007F1428" w:rsidRDefault="00850DC8" w:rsidP="00434009">
            <w:pPr>
              <w:pStyle w:val="Zpat"/>
              <w:tabs>
                <w:tab w:val="left" w:pos="708"/>
              </w:tabs>
              <w:rPr>
                <w:rFonts w:ascii="Arial" w:hAnsi="Arial" w:cs="Arial"/>
                <w:b/>
                <w:color w:val="365F91" w:themeColor="accent1" w:themeShade="BF"/>
              </w:rPr>
            </w:pPr>
          </w:p>
          <w:p w:rsidR="00850DC8" w:rsidRPr="007F1428" w:rsidRDefault="00850DC8" w:rsidP="00434009">
            <w:pPr>
              <w:pStyle w:val="Zpat"/>
              <w:tabs>
                <w:tab w:val="left" w:pos="708"/>
              </w:tabs>
              <w:jc w:val="center"/>
              <w:rPr>
                <w:rFonts w:ascii="Arial" w:hAnsi="Arial" w:cs="Arial"/>
                <w:b/>
                <w:color w:val="365F91" w:themeColor="accent1" w:themeShade="BF"/>
              </w:rPr>
            </w:pPr>
            <w:r w:rsidRPr="007F1428">
              <w:rPr>
                <w:rFonts w:ascii="Arial" w:hAnsi="Arial" w:cs="Arial"/>
                <w:b/>
                <w:color w:val="365F91" w:themeColor="accent1" w:themeShade="BF"/>
              </w:rPr>
              <w:t>Obrázek</w:t>
            </w:r>
          </w:p>
        </w:tc>
        <w:tc>
          <w:tcPr>
            <w:tcW w:w="2693" w:type="dxa"/>
            <w:shd w:val="clear" w:color="auto" w:fill="95B3D7" w:themeFill="accent1" w:themeFillTint="99"/>
          </w:tcPr>
          <w:p w:rsidR="00850DC8" w:rsidRDefault="00850DC8" w:rsidP="00434009">
            <w:pPr>
              <w:pStyle w:val="Zpat"/>
              <w:tabs>
                <w:tab w:val="left" w:pos="708"/>
              </w:tabs>
              <w:rPr>
                <w:rFonts w:ascii="Arial" w:hAnsi="Arial" w:cs="Arial"/>
                <w:b/>
                <w:color w:val="365F91" w:themeColor="accent1" w:themeShade="BF"/>
              </w:rPr>
            </w:pPr>
          </w:p>
          <w:p w:rsidR="00850DC8" w:rsidRPr="007F1428" w:rsidRDefault="00850DC8" w:rsidP="00434009">
            <w:pPr>
              <w:pStyle w:val="Zpat"/>
              <w:tabs>
                <w:tab w:val="clear" w:pos="9072"/>
                <w:tab w:val="left" w:pos="708"/>
              </w:tabs>
              <w:jc w:val="center"/>
              <w:rPr>
                <w:rFonts w:ascii="Arial" w:hAnsi="Arial" w:cs="Arial"/>
                <w:b/>
                <w:color w:val="365F91" w:themeColor="accent1" w:themeShade="BF"/>
              </w:rPr>
            </w:pPr>
            <w:r w:rsidRPr="007F1428">
              <w:rPr>
                <w:rFonts w:ascii="Arial" w:hAnsi="Arial" w:cs="Arial"/>
                <w:b/>
                <w:color w:val="365F91" w:themeColor="accent1" w:themeShade="BF"/>
              </w:rPr>
              <w:t>Přístroj</w:t>
            </w:r>
          </w:p>
        </w:tc>
        <w:tc>
          <w:tcPr>
            <w:tcW w:w="1559" w:type="dxa"/>
            <w:shd w:val="clear" w:color="auto" w:fill="95B3D7" w:themeFill="accent1" w:themeFillTint="99"/>
          </w:tcPr>
          <w:p w:rsidR="00850DC8" w:rsidRPr="007F1428" w:rsidRDefault="00850DC8" w:rsidP="00434009">
            <w:pPr>
              <w:pStyle w:val="Zpat"/>
              <w:tabs>
                <w:tab w:val="left" w:pos="708"/>
              </w:tabs>
              <w:jc w:val="both"/>
              <w:rPr>
                <w:rFonts w:ascii="Arial" w:hAnsi="Arial" w:cs="Arial"/>
                <w:b/>
                <w:color w:val="365F91" w:themeColor="accent1" w:themeShade="BF"/>
                <w:sz w:val="18"/>
              </w:rPr>
            </w:pPr>
            <w:r w:rsidRPr="007F1428">
              <w:rPr>
                <w:rFonts w:ascii="Arial" w:hAnsi="Arial" w:cs="Arial"/>
                <w:b/>
                <w:color w:val="365F91" w:themeColor="accent1" w:themeShade="BF"/>
                <w:sz w:val="18"/>
              </w:rPr>
              <w:t>Cena v Kč bez DPH</w:t>
            </w:r>
          </w:p>
        </w:tc>
        <w:tc>
          <w:tcPr>
            <w:tcW w:w="1418" w:type="dxa"/>
            <w:shd w:val="clear" w:color="auto" w:fill="95B3D7" w:themeFill="accent1" w:themeFillTint="99"/>
          </w:tcPr>
          <w:p w:rsidR="00850DC8" w:rsidRPr="007F1428" w:rsidRDefault="00850DC8" w:rsidP="00434009">
            <w:pPr>
              <w:pStyle w:val="Zpat"/>
              <w:tabs>
                <w:tab w:val="left" w:pos="708"/>
              </w:tabs>
              <w:jc w:val="both"/>
              <w:rPr>
                <w:rFonts w:ascii="Arial" w:hAnsi="Arial" w:cs="Arial"/>
                <w:b/>
                <w:color w:val="365F91" w:themeColor="accent1" w:themeShade="BF"/>
                <w:sz w:val="18"/>
              </w:rPr>
            </w:pPr>
            <w:r w:rsidRPr="007F1428">
              <w:rPr>
                <w:rFonts w:ascii="Arial" w:hAnsi="Arial" w:cs="Arial"/>
                <w:b/>
                <w:color w:val="365F91" w:themeColor="accent1" w:themeShade="BF"/>
                <w:sz w:val="18"/>
              </w:rPr>
              <w:t>Cena v Kč vč. 21% DPH</w:t>
            </w:r>
          </w:p>
        </w:tc>
        <w:tc>
          <w:tcPr>
            <w:tcW w:w="709" w:type="dxa"/>
            <w:shd w:val="clear" w:color="auto" w:fill="95B3D7" w:themeFill="accent1" w:themeFillTint="99"/>
          </w:tcPr>
          <w:p w:rsidR="00C90BCF" w:rsidRDefault="00C90BCF" w:rsidP="00434009">
            <w:pPr>
              <w:pStyle w:val="Zpat"/>
              <w:tabs>
                <w:tab w:val="left" w:pos="708"/>
              </w:tabs>
              <w:jc w:val="both"/>
              <w:rPr>
                <w:rFonts w:ascii="Arial" w:hAnsi="Arial" w:cs="Arial"/>
                <w:b/>
                <w:color w:val="365F91" w:themeColor="accent1" w:themeShade="BF"/>
                <w:sz w:val="18"/>
              </w:rPr>
            </w:pPr>
            <w:r>
              <w:rPr>
                <w:rFonts w:ascii="Arial" w:hAnsi="Arial" w:cs="Arial"/>
                <w:b/>
                <w:color w:val="365F91" w:themeColor="accent1" w:themeShade="BF"/>
                <w:sz w:val="18"/>
              </w:rPr>
              <w:t xml:space="preserve">Počet </w:t>
            </w:r>
          </w:p>
          <w:p w:rsidR="00850DC8" w:rsidRPr="007F1428" w:rsidRDefault="00C90BCF" w:rsidP="00434009">
            <w:pPr>
              <w:pStyle w:val="Zpat"/>
              <w:tabs>
                <w:tab w:val="left" w:pos="708"/>
              </w:tabs>
              <w:jc w:val="both"/>
              <w:rPr>
                <w:rFonts w:ascii="Arial" w:hAnsi="Arial" w:cs="Arial"/>
                <w:b/>
                <w:color w:val="365F91" w:themeColor="accent1" w:themeShade="BF"/>
                <w:sz w:val="18"/>
              </w:rPr>
            </w:pPr>
            <w:r>
              <w:rPr>
                <w:rFonts w:ascii="Arial" w:hAnsi="Arial" w:cs="Arial"/>
                <w:b/>
                <w:color w:val="365F91" w:themeColor="accent1" w:themeShade="BF"/>
                <w:sz w:val="18"/>
              </w:rPr>
              <w:t>kusů</w:t>
            </w:r>
          </w:p>
        </w:tc>
        <w:tc>
          <w:tcPr>
            <w:tcW w:w="1417" w:type="dxa"/>
            <w:shd w:val="clear" w:color="auto" w:fill="95B3D7" w:themeFill="accent1" w:themeFillTint="99"/>
          </w:tcPr>
          <w:p w:rsidR="00850DC8" w:rsidRPr="007F1428" w:rsidRDefault="00C90BCF" w:rsidP="00434009">
            <w:pPr>
              <w:pStyle w:val="Zpat"/>
              <w:tabs>
                <w:tab w:val="left" w:pos="708"/>
              </w:tabs>
              <w:jc w:val="both"/>
              <w:rPr>
                <w:rFonts w:ascii="Arial" w:hAnsi="Arial" w:cs="Arial"/>
                <w:b/>
                <w:color w:val="365F91" w:themeColor="accent1" w:themeShade="BF"/>
                <w:sz w:val="18"/>
              </w:rPr>
            </w:pPr>
            <w:r>
              <w:rPr>
                <w:rFonts w:ascii="Arial" w:hAnsi="Arial" w:cs="Arial"/>
                <w:b/>
                <w:color w:val="365F91" w:themeColor="accent1" w:themeShade="BF"/>
                <w:sz w:val="18"/>
              </w:rPr>
              <w:t>Celková c</w:t>
            </w:r>
            <w:r w:rsidR="00850DC8" w:rsidRPr="007F1428">
              <w:rPr>
                <w:rFonts w:ascii="Arial" w:hAnsi="Arial" w:cs="Arial"/>
                <w:b/>
                <w:color w:val="365F91" w:themeColor="accent1" w:themeShade="BF"/>
                <w:sz w:val="18"/>
              </w:rPr>
              <w:t>ena v Kč bez DPH</w:t>
            </w:r>
          </w:p>
        </w:tc>
        <w:tc>
          <w:tcPr>
            <w:tcW w:w="1560" w:type="dxa"/>
            <w:shd w:val="clear" w:color="auto" w:fill="95B3D7" w:themeFill="accent1" w:themeFillTint="99"/>
          </w:tcPr>
          <w:p w:rsidR="00850DC8" w:rsidRPr="007F1428" w:rsidRDefault="00C90BCF" w:rsidP="00434009">
            <w:pPr>
              <w:pStyle w:val="Zpat"/>
              <w:tabs>
                <w:tab w:val="left" w:pos="708"/>
              </w:tabs>
              <w:jc w:val="both"/>
              <w:rPr>
                <w:rFonts w:ascii="Arial" w:hAnsi="Arial" w:cs="Arial"/>
                <w:b/>
                <w:color w:val="365F91" w:themeColor="accent1" w:themeShade="BF"/>
                <w:sz w:val="18"/>
              </w:rPr>
            </w:pPr>
            <w:r>
              <w:rPr>
                <w:rFonts w:ascii="Arial" w:hAnsi="Arial" w:cs="Arial"/>
                <w:b/>
                <w:color w:val="365F91" w:themeColor="accent1" w:themeShade="BF"/>
                <w:sz w:val="18"/>
              </w:rPr>
              <w:t>Celková c</w:t>
            </w:r>
            <w:r w:rsidR="00850DC8" w:rsidRPr="007F1428">
              <w:rPr>
                <w:rFonts w:ascii="Arial" w:hAnsi="Arial" w:cs="Arial"/>
                <w:b/>
                <w:color w:val="365F91" w:themeColor="accent1" w:themeShade="BF"/>
                <w:sz w:val="18"/>
              </w:rPr>
              <w:t>ena v Kč vč. 21% DPH</w:t>
            </w:r>
          </w:p>
        </w:tc>
      </w:tr>
      <w:tr w:rsidR="00850DC8" w:rsidTr="00C90BCF">
        <w:tc>
          <w:tcPr>
            <w:tcW w:w="1488" w:type="dxa"/>
          </w:tcPr>
          <w:p w:rsidR="00850DC8" w:rsidRDefault="00850DC8" w:rsidP="00434009">
            <w:pPr>
              <w:pStyle w:val="Zpat"/>
              <w:tabs>
                <w:tab w:val="left" w:pos="708"/>
              </w:tabs>
              <w:rPr>
                <w:rFonts w:ascii="Arial" w:hAnsi="Arial" w:cs="Arial"/>
              </w:rPr>
            </w:pPr>
            <w:r>
              <w:rPr>
                <w:b/>
                <w:bCs/>
                <w:noProof/>
                <w:u w:val="single"/>
              </w:rPr>
              <w:drawing>
                <wp:anchor distT="0" distB="0" distL="114300" distR="114300" simplePos="0" relativeHeight="251659264" behindDoc="0" locked="0" layoutInCell="1" allowOverlap="1">
                  <wp:simplePos x="0" y="0"/>
                  <wp:positionH relativeFrom="column">
                    <wp:posOffset>197485</wp:posOffset>
                  </wp:positionH>
                  <wp:positionV relativeFrom="paragraph">
                    <wp:posOffset>10160</wp:posOffset>
                  </wp:positionV>
                  <wp:extent cx="442913" cy="614363"/>
                  <wp:effectExtent l="19050" t="0" r="0" b="0"/>
                  <wp:wrapNone/>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C0C0C0"/>
                              </a:clrFrom>
                              <a:clrTo>
                                <a:srgbClr val="C0C0C0">
                                  <a:alpha val="0"/>
                                </a:srgbClr>
                              </a:clrTo>
                            </a:clrChange>
                          </a:blip>
                          <a:srcRect/>
                          <a:stretch>
                            <a:fillRect/>
                          </a:stretch>
                        </pic:blipFill>
                        <pic:spPr bwMode="auto">
                          <a:xfrm>
                            <a:off x="0" y="0"/>
                            <a:ext cx="442913" cy="614363"/>
                          </a:xfrm>
                          <a:prstGeom prst="rect">
                            <a:avLst/>
                          </a:prstGeom>
                          <a:noFill/>
                        </pic:spPr>
                      </pic:pic>
                    </a:graphicData>
                  </a:graphic>
                </wp:anchor>
              </w:drawing>
            </w:r>
          </w:p>
          <w:p w:rsidR="00850DC8" w:rsidRDefault="00850DC8" w:rsidP="00434009">
            <w:pPr>
              <w:pStyle w:val="Zpat"/>
              <w:tabs>
                <w:tab w:val="left" w:pos="708"/>
              </w:tabs>
              <w:rPr>
                <w:rFonts w:ascii="Arial" w:hAnsi="Arial" w:cs="Arial"/>
              </w:rPr>
            </w:pPr>
          </w:p>
          <w:p w:rsidR="00850DC8" w:rsidRDefault="00850DC8" w:rsidP="00434009">
            <w:pPr>
              <w:pStyle w:val="Zpat"/>
              <w:tabs>
                <w:tab w:val="left" w:pos="708"/>
              </w:tabs>
              <w:rPr>
                <w:rFonts w:ascii="Arial" w:hAnsi="Arial" w:cs="Arial"/>
              </w:rPr>
            </w:pPr>
          </w:p>
          <w:p w:rsidR="00850DC8" w:rsidRDefault="00850DC8" w:rsidP="00434009">
            <w:pPr>
              <w:pStyle w:val="Zpat"/>
              <w:tabs>
                <w:tab w:val="left" w:pos="708"/>
              </w:tabs>
              <w:rPr>
                <w:rFonts w:ascii="Arial" w:hAnsi="Arial" w:cs="Arial"/>
              </w:rPr>
            </w:pPr>
          </w:p>
        </w:tc>
        <w:tc>
          <w:tcPr>
            <w:tcW w:w="2693" w:type="dxa"/>
          </w:tcPr>
          <w:p w:rsidR="00850DC8" w:rsidRDefault="00850DC8" w:rsidP="00434009">
            <w:pPr>
              <w:pStyle w:val="Zpat"/>
              <w:tabs>
                <w:tab w:val="left" w:pos="708"/>
              </w:tabs>
              <w:rPr>
                <w:rFonts w:ascii="Arial" w:hAnsi="Arial" w:cs="Arial"/>
              </w:rPr>
            </w:pPr>
            <w:r>
              <w:rPr>
                <w:rFonts w:ascii="Arial" w:hAnsi="Arial" w:cs="Arial"/>
              </w:rPr>
              <w:t>VAS-07 edice</w:t>
            </w:r>
          </w:p>
          <w:p w:rsidR="00850DC8" w:rsidRDefault="00850DC8" w:rsidP="00434009">
            <w:pPr>
              <w:pStyle w:val="Zpat"/>
              <w:tabs>
                <w:tab w:val="left" w:pos="708"/>
              </w:tabs>
              <w:rPr>
                <w:rFonts w:ascii="Arial" w:hAnsi="Arial" w:cs="Arial"/>
                <w:color w:val="0000FF"/>
              </w:rPr>
            </w:pPr>
            <w:r>
              <w:rPr>
                <w:rFonts w:ascii="Arial" w:hAnsi="Arial" w:cs="Arial"/>
              </w:rPr>
              <w:t xml:space="preserve"> „</w:t>
            </w:r>
            <w:proofErr w:type="spellStart"/>
            <w:proofErr w:type="gramStart"/>
            <w:r>
              <w:rPr>
                <w:rFonts w:ascii="Arial" w:hAnsi="Arial" w:cs="Arial"/>
              </w:rPr>
              <w:t>BetterFuture</w:t>
            </w:r>
            <w:proofErr w:type="spellEnd"/>
            <w:r>
              <w:rPr>
                <w:rFonts w:ascii="Arial" w:hAnsi="Arial" w:cs="Arial"/>
              </w:rPr>
              <w:t xml:space="preserve">“  </w:t>
            </w:r>
            <w:r w:rsidRPr="007F1428">
              <w:rPr>
                <w:rFonts w:ascii="Arial" w:hAnsi="Arial" w:cs="Arial"/>
                <w:b/>
                <w:color w:val="365F91" w:themeColor="accent1" w:themeShade="BF"/>
              </w:rPr>
              <w:t>STRONG</w:t>
            </w:r>
            <w:proofErr w:type="gramEnd"/>
          </w:p>
          <w:p w:rsidR="00850DC8" w:rsidRDefault="00850DC8" w:rsidP="00434009">
            <w:pPr>
              <w:pStyle w:val="Zpat"/>
              <w:tabs>
                <w:tab w:val="left" w:pos="708"/>
              </w:tabs>
              <w:rPr>
                <w:rFonts w:ascii="Arial" w:hAnsi="Arial" w:cs="Arial"/>
              </w:rPr>
            </w:pPr>
            <w:r>
              <w:rPr>
                <w:rFonts w:ascii="Arial" w:hAnsi="Arial" w:cs="Arial"/>
              </w:rPr>
              <w:t>skříňové provedení</w:t>
            </w:r>
          </w:p>
          <w:p w:rsidR="00850DC8" w:rsidRDefault="00850DC8" w:rsidP="00434009">
            <w:pPr>
              <w:pStyle w:val="Zpat"/>
              <w:tabs>
                <w:tab w:val="left" w:pos="708"/>
              </w:tabs>
              <w:rPr>
                <w:rFonts w:ascii="Arial" w:hAnsi="Arial" w:cs="Arial"/>
              </w:rPr>
            </w:pPr>
          </w:p>
        </w:tc>
        <w:tc>
          <w:tcPr>
            <w:tcW w:w="1559" w:type="dxa"/>
          </w:tcPr>
          <w:p w:rsidR="00850DC8" w:rsidRDefault="00850DC8" w:rsidP="00434009">
            <w:pPr>
              <w:pStyle w:val="Zpat"/>
              <w:tabs>
                <w:tab w:val="left" w:pos="708"/>
              </w:tabs>
              <w:jc w:val="center"/>
              <w:rPr>
                <w:rFonts w:ascii="Arial" w:hAnsi="Arial" w:cs="Arial"/>
                <w:b/>
                <w:bCs/>
                <w:u w:val="single"/>
              </w:rPr>
            </w:pPr>
          </w:p>
          <w:p w:rsidR="00850DC8" w:rsidRDefault="00AC2DDA" w:rsidP="00434009">
            <w:pPr>
              <w:pStyle w:val="Zpat"/>
              <w:tabs>
                <w:tab w:val="left" w:pos="708"/>
              </w:tabs>
              <w:jc w:val="center"/>
              <w:rPr>
                <w:rFonts w:ascii="Arial" w:hAnsi="Arial" w:cs="Arial"/>
              </w:rPr>
            </w:pPr>
            <w:r>
              <w:rPr>
                <w:rFonts w:ascii="Arial" w:hAnsi="Arial" w:cs="Arial"/>
              </w:rPr>
              <w:t>96 120</w:t>
            </w:r>
            <w:r w:rsidR="00850DC8">
              <w:rPr>
                <w:rFonts w:ascii="Arial" w:hAnsi="Arial" w:cs="Arial"/>
              </w:rPr>
              <w:t>,-</w:t>
            </w:r>
          </w:p>
        </w:tc>
        <w:tc>
          <w:tcPr>
            <w:tcW w:w="1418" w:type="dxa"/>
          </w:tcPr>
          <w:p w:rsidR="00850DC8" w:rsidRDefault="00850DC8" w:rsidP="00434009">
            <w:pPr>
              <w:pStyle w:val="Zpat"/>
              <w:tabs>
                <w:tab w:val="left" w:pos="708"/>
              </w:tabs>
              <w:jc w:val="center"/>
              <w:rPr>
                <w:rFonts w:ascii="Arial" w:hAnsi="Arial" w:cs="Arial"/>
                <w:b/>
                <w:bCs/>
                <w:u w:val="single"/>
              </w:rPr>
            </w:pPr>
          </w:p>
          <w:p w:rsidR="00850DC8" w:rsidRDefault="00AC2DDA" w:rsidP="00434009">
            <w:pPr>
              <w:pStyle w:val="Zpat"/>
              <w:tabs>
                <w:tab w:val="left" w:pos="708"/>
              </w:tabs>
              <w:jc w:val="center"/>
              <w:rPr>
                <w:rFonts w:ascii="Arial" w:hAnsi="Arial" w:cs="Arial"/>
              </w:rPr>
            </w:pPr>
            <w:r>
              <w:rPr>
                <w:rFonts w:ascii="Arial" w:hAnsi="Arial" w:cs="Arial"/>
              </w:rPr>
              <w:t>116 305</w:t>
            </w:r>
            <w:r w:rsidR="00850DC8">
              <w:rPr>
                <w:rFonts w:ascii="Arial" w:hAnsi="Arial" w:cs="Arial"/>
              </w:rPr>
              <w:t>,-</w:t>
            </w:r>
          </w:p>
        </w:tc>
        <w:tc>
          <w:tcPr>
            <w:tcW w:w="709" w:type="dxa"/>
          </w:tcPr>
          <w:p w:rsidR="00850DC8" w:rsidRDefault="00850DC8" w:rsidP="00434009">
            <w:pPr>
              <w:pStyle w:val="Zpat"/>
              <w:tabs>
                <w:tab w:val="left" w:pos="708"/>
              </w:tabs>
              <w:jc w:val="center"/>
              <w:rPr>
                <w:rFonts w:ascii="Arial" w:hAnsi="Arial" w:cs="Arial"/>
                <w:b/>
                <w:bCs/>
                <w:u w:val="single"/>
              </w:rPr>
            </w:pPr>
          </w:p>
          <w:p w:rsidR="00850DC8" w:rsidRPr="00D609CC" w:rsidRDefault="00C90BCF" w:rsidP="00434009">
            <w:pPr>
              <w:pStyle w:val="Zpat"/>
              <w:tabs>
                <w:tab w:val="left" w:pos="708"/>
              </w:tabs>
              <w:jc w:val="center"/>
              <w:rPr>
                <w:rFonts w:ascii="Arial" w:hAnsi="Arial" w:cs="Arial"/>
                <w:b/>
                <w:bCs/>
              </w:rPr>
            </w:pPr>
            <w:r>
              <w:rPr>
                <w:rFonts w:ascii="Arial" w:hAnsi="Arial" w:cs="Arial"/>
                <w:b/>
                <w:bCs/>
              </w:rPr>
              <w:t>3</w:t>
            </w:r>
          </w:p>
        </w:tc>
        <w:tc>
          <w:tcPr>
            <w:tcW w:w="1417" w:type="dxa"/>
          </w:tcPr>
          <w:p w:rsidR="00850DC8" w:rsidRPr="000F0548" w:rsidRDefault="00850DC8" w:rsidP="00434009">
            <w:pPr>
              <w:pStyle w:val="Zpat"/>
              <w:tabs>
                <w:tab w:val="left" w:pos="708"/>
              </w:tabs>
              <w:jc w:val="center"/>
              <w:rPr>
                <w:rFonts w:ascii="Arial" w:hAnsi="Arial" w:cs="Arial"/>
                <w:b/>
                <w:bCs/>
              </w:rPr>
            </w:pPr>
          </w:p>
          <w:p w:rsidR="00850DC8" w:rsidRPr="000F0548" w:rsidRDefault="00C90BCF" w:rsidP="00434009">
            <w:pPr>
              <w:pStyle w:val="Zpat"/>
              <w:tabs>
                <w:tab w:val="left" w:pos="708"/>
              </w:tabs>
              <w:jc w:val="center"/>
              <w:rPr>
                <w:rFonts w:ascii="Arial" w:hAnsi="Arial" w:cs="Arial"/>
                <w:b/>
                <w:bCs/>
              </w:rPr>
            </w:pPr>
            <w:r>
              <w:rPr>
                <w:rFonts w:ascii="Arial" w:hAnsi="Arial" w:cs="Arial"/>
                <w:b/>
                <w:bCs/>
              </w:rPr>
              <w:t>288 360</w:t>
            </w:r>
            <w:r w:rsidR="00850DC8" w:rsidRPr="000F0548">
              <w:rPr>
                <w:rFonts w:ascii="Arial" w:hAnsi="Arial" w:cs="Arial"/>
                <w:b/>
                <w:bCs/>
              </w:rPr>
              <w:t>,-</w:t>
            </w:r>
          </w:p>
        </w:tc>
        <w:tc>
          <w:tcPr>
            <w:tcW w:w="1560" w:type="dxa"/>
          </w:tcPr>
          <w:p w:rsidR="00850DC8" w:rsidRPr="000F0548" w:rsidRDefault="00850DC8" w:rsidP="00434009">
            <w:pPr>
              <w:pStyle w:val="Zpat"/>
              <w:tabs>
                <w:tab w:val="left" w:pos="708"/>
              </w:tabs>
              <w:jc w:val="center"/>
              <w:rPr>
                <w:rFonts w:ascii="Arial" w:hAnsi="Arial" w:cs="Arial"/>
                <w:b/>
                <w:bCs/>
              </w:rPr>
            </w:pPr>
          </w:p>
          <w:p w:rsidR="00850DC8" w:rsidRPr="000F0548" w:rsidRDefault="00C90BCF" w:rsidP="00434009">
            <w:pPr>
              <w:pStyle w:val="Zpat"/>
              <w:tabs>
                <w:tab w:val="left" w:pos="708"/>
              </w:tabs>
              <w:jc w:val="center"/>
              <w:rPr>
                <w:rFonts w:ascii="Arial" w:hAnsi="Arial" w:cs="Arial"/>
                <w:b/>
                <w:bCs/>
              </w:rPr>
            </w:pPr>
            <w:r>
              <w:rPr>
                <w:rFonts w:ascii="Arial" w:hAnsi="Arial" w:cs="Arial"/>
                <w:b/>
                <w:bCs/>
              </w:rPr>
              <w:t>348 916</w:t>
            </w:r>
            <w:r w:rsidR="00850DC8" w:rsidRPr="000F0548">
              <w:rPr>
                <w:rFonts w:ascii="Arial" w:hAnsi="Arial" w:cs="Arial"/>
                <w:b/>
                <w:bCs/>
              </w:rPr>
              <w:t>,-</w:t>
            </w:r>
          </w:p>
        </w:tc>
      </w:tr>
    </w:tbl>
    <w:p w:rsidR="00850DC8" w:rsidRDefault="00850DC8" w:rsidP="00850DC8">
      <w:pPr>
        <w:pStyle w:val="Zpat"/>
        <w:tabs>
          <w:tab w:val="left" w:pos="708"/>
        </w:tabs>
        <w:rPr>
          <w:rFonts w:ascii="Arial" w:hAnsi="Arial" w:cs="Arial"/>
          <w:b/>
          <w:bCs/>
          <w:color w:val="365F91" w:themeColor="accent1" w:themeShade="BF"/>
          <w:u w:val="single"/>
        </w:rPr>
      </w:pPr>
    </w:p>
    <w:p w:rsidR="00850DC8" w:rsidRDefault="00850DC8" w:rsidP="00850DC8">
      <w:pPr>
        <w:pStyle w:val="Zpat"/>
        <w:tabs>
          <w:tab w:val="left" w:pos="708"/>
        </w:tabs>
        <w:rPr>
          <w:rFonts w:ascii="Arial" w:hAnsi="Arial" w:cs="Arial"/>
        </w:rPr>
      </w:pPr>
      <w:r w:rsidRPr="007F1428">
        <w:rPr>
          <w:rFonts w:ascii="Arial" w:hAnsi="Arial" w:cs="Arial"/>
          <w:b/>
          <w:bCs/>
          <w:color w:val="365F91" w:themeColor="accent1" w:themeShade="BF"/>
          <w:u w:val="single"/>
        </w:rPr>
        <w:t xml:space="preserve">Platební </w:t>
      </w:r>
      <w:proofErr w:type="gramStart"/>
      <w:r w:rsidRPr="007F1428">
        <w:rPr>
          <w:rFonts w:ascii="Arial" w:hAnsi="Arial" w:cs="Arial"/>
          <w:b/>
          <w:bCs/>
          <w:color w:val="365F91" w:themeColor="accent1" w:themeShade="BF"/>
          <w:u w:val="single"/>
        </w:rPr>
        <w:t>podmínky</w:t>
      </w:r>
      <w:r w:rsidRPr="007F1428">
        <w:rPr>
          <w:rFonts w:ascii="Arial" w:hAnsi="Arial" w:cs="Arial"/>
          <w:color w:val="365F91" w:themeColor="accent1" w:themeShade="BF"/>
        </w:rPr>
        <w:t>:</w:t>
      </w:r>
      <w:r>
        <w:rPr>
          <w:rFonts w:ascii="Arial" w:hAnsi="Arial" w:cs="Arial"/>
        </w:rPr>
        <w:t xml:space="preserve">  do</w:t>
      </w:r>
      <w:proofErr w:type="gramEnd"/>
      <w:r>
        <w:rPr>
          <w:rFonts w:ascii="Arial" w:hAnsi="Arial" w:cs="Arial"/>
        </w:rPr>
        <w:t xml:space="preserve"> 30 dnů od dodávky </w:t>
      </w:r>
    </w:p>
    <w:p w:rsidR="00850DC8" w:rsidRDefault="00850DC8" w:rsidP="00850DC8">
      <w:pPr>
        <w:pStyle w:val="Zpat"/>
        <w:tabs>
          <w:tab w:val="left" w:pos="708"/>
        </w:tabs>
        <w:ind w:left="360"/>
        <w:rPr>
          <w:rFonts w:ascii="Arial" w:hAnsi="Arial" w:cs="Arial"/>
        </w:rPr>
      </w:pPr>
      <w:r>
        <w:rPr>
          <w:rFonts w:ascii="Arial" w:hAnsi="Arial" w:cs="Arial"/>
        </w:rPr>
        <w:tab/>
      </w:r>
    </w:p>
    <w:p w:rsidR="00850DC8" w:rsidRDefault="00850DC8" w:rsidP="00850DC8">
      <w:pPr>
        <w:pStyle w:val="Zpat"/>
        <w:tabs>
          <w:tab w:val="left" w:pos="708"/>
        </w:tabs>
        <w:rPr>
          <w:rFonts w:ascii="Arial" w:hAnsi="Arial" w:cs="Arial"/>
          <w:b/>
          <w:bCs/>
          <w:color w:val="3366FF"/>
        </w:rPr>
      </w:pPr>
      <w:r w:rsidRPr="007F1428">
        <w:rPr>
          <w:rFonts w:ascii="Arial" w:hAnsi="Arial" w:cs="Arial"/>
          <w:b/>
          <w:bCs/>
          <w:color w:val="365F91" w:themeColor="accent1" w:themeShade="BF"/>
          <w:u w:val="single"/>
        </w:rPr>
        <w:t>Termín dodání:</w:t>
      </w:r>
      <w:r>
        <w:rPr>
          <w:rFonts w:ascii="Arial" w:hAnsi="Arial" w:cs="Arial"/>
        </w:rPr>
        <w:t>do</w:t>
      </w:r>
      <w:r w:rsidR="003E175E">
        <w:rPr>
          <w:rFonts w:ascii="Arial" w:hAnsi="Arial" w:cs="Arial"/>
        </w:rPr>
        <w:t>4</w:t>
      </w:r>
      <w:r>
        <w:rPr>
          <w:rFonts w:ascii="Arial" w:hAnsi="Arial" w:cs="Arial"/>
        </w:rPr>
        <w:t>-ti týdnů od doručení závazné objednávky</w:t>
      </w:r>
      <w:r>
        <w:rPr>
          <w:rFonts w:ascii="Arial" w:hAnsi="Arial" w:cs="Arial"/>
          <w:color w:val="3366FF"/>
        </w:rPr>
        <w:t xml:space="preserve">.                           </w:t>
      </w:r>
    </w:p>
    <w:p w:rsidR="00850DC8" w:rsidRPr="007F1428" w:rsidRDefault="00850DC8" w:rsidP="00850DC8">
      <w:pPr>
        <w:pStyle w:val="Zkladntext2"/>
        <w:jc w:val="both"/>
        <w:rPr>
          <w:b/>
          <w:bCs/>
          <w:color w:val="365F91" w:themeColor="accent1" w:themeShade="BF"/>
          <w:sz w:val="22"/>
          <w:u w:val="single"/>
        </w:rPr>
      </w:pPr>
      <w:r w:rsidRPr="007F1428">
        <w:rPr>
          <w:b/>
          <w:bCs/>
          <w:color w:val="365F91" w:themeColor="accent1" w:themeShade="BF"/>
          <w:sz w:val="22"/>
          <w:u w:val="single"/>
        </w:rPr>
        <w:t>Poprodejní péče VAS-07 edice „</w:t>
      </w:r>
      <w:proofErr w:type="spellStart"/>
      <w:r w:rsidRPr="007F1428">
        <w:rPr>
          <w:b/>
          <w:bCs/>
          <w:color w:val="365F91" w:themeColor="accent1" w:themeShade="BF"/>
          <w:sz w:val="22"/>
          <w:u w:val="single"/>
        </w:rPr>
        <w:t>BetterFuture</w:t>
      </w:r>
      <w:proofErr w:type="spellEnd"/>
      <w:r w:rsidRPr="007F1428">
        <w:rPr>
          <w:b/>
          <w:bCs/>
          <w:color w:val="365F91" w:themeColor="accent1" w:themeShade="BF"/>
          <w:sz w:val="22"/>
          <w:u w:val="single"/>
        </w:rPr>
        <w:t>“</w:t>
      </w:r>
    </w:p>
    <w:p w:rsidR="00850DC8" w:rsidRDefault="00850DC8" w:rsidP="00850DC8">
      <w:pPr>
        <w:pStyle w:val="Zkladntext2"/>
        <w:jc w:val="both"/>
      </w:pPr>
      <w:r>
        <w:t>Společnost EMBITRON s.r.o. zajišťuje dodávky svých přístrojů včetně instalace a zaškolení obsluhujícího zdravotnického personálu a zajišťuje i poprodejní péči v rámci systému pravidelných kontrol ve smyslu zákona 268/2014 Sb. v platném znění.</w:t>
      </w:r>
    </w:p>
    <w:p w:rsidR="00850DC8" w:rsidRDefault="00850DC8" w:rsidP="00850DC8">
      <w:pPr>
        <w:pStyle w:val="Zkladntext2"/>
        <w:jc w:val="both"/>
      </w:pPr>
      <w:r>
        <w:t>Společnost EMBITRON s.r.o. jako prodávající poskytuje na dodaný výrobek v souladu s Obchodním zákoníkem záruku na vlastnosti stanovené technickými podmínkami a vyjádřené souborem zaručených vlastností na dobu 24 měsíců.</w:t>
      </w:r>
    </w:p>
    <w:p w:rsidR="00850DC8" w:rsidRDefault="00850DC8" w:rsidP="00850DC8">
      <w:pPr>
        <w:pStyle w:val="Zkladntext2"/>
        <w:jc w:val="both"/>
        <w:rPr>
          <w:b/>
          <w:bCs/>
        </w:rPr>
      </w:pPr>
      <w:r>
        <w:t xml:space="preserve">V rámci záručního a pozáručního servisu spol. </w:t>
      </w:r>
      <w:proofErr w:type="spellStart"/>
      <w:r>
        <w:t>Embitron</w:t>
      </w:r>
      <w:proofErr w:type="spellEnd"/>
      <w:r>
        <w:t xml:space="preserve"> s.r.o. zajišťuje materiál spotřební i náhradní díly min. po dobu 8 let. Veškerý technický servis je poskytován po celou dobu životnosti přístroje společností </w:t>
      </w:r>
      <w:proofErr w:type="spellStart"/>
      <w:r>
        <w:t>Embitron</w:t>
      </w:r>
      <w:proofErr w:type="spellEnd"/>
      <w:r>
        <w:t xml:space="preserve"> s.r.o.</w:t>
      </w:r>
    </w:p>
    <w:p w:rsidR="00850DC8" w:rsidRDefault="00850DC8" w:rsidP="00850DC8">
      <w:pPr>
        <w:pStyle w:val="Zpat"/>
        <w:tabs>
          <w:tab w:val="clear" w:pos="4536"/>
          <w:tab w:val="clear" w:pos="9072"/>
        </w:tabs>
        <w:rPr>
          <w:rFonts w:ascii="Arial" w:hAnsi="Arial" w:cs="Arial"/>
        </w:rPr>
      </w:pPr>
    </w:p>
    <w:p w:rsidR="00850DC8" w:rsidRDefault="00850DC8" w:rsidP="00850DC8">
      <w:pPr>
        <w:pStyle w:val="Zpat"/>
        <w:tabs>
          <w:tab w:val="clear" w:pos="4536"/>
          <w:tab w:val="clear" w:pos="9072"/>
        </w:tabs>
        <w:rPr>
          <w:rFonts w:ascii="Arial" w:hAnsi="Arial" w:cs="Arial"/>
        </w:rPr>
      </w:pPr>
      <w:r>
        <w:rPr>
          <w:rFonts w:ascii="Arial" w:hAnsi="Arial" w:cs="Arial"/>
        </w:rPr>
        <w:t>Těšíme se na případnou spolupráci s Vámi a zůstáváme s pozdravem</w:t>
      </w:r>
      <w:r>
        <w:rPr>
          <w:rFonts w:ascii="Arial" w:hAnsi="Arial" w:cs="Arial"/>
        </w:rPr>
        <w:tab/>
      </w:r>
      <w:r>
        <w:rPr>
          <w:rFonts w:ascii="Arial" w:hAnsi="Arial" w:cs="Arial"/>
        </w:rPr>
        <w:tab/>
      </w:r>
      <w:r>
        <w:rPr>
          <w:rFonts w:ascii="Arial" w:hAnsi="Arial" w:cs="Arial"/>
        </w:rPr>
        <w:tab/>
      </w:r>
      <w:r>
        <w:rPr>
          <w:rFonts w:ascii="Arial" w:hAnsi="Arial" w:cs="Arial"/>
        </w:rPr>
        <w:tab/>
      </w:r>
    </w:p>
    <w:p w:rsidR="00850DC8" w:rsidRDefault="00850DC8" w:rsidP="00850DC8">
      <w:pPr>
        <w:rPr>
          <w:rFonts w:ascii="Arial" w:hAnsi="Arial" w:cs="Arial"/>
        </w:rPr>
      </w:pPr>
      <w:r>
        <w:rPr>
          <w:rFonts w:ascii="Arial" w:hAnsi="Arial" w:cs="Arial"/>
        </w:rPr>
        <w:t>za společnost EMBITRON s.r.o.</w:t>
      </w:r>
    </w:p>
    <w:p w:rsidR="00850DC8" w:rsidRDefault="00850DC8" w:rsidP="00850DC8">
      <w:pPr>
        <w:pStyle w:val="Zpat"/>
        <w:tabs>
          <w:tab w:val="left" w:pos="708"/>
        </w:tabs>
        <w:ind w:left="4536" w:hanging="4536"/>
        <w:rPr>
          <w:rFonts w:ascii="Arial" w:hAnsi="Arial" w:cs="Arial"/>
        </w:rPr>
      </w:pPr>
    </w:p>
    <w:p w:rsidR="00850DC8" w:rsidRDefault="008B098A" w:rsidP="00850DC8">
      <w:pPr>
        <w:pStyle w:val="Zpat"/>
        <w:tabs>
          <w:tab w:val="left" w:pos="708"/>
        </w:tabs>
        <w:ind w:left="4536" w:hanging="4536"/>
        <w:rPr>
          <w:rFonts w:ascii="Arial" w:hAnsi="Arial" w:cs="Arial"/>
        </w:rPr>
      </w:pPr>
      <w:proofErr w:type="gramStart"/>
      <w:r>
        <w:rPr>
          <w:rFonts w:ascii="Arial" w:hAnsi="Arial" w:cs="Arial"/>
        </w:rPr>
        <w:t>I.B.</w:t>
      </w:r>
      <w:r>
        <w:rPr>
          <w:rFonts w:ascii="Arial" w:hAnsi="Arial" w:cs="Arial"/>
        </w:rPr>
        <w:tab/>
      </w:r>
      <w:r w:rsidR="00850DC8">
        <w:rPr>
          <w:rFonts w:ascii="Arial" w:hAnsi="Arial" w:cs="Arial"/>
        </w:rPr>
        <w:t xml:space="preserve">, </w:t>
      </w:r>
      <w:r w:rsidR="00850DC8">
        <w:rPr>
          <w:rFonts w:ascii="Arial" w:hAnsi="Arial" w:cs="Arial"/>
        </w:rPr>
        <w:tab/>
      </w:r>
      <w:r w:rsidR="00AC2DDA">
        <w:rPr>
          <w:rFonts w:ascii="Arial" w:hAnsi="Arial" w:cs="Arial"/>
        </w:rPr>
        <w:t xml:space="preserve">          V Plzni</w:t>
      </w:r>
      <w:proofErr w:type="gramEnd"/>
      <w:r w:rsidR="00AC2DDA">
        <w:rPr>
          <w:rFonts w:ascii="Arial" w:hAnsi="Arial" w:cs="Arial"/>
        </w:rPr>
        <w:t xml:space="preserve"> dne 14</w:t>
      </w:r>
      <w:r w:rsidR="00850DC8">
        <w:rPr>
          <w:rFonts w:ascii="Arial" w:hAnsi="Arial" w:cs="Arial"/>
        </w:rPr>
        <w:t>. 7. 2017</w:t>
      </w:r>
      <w:r w:rsidR="00850DC8">
        <w:rPr>
          <w:rFonts w:ascii="Arial" w:hAnsi="Arial" w:cs="Arial"/>
        </w:rPr>
        <w:tab/>
      </w:r>
      <w:r w:rsidR="00850DC8">
        <w:rPr>
          <w:rFonts w:ascii="Arial" w:hAnsi="Arial" w:cs="Arial"/>
        </w:rPr>
        <w:tab/>
      </w:r>
    </w:p>
    <w:p w:rsidR="00850DC8" w:rsidRDefault="00850DC8" w:rsidP="00850DC8">
      <w:pPr>
        <w:pStyle w:val="Zpat"/>
        <w:tabs>
          <w:tab w:val="left" w:pos="708"/>
        </w:tabs>
        <w:ind w:left="4536" w:hanging="4536"/>
        <w:rPr>
          <w:rFonts w:ascii="Arial" w:hAnsi="Arial" w:cs="Arial"/>
        </w:rPr>
      </w:pPr>
      <w:r>
        <w:rPr>
          <w:rFonts w:ascii="Arial" w:hAnsi="Arial" w:cs="Arial"/>
        </w:rPr>
        <w:tab/>
      </w:r>
    </w:p>
    <w:p w:rsidR="00850DC8" w:rsidRDefault="00850DC8" w:rsidP="00850DC8">
      <w:pPr>
        <w:pStyle w:val="Zpat"/>
        <w:tabs>
          <w:tab w:val="left" w:pos="708"/>
        </w:tabs>
        <w:rPr>
          <w:rFonts w:ascii="Arial" w:hAnsi="Arial" w:cs="Arial"/>
        </w:rPr>
      </w:pPr>
      <w:r>
        <w:rPr>
          <w:rFonts w:ascii="Arial" w:hAnsi="Arial" w:cs="Arial"/>
        </w:rPr>
        <w:t>EMBITRON s.r.o.</w:t>
      </w:r>
    </w:p>
    <w:p w:rsidR="00850DC8" w:rsidRDefault="00850DC8" w:rsidP="00850DC8">
      <w:pPr>
        <w:pStyle w:val="Zpat"/>
        <w:tabs>
          <w:tab w:val="left" w:pos="708"/>
        </w:tabs>
        <w:rPr>
          <w:rFonts w:ascii="Arial" w:hAnsi="Arial" w:cs="Arial"/>
        </w:rPr>
      </w:pPr>
      <w:r>
        <w:rPr>
          <w:rFonts w:ascii="Arial" w:hAnsi="Arial" w:cs="Arial"/>
        </w:rPr>
        <w:t>Borská 55, 301 00 Plzeň</w:t>
      </w:r>
    </w:p>
    <w:p w:rsidR="00850DC8" w:rsidRDefault="00850DC8" w:rsidP="00850DC8">
      <w:pPr>
        <w:pStyle w:val="Zpat"/>
        <w:tabs>
          <w:tab w:val="left" w:pos="708"/>
        </w:tabs>
        <w:rPr>
          <w:rFonts w:ascii="Arial" w:hAnsi="Arial" w:cs="Arial"/>
        </w:rPr>
      </w:pPr>
      <w:r>
        <w:rPr>
          <w:rFonts w:ascii="Arial" w:hAnsi="Arial" w:cs="Arial"/>
        </w:rPr>
        <w:t xml:space="preserve">Tel.: +420 </w:t>
      </w:r>
      <w:proofErr w:type="spellStart"/>
      <w:r w:rsidR="008B098A">
        <w:rPr>
          <w:rFonts w:ascii="Arial" w:hAnsi="Arial" w:cs="Arial"/>
        </w:rPr>
        <w:t>xxx</w:t>
      </w:r>
      <w:proofErr w:type="spellEnd"/>
      <w:r w:rsidR="008B098A">
        <w:rPr>
          <w:rFonts w:ascii="Arial" w:hAnsi="Arial" w:cs="Arial"/>
        </w:rPr>
        <w:t xml:space="preserve"> </w:t>
      </w:r>
      <w:proofErr w:type="spellStart"/>
      <w:r w:rsidR="008B098A">
        <w:rPr>
          <w:rFonts w:ascii="Arial" w:hAnsi="Arial" w:cs="Arial"/>
        </w:rPr>
        <w:t>xxx</w:t>
      </w:r>
      <w:proofErr w:type="spellEnd"/>
      <w:r w:rsidR="008B098A">
        <w:rPr>
          <w:rFonts w:ascii="Arial" w:hAnsi="Arial" w:cs="Arial"/>
        </w:rPr>
        <w:t xml:space="preserve"> </w:t>
      </w:r>
      <w:proofErr w:type="spellStart"/>
      <w:r w:rsidR="008B098A">
        <w:rPr>
          <w:rFonts w:ascii="Arial" w:hAnsi="Arial" w:cs="Arial"/>
        </w:rPr>
        <w:t>xxx</w:t>
      </w:r>
      <w:proofErr w:type="spellEnd"/>
    </w:p>
    <w:p w:rsidR="00850DC8" w:rsidRDefault="00850DC8" w:rsidP="00850DC8">
      <w:pPr>
        <w:pStyle w:val="Zpat"/>
        <w:tabs>
          <w:tab w:val="left" w:pos="708"/>
        </w:tabs>
        <w:rPr>
          <w:rFonts w:ascii="Arial" w:hAnsi="Arial" w:cs="Arial"/>
        </w:rPr>
      </w:pPr>
      <w:r>
        <w:rPr>
          <w:rFonts w:ascii="Arial" w:hAnsi="Arial" w:cs="Arial"/>
        </w:rPr>
        <w:t xml:space="preserve">Mob.: +420 </w:t>
      </w:r>
      <w:proofErr w:type="spellStart"/>
      <w:r w:rsidR="008B098A">
        <w:rPr>
          <w:rFonts w:ascii="Arial" w:hAnsi="Arial" w:cs="Arial"/>
        </w:rPr>
        <w:t>xxx</w:t>
      </w:r>
      <w:proofErr w:type="spellEnd"/>
      <w:r w:rsidR="008B098A">
        <w:rPr>
          <w:rFonts w:ascii="Arial" w:hAnsi="Arial" w:cs="Arial"/>
        </w:rPr>
        <w:t xml:space="preserve"> </w:t>
      </w:r>
      <w:proofErr w:type="spellStart"/>
      <w:r w:rsidR="008B098A">
        <w:rPr>
          <w:rFonts w:ascii="Arial" w:hAnsi="Arial" w:cs="Arial"/>
        </w:rPr>
        <w:t>xxx</w:t>
      </w:r>
      <w:proofErr w:type="spellEnd"/>
      <w:r w:rsidR="008B098A">
        <w:rPr>
          <w:rFonts w:ascii="Arial" w:hAnsi="Arial" w:cs="Arial"/>
        </w:rPr>
        <w:t xml:space="preserve"> </w:t>
      </w:r>
      <w:proofErr w:type="spellStart"/>
      <w:r w:rsidR="008B098A">
        <w:rPr>
          <w:rFonts w:ascii="Arial" w:hAnsi="Arial" w:cs="Arial"/>
        </w:rPr>
        <w:t>xxx</w:t>
      </w:r>
      <w:proofErr w:type="spellEnd"/>
    </w:p>
    <w:p w:rsidR="00850DC8" w:rsidRDefault="008B098A" w:rsidP="00850DC8">
      <w:pPr>
        <w:pStyle w:val="Zpat"/>
        <w:tabs>
          <w:tab w:val="left" w:pos="708"/>
        </w:tabs>
        <w:rPr>
          <w:rFonts w:ascii="Arial" w:hAnsi="Arial" w:cs="Arial"/>
        </w:rPr>
      </w:pPr>
      <w:r>
        <w:rPr>
          <w:rFonts w:ascii="Arial" w:hAnsi="Arial" w:cs="Arial"/>
        </w:rPr>
        <w:t>xxxxxxxxxxxxxxxxxxxxxxxxxxxxxx</w:t>
      </w:r>
      <w:bookmarkStart w:id="0" w:name="_GoBack"/>
      <w:bookmarkEnd w:id="0"/>
    </w:p>
    <w:p w:rsidR="00850DC8" w:rsidRPr="00432EE6" w:rsidRDefault="00850DC8" w:rsidP="00850DC8">
      <w:pPr>
        <w:pStyle w:val="Zpat"/>
        <w:tabs>
          <w:tab w:val="left" w:pos="708"/>
        </w:tabs>
        <w:rPr>
          <w:rFonts w:ascii="Arial" w:hAnsi="Arial" w:cs="Arial"/>
        </w:rPr>
      </w:pPr>
      <w:r>
        <w:rPr>
          <w:rFonts w:ascii="Arial" w:hAnsi="Arial" w:cs="Arial"/>
        </w:rPr>
        <w:t>www.embitron.cz</w:t>
      </w:r>
    </w:p>
    <w:p w:rsidR="00850DC8" w:rsidRDefault="00850DC8" w:rsidP="00850DC8">
      <w:pPr>
        <w:pStyle w:val="Nadpis2"/>
        <w:jc w:val="left"/>
        <w:rPr>
          <w:rFonts w:ascii="Arial" w:hAnsi="Arial" w:cs="Arial"/>
          <w:b/>
          <w:bCs/>
        </w:rPr>
      </w:pPr>
    </w:p>
    <w:p w:rsidR="00850DC8" w:rsidRDefault="00850DC8" w:rsidP="00850DC8">
      <w:pPr>
        <w:pStyle w:val="Nadpis2"/>
        <w:jc w:val="left"/>
        <w:rPr>
          <w:sz w:val="20"/>
        </w:rPr>
      </w:pPr>
    </w:p>
    <w:p w:rsidR="00850DC8" w:rsidRDefault="00850DC8" w:rsidP="00850DC8"/>
    <w:p w:rsidR="00850DC8" w:rsidRPr="00DB7DE8" w:rsidRDefault="00850DC8" w:rsidP="00850DC8">
      <w:pPr>
        <w:pStyle w:val="Nadpis2"/>
        <w:jc w:val="left"/>
        <w:rPr>
          <w:rFonts w:ascii="Arial" w:hAnsi="Arial" w:cs="Arial"/>
          <w:b/>
          <w:bCs/>
        </w:rPr>
      </w:pPr>
      <w:r>
        <w:rPr>
          <w:rFonts w:ascii="Arial" w:hAnsi="Arial" w:cs="Arial"/>
          <w:b/>
          <w:bCs/>
        </w:rPr>
        <w:lastRenderedPageBreak/>
        <w:t>Technické charakteristiky přístroje VAS-07 edice „BETTER FUTRE“ – STRONG</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0"/>
        <w:gridCol w:w="5400"/>
      </w:tblGrid>
      <w:tr w:rsidR="00850DC8" w:rsidTr="00434009">
        <w:trPr>
          <w:trHeight w:val="615"/>
        </w:trPr>
        <w:tc>
          <w:tcPr>
            <w:tcW w:w="3400" w:type="dxa"/>
            <w:vAlign w:val="center"/>
          </w:tcPr>
          <w:p w:rsidR="00850DC8" w:rsidRDefault="00850DC8" w:rsidP="00434009">
            <w:pPr>
              <w:rPr>
                <w:sz w:val="18"/>
              </w:rPr>
            </w:pPr>
            <w:r>
              <w:rPr>
                <w:sz w:val="18"/>
              </w:rPr>
              <w:t>Zdravotnická klasifikace</w:t>
            </w:r>
          </w:p>
        </w:tc>
        <w:tc>
          <w:tcPr>
            <w:tcW w:w="5400" w:type="dxa"/>
            <w:vAlign w:val="center"/>
          </w:tcPr>
          <w:p w:rsidR="00850DC8" w:rsidRDefault="00850DC8" w:rsidP="00434009">
            <w:pPr>
              <w:rPr>
                <w:sz w:val="18"/>
              </w:rPr>
            </w:pPr>
            <w:r>
              <w:rPr>
                <w:sz w:val="18"/>
              </w:rPr>
              <w:t xml:space="preserve">Zdravotnický prostředek třídy II a </w:t>
            </w:r>
          </w:p>
          <w:p w:rsidR="00850DC8" w:rsidRDefault="00850DC8" w:rsidP="00434009">
            <w:pPr>
              <w:rPr>
                <w:sz w:val="18"/>
              </w:rPr>
            </w:pPr>
            <w:r>
              <w:rPr>
                <w:sz w:val="18"/>
              </w:rPr>
              <w:t xml:space="preserve">podle </w:t>
            </w:r>
            <w:proofErr w:type="spellStart"/>
            <w:r>
              <w:rPr>
                <w:sz w:val="18"/>
              </w:rPr>
              <w:t>CouncilDirective</w:t>
            </w:r>
            <w:proofErr w:type="spellEnd"/>
            <w:r>
              <w:rPr>
                <w:sz w:val="18"/>
              </w:rPr>
              <w:t xml:space="preserve"> 93/42/EEC</w:t>
            </w:r>
          </w:p>
        </w:tc>
      </w:tr>
      <w:tr w:rsidR="00850DC8" w:rsidTr="00434009">
        <w:trPr>
          <w:trHeight w:val="705"/>
        </w:trPr>
        <w:tc>
          <w:tcPr>
            <w:tcW w:w="3400" w:type="dxa"/>
            <w:vAlign w:val="center"/>
          </w:tcPr>
          <w:p w:rsidR="00850DC8" w:rsidRDefault="00850DC8" w:rsidP="00434009">
            <w:pPr>
              <w:rPr>
                <w:sz w:val="18"/>
              </w:rPr>
            </w:pPr>
            <w:r>
              <w:rPr>
                <w:sz w:val="18"/>
              </w:rPr>
              <w:t>Elektrotechnická klasifikace</w:t>
            </w:r>
          </w:p>
        </w:tc>
        <w:tc>
          <w:tcPr>
            <w:tcW w:w="5400" w:type="dxa"/>
            <w:vAlign w:val="center"/>
          </w:tcPr>
          <w:p w:rsidR="00850DC8" w:rsidRDefault="00850DC8" w:rsidP="00434009">
            <w:pPr>
              <w:rPr>
                <w:sz w:val="18"/>
              </w:rPr>
            </w:pPr>
            <w:r>
              <w:rPr>
                <w:sz w:val="18"/>
              </w:rPr>
              <w:t xml:space="preserve">Přístroj napájený z vnějšího zdroje elektrické energie </w:t>
            </w:r>
          </w:p>
          <w:p w:rsidR="00850DC8" w:rsidRDefault="00850DC8" w:rsidP="00434009">
            <w:pPr>
              <w:rPr>
                <w:sz w:val="18"/>
              </w:rPr>
            </w:pPr>
            <w:r>
              <w:rPr>
                <w:sz w:val="18"/>
              </w:rPr>
              <w:t>(síť střídavého napájení 230 V / 50 Hz;).</w:t>
            </w:r>
          </w:p>
          <w:p w:rsidR="00850DC8" w:rsidRDefault="00850DC8" w:rsidP="00434009">
            <w:pPr>
              <w:rPr>
                <w:sz w:val="18"/>
              </w:rPr>
            </w:pPr>
            <w:r>
              <w:rPr>
                <w:sz w:val="18"/>
              </w:rPr>
              <w:t xml:space="preserve">Z hlediska ochrany před úrazem </w:t>
            </w:r>
            <w:proofErr w:type="spellStart"/>
            <w:r>
              <w:rPr>
                <w:sz w:val="18"/>
              </w:rPr>
              <w:t>elektr</w:t>
            </w:r>
            <w:proofErr w:type="spellEnd"/>
            <w:r>
              <w:rPr>
                <w:sz w:val="18"/>
              </w:rPr>
              <w:t>. proudem přístroj třídy II</w:t>
            </w:r>
          </w:p>
        </w:tc>
      </w:tr>
      <w:tr w:rsidR="00850DC8" w:rsidTr="00434009">
        <w:trPr>
          <w:trHeight w:val="584"/>
        </w:trPr>
        <w:tc>
          <w:tcPr>
            <w:tcW w:w="3400" w:type="dxa"/>
            <w:vAlign w:val="center"/>
          </w:tcPr>
          <w:p w:rsidR="00850DC8" w:rsidRDefault="00850DC8" w:rsidP="00434009">
            <w:pPr>
              <w:rPr>
                <w:sz w:val="18"/>
              </w:rPr>
            </w:pPr>
            <w:r>
              <w:rPr>
                <w:sz w:val="18"/>
              </w:rPr>
              <w:t>Použitá elektrotechnická norma</w:t>
            </w:r>
          </w:p>
        </w:tc>
        <w:tc>
          <w:tcPr>
            <w:tcW w:w="5400" w:type="dxa"/>
            <w:vAlign w:val="center"/>
          </w:tcPr>
          <w:p w:rsidR="00850DC8" w:rsidRDefault="00850DC8" w:rsidP="00434009">
            <w:pPr>
              <w:rPr>
                <w:sz w:val="18"/>
              </w:rPr>
            </w:pPr>
            <w:r>
              <w:rPr>
                <w:sz w:val="18"/>
              </w:rPr>
              <w:t>ČSN EN 60 601 – 1 (IEC 601 – 1)</w:t>
            </w:r>
          </w:p>
        </w:tc>
      </w:tr>
      <w:tr w:rsidR="00850DC8" w:rsidTr="00434009">
        <w:trPr>
          <w:trHeight w:val="615"/>
        </w:trPr>
        <w:tc>
          <w:tcPr>
            <w:tcW w:w="3400" w:type="dxa"/>
            <w:vAlign w:val="center"/>
          </w:tcPr>
          <w:p w:rsidR="00850DC8" w:rsidRDefault="00850DC8" w:rsidP="00434009">
            <w:pPr>
              <w:rPr>
                <w:sz w:val="18"/>
              </w:rPr>
            </w:pPr>
            <w:r>
              <w:rPr>
                <w:sz w:val="18"/>
              </w:rPr>
              <w:t>Klasifikace příložné části elektrického přístroje zdravotnického</w:t>
            </w:r>
          </w:p>
        </w:tc>
        <w:tc>
          <w:tcPr>
            <w:tcW w:w="5400" w:type="dxa"/>
            <w:vAlign w:val="center"/>
          </w:tcPr>
          <w:p w:rsidR="00850DC8" w:rsidRDefault="00850DC8" w:rsidP="00434009">
            <w:pPr>
              <w:rPr>
                <w:sz w:val="18"/>
              </w:rPr>
            </w:pPr>
            <w:r>
              <w:rPr>
                <w:sz w:val="18"/>
              </w:rPr>
              <w:t>BF (dle normy ČSN EN 60 601–1, ekvivalentní ICE 601-1)</w:t>
            </w:r>
          </w:p>
        </w:tc>
      </w:tr>
      <w:tr w:rsidR="00850DC8" w:rsidTr="00434009">
        <w:trPr>
          <w:trHeight w:val="615"/>
        </w:trPr>
        <w:tc>
          <w:tcPr>
            <w:tcW w:w="3400" w:type="dxa"/>
            <w:vAlign w:val="center"/>
          </w:tcPr>
          <w:p w:rsidR="00850DC8" w:rsidRDefault="00850DC8" w:rsidP="00434009">
            <w:pPr>
              <w:rPr>
                <w:sz w:val="18"/>
              </w:rPr>
            </w:pPr>
            <w:r>
              <w:rPr>
                <w:sz w:val="18"/>
              </w:rPr>
              <w:t xml:space="preserve">Klasifikace z hlediska ochrany </w:t>
            </w:r>
            <w:proofErr w:type="gramStart"/>
            <w:r>
              <w:rPr>
                <w:sz w:val="18"/>
              </w:rPr>
              <w:t>před  vniknutím</w:t>
            </w:r>
            <w:proofErr w:type="gramEnd"/>
            <w:r>
              <w:rPr>
                <w:sz w:val="18"/>
              </w:rPr>
              <w:t xml:space="preserve"> vody nebo pevných těles</w:t>
            </w:r>
          </w:p>
        </w:tc>
        <w:tc>
          <w:tcPr>
            <w:tcW w:w="5400" w:type="dxa"/>
            <w:vAlign w:val="center"/>
          </w:tcPr>
          <w:p w:rsidR="00850DC8" w:rsidRDefault="00850DC8" w:rsidP="00434009">
            <w:pPr>
              <w:rPr>
                <w:sz w:val="18"/>
              </w:rPr>
            </w:pPr>
            <w:r>
              <w:rPr>
                <w:sz w:val="18"/>
              </w:rPr>
              <w:t>IP 40 (dle IEC 60 529)</w:t>
            </w:r>
          </w:p>
        </w:tc>
      </w:tr>
      <w:tr w:rsidR="00850DC8" w:rsidTr="00434009">
        <w:trPr>
          <w:trHeight w:val="615"/>
        </w:trPr>
        <w:tc>
          <w:tcPr>
            <w:tcW w:w="3400" w:type="dxa"/>
            <w:vAlign w:val="center"/>
          </w:tcPr>
          <w:p w:rsidR="00850DC8" w:rsidRDefault="00850DC8" w:rsidP="00434009">
            <w:pPr>
              <w:rPr>
                <w:sz w:val="18"/>
              </w:rPr>
            </w:pPr>
            <w:r>
              <w:rPr>
                <w:sz w:val="18"/>
              </w:rPr>
              <w:t>Klasifikace pro provoz:</w:t>
            </w:r>
          </w:p>
          <w:p w:rsidR="00850DC8" w:rsidRDefault="00850DC8" w:rsidP="00434009">
            <w:pPr>
              <w:rPr>
                <w:sz w:val="18"/>
              </w:rPr>
            </w:pPr>
            <w:r>
              <w:rPr>
                <w:sz w:val="18"/>
              </w:rPr>
              <w:t xml:space="preserve">               v prostorách:</w:t>
            </w:r>
          </w:p>
        </w:tc>
        <w:tc>
          <w:tcPr>
            <w:tcW w:w="5400" w:type="dxa"/>
            <w:vAlign w:val="center"/>
          </w:tcPr>
          <w:p w:rsidR="00850DC8" w:rsidRDefault="00850DC8" w:rsidP="00434009">
            <w:pPr>
              <w:rPr>
                <w:sz w:val="18"/>
              </w:rPr>
            </w:pPr>
            <w:r>
              <w:rPr>
                <w:sz w:val="18"/>
              </w:rPr>
              <w:t>trvalý,</w:t>
            </w:r>
          </w:p>
          <w:p w:rsidR="00850DC8" w:rsidRDefault="00850DC8" w:rsidP="00434009">
            <w:pPr>
              <w:rPr>
                <w:sz w:val="18"/>
              </w:rPr>
            </w:pPr>
            <w:r>
              <w:rPr>
                <w:sz w:val="18"/>
              </w:rPr>
              <w:t>vnitřních, normálních, bez zvýšeného rizika</w:t>
            </w:r>
          </w:p>
        </w:tc>
      </w:tr>
      <w:tr w:rsidR="00850DC8" w:rsidTr="00434009">
        <w:trPr>
          <w:trHeight w:val="496"/>
        </w:trPr>
        <w:tc>
          <w:tcPr>
            <w:tcW w:w="3400" w:type="dxa"/>
            <w:vAlign w:val="center"/>
          </w:tcPr>
          <w:p w:rsidR="00850DC8" w:rsidRDefault="00850DC8" w:rsidP="00434009">
            <w:pPr>
              <w:rPr>
                <w:sz w:val="18"/>
              </w:rPr>
            </w:pPr>
            <w:r>
              <w:rPr>
                <w:sz w:val="18"/>
              </w:rPr>
              <w:t>Sterilizace:</w:t>
            </w:r>
          </w:p>
        </w:tc>
        <w:tc>
          <w:tcPr>
            <w:tcW w:w="5400" w:type="dxa"/>
            <w:vAlign w:val="center"/>
          </w:tcPr>
          <w:p w:rsidR="00850DC8" w:rsidRDefault="00850DC8" w:rsidP="00434009">
            <w:pPr>
              <w:rPr>
                <w:sz w:val="18"/>
              </w:rPr>
            </w:pPr>
            <w:r>
              <w:rPr>
                <w:sz w:val="18"/>
              </w:rPr>
              <w:t>Přístroj není určen pro sterilizaci</w:t>
            </w:r>
          </w:p>
        </w:tc>
      </w:tr>
      <w:tr w:rsidR="00850DC8" w:rsidTr="00434009">
        <w:trPr>
          <w:trHeight w:val="635"/>
        </w:trPr>
        <w:tc>
          <w:tcPr>
            <w:tcW w:w="3400" w:type="dxa"/>
            <w:vAlign w:val="center"/>
          </w:tcPr>
          <w:p w:rsidR="00850DC8" w:rsidRDefault="00850DC8" w:rsidP="00434009">
            <w:pPr>
              <w:rPr>
                <w:sz w:val="18"/>
              </w:rPr>
            </w:pPr>
            <w:r>
              <w:rPr>
                <w:sz w:val="18"/>
              </w:rPr>
              <w:t>Napájecí napětí</w:t>
            </w:r>
          </w:p>
        </w:tc>
        <w:tc>
          <w:tcPr>
            <w:tcW w:w="5400" w:type="dxa"/>
            <w:vAlign w:val="center"/>
          </w:tcPr>
          <w:p w:rsidR="00850DC8" w:rsidRDefault="00850DC8" w:rsidP="00434009">
            <w:pPr>
              <w:rPr>
                <w:sz w:val="18"/>
              </w:rPr>
            </w:pPr>
            <w:r>
              <w:rPr>
                <w:sz w:val="18"/>
              </w:rPr>
              <w:t xml:space="preserve">230 V / 50 Hz střídavé sinusové; </w:t>
            </w:r>
          </w:p>
          <w:p w:rsidR="00850DC8" w:rsidRDefault="00850DC8" w:rsidP="00434009">
            <w:pPr>
              <w:rPr>
                <w:sz w:val="18"/>
              </w:rPr>
            </w:pPr>
            <w:r>
              <w:rPr>
                <w:sz w:val="18"/>
              </w:rPr>
              <w:t>nebo (po úpravě výrobcem): 115 V / 60 Hz střídavé sinusové</w:t>
            </w:r>
          </w:p>
        </w:tc>
      </w:tr>
      <w:tr w:rsidR="00850DC8" w:rsidTr="00434009">
        <w:trPr>
          <w:trHeight w:val="524"/>
        </w:trPr>
        <w:tc>
          <w:tcPr>
            <w:tcW w:w="3400" w:type="dxa"/>
            <w:vAlign w:val="center"/>
          </w:tcPr>
          <w:p w:rsidR="00850DC8" w:rsidRDefault="00850DC8" w:rsidP="00434009">
            <w:pPr>
              <w:rPr>
                <w:sz w:val="18"/>
              </w:rPr>
            </w:pPr>
            <w:r>
              <w:rPr>
                <w:sz w:val="18"/>
              </w:rPr>
              <w:t>Příkon</w:t>
            </w:r>
          </w:p>
        </w:tc>
        <w:tc>
          <w:tcPr>
            <w:tcW w:w="5400" w:type="dxa"/>
            <w:vAlign w:val="center"/>
          </w:tcPr>
          <w:p w:rsidR="00850DC8" w:rsidRDefault="00850DC8" w:rsidP="00434009">
            <w:pPr>
              <w:rPr>
                <w:sz w:val="18"/>
              </w:rPr>
            </w:pPr>
            <w:r>
              <w:rPr>
                <w:sz w:val="18"/>
              </w:rPr>
              <w:t>25 VA</w:t>
            </w:r>
          </w:p>
        </w:tc>
      </w:tr>
      <w:tr w:rsidR="00850DC8" w:rsidTr="00434009">
        <w:trPr>
          <w:trHeight w:val="532"/>
        </w:trPr>
        <w:tc>
          <w:tcPr>
            <w:tcW w:w="3400" w:type="dxa"/>
            <w:vAlign w:val="center"/>
          </w:tcPr>
          <w:p w:rsidR="00850DC8" w:rsidRDefault="00850DC8" w:rsidP="00434009">
            <w:pPr>
              <w:rPr>
                <w:sz w:val="18"/>
              </w:rPr>
            </w:pPr>
            <w:r>
              <w:rPr>
                <w:sz w:val="18"/>
              </w:rPr>
              <w:t>Jištění elektrického síťového napájení</w:t>
            </w:r>
          </w:p>
        </w:tc>
        <w:tc>
          <w:tcPr>
            <w:tcW w:w="5400" w:type="dxa"/>
            <w:vAlign w:val="center"/>
          </w:tcPr>
          <w:p w:rsidR="00850DC8" w:rsidRDefault="00850DC8" w:rsidP="00434009">
            <w:pPr>
              <w:rPr>
                <w:sz w:val="18"/>
              </w:rPr>
            </w:pPr>
            <w:r>
              <w:rPr>
                <w:sz w:val="18"/>
              </w:rPr>
              <w:t xml:space="preserve">Pojistka 315 mA, pomalá (T), umístěna uvnitř opláštění </w:t>
            </w:r>
            <w:proofErr w:type="gramStart"/>
            <w:r>
              <w:rPr>
                <w:sz w:val="18"/>
              </w:rPr>
              <w:t>napájecí  jednotky</w:t>
            </w:r>
            <w:proofErr w:type="gramEnd"/>
            <w:r>
              <w:rPr>
                <w:sz w:val="18"/>
              </w:rPr>
              <w:t xml:space="preserve"> (skříňka </w:t>
            </w:r>
            <w:r>
              <w:t>SMART-BOX, výrobce OKW, Německo)</w:t>
            </w:r>
          </w:p>
        </w:tc>
      </w:tr>
      <w:tr w:rsidR="00850DC8" w:rsidTr="00434009">
        <w:trPr>
          <w:trHeight w:val="615"/>
        </w:trPr>
        <w:tc>
          <w:tcPr>
            <w:tcW w:w="3400" w:type="dxa"/>
            <w:vAlign w:val="center"/>
          </w:tcPr>
          <w:p w:rsidR="00850DC8" w:rsidRDefault="00850DC8" w:rsidP="00434009">
            <w:pPr>
              <w:rPr>
                <w:sz w:val="18"/>
              </w:rPr>
            </w:pPr>
            <w:r>
              <w:rPr>
                <w:sz w:val="18"/>
              </w:rPr>
              <w:t>Magnetická indukce produkovaná aplikátorem</w:t>
            </w:r>
          </w:p>
        </w:tc>
        <w:tc>
          <w:tcPr>
            <w:tcW w:w="5400" w:type="dxa"/>
            <w:vAlign w:val="center"/>
          </w:tcPr>
          <w:p w:rsidR="00850DC8" w:rsidRDefault="00850DC8" w:rsidP="00434009">
            <w:pPr>
              <w:rPr>
                <w:sz w:val="18"/>
              </w:rPr>
            </w:pPr>
            <w:r>
              <w:rPr>
                <w:sz w:val="18"/>
              </w:rPr>
              <w:t xml:space="preserve">Interferenční proudy (špičková hodnota AC): 6 </w:t>
            </w:r>
            <w:proofErr w:type="spellStart"/>
            <w:r>
              <w:rPr>
                <w:sz w:val="18"/>
              </w:rPr>
              <w:t>mT</w:t>
            </w:r>
            <w:proofErr w:type="spellEnd"/>
          </w:p>
          <w:p w:rsidR="00850DC8" w:rsidRDefault="00850DC8" w:rsidP="00434009">
            <w:pPr>
              <w:rPr>
                <w:sz w:val="18"/>
              </w:rPr>
            </w:pPr>
            <w:r>
              <w:rPr>
                <w:sz w:val="18"/>
              </w:rPr>
              <w:t xml:space="preserve">Impulsní proudy (hodnota špička – špička impulsů): 4 </w:t>
            </w:r>
            <w:proofErr w:type="spellStart"/>
            <w:r>
              <w:rPr>
                <w:sz w:val="18"/>
              </w:rPr>
              <w:t>mT</w:t>
            </w:r>
            <w:proofErr w:type="spellEnd"/>
          </w:p>
        </w:tc>
      </w:tr>
      <w:tr w:rsidR="00850DC8" w:rsidTr="00434009">
        <w:trPr>
          <w:trHeight w:val="956"/>
        </w:trPr>
        <w:tc>
          <w:tcPr>
            <w:tcW w:w="3400" w:type="dxa"/>
            <w:vAlign w:val="center"/>
          </w:tcPr>
          <w:p w:rsidR="00850DC8" w:rsidRDefault="00850DC8" w:rsidP="00434009">
            <w:pPr>
              <w:rPr>
                <w:sz w:val="18"/>
              </w:rPr>
            </w:pPr>
            <w:r>
              <w:rPr>
                <w:sz w:val="18"/>
              </w:rPr>
              <w:t xml:space="preserve">Intenzita indukovaného elektrického napětí a elektrický indukovaný </w:t>
            </w:r>
            <w:proofErr w:type="gramStart"/>
            <w:r>
              <w:rPr>
                <w:sz w:val="18"/>
              </w:rPr>
              <w:t>proud  produkovaný</w:t>
            </w:r>
            <w:proofErr w:type="gramEnd"/>
            <w:r>
              <w:rPr>
                <w:sz w:val="18"/>
              </w:rPr>
              <w:t xml:space="preserve"> aplikátorem ve tkáni </w:t>
            </w:r>
          </w:p>
          <w:p w:rsidR="00850DC8" w:rsidRDefault="00850DC8" w:rsidP="00434009">
            <w:pPr>
              <w:rPr>
                <w:sz w:val="18"/>
              </w:rPr>
            </w:pPr>
            <w:r>
              <w:rPr>
                <w:sz w:val="18"/>
              </w:rPr>
              <w:t xml:space="preserve">(max. </w:t>
            </w:r>
            <w:proofErr w:type="spellStart"/>
            <w:r>
              <w:rPr>
                <w:sz w:val="18"/>
              </w:rPr>
              <w:t>orientač</w:t>
            </w:r>
            <w:proofErr w:type="spellEnd"/>
            <w:r>
              <w:rPr>
                <w:sz w:val="18"/>
              </w:rPr>
              <w:t>. hodnoty 200% intenzitě)</w:t>
            </w:r>
          </w:p>
        </w:tc>
        <w:tc>
          <w:tcPr>
            <w:tcW w:w="5400" w:type="dxa"/>
            <w:vAlign w:val="center"/>
          </w:tcPr>
          <w:p w:rsidR="00850DC8" w:rsidRDefault="00850DC8" w:rsidP="00434009">
            <w:pPr>
              <w:rPr>
                <w:sz w:val="18"/>
              </w:rPr>
            </w:pPr>
            <w:r>
              <w:rPr>
                <w:sz w:val="18"/>
              </w:rPr>
              <w:t xml:space="preserve">Interferenční </w:t>
            </w:r>
            <w:proofErr w:type="gramStart"/>
            <w:r>
              <w:rPr>
                <w:sz w:val="18"/>
              </w:rPr>
              <w:t>proudy:  (špičková</w:t>
            </w:r>
            <w:proofErr w:type="gramEnd"/>
            <w:r>
              <w:rPr>
                <w:sz w:val="18"/>
              </w:rPr>
              <w:t xml:space="preserve"> hodnota při jedné polaritě)</w:t>
            </w:r>
          </w:p>
          <w:p w:rsidR="00850DC8" w:rsidRDefault="00850DC8" w:rsidP="00434009">
            <w:pPr>
              <w:rPr>
                <w:sz w:val="18"/>
              </w:rPr>
            </w:pPr>
            <w:r>
              <w:rPr>
                <w:sz w:val="18"/>
              </w:rPr>
              <w:t xml:space="preserve">18,8 </w:t>
            </w:r>
            <w:proofErr w:type="spellStart"/>
            <w:r>
              <w:rPr>
                <w:sz w:val="18"/>
              </w:rPr>
              <w:t>mV</w:t>
            </w:r>
            <w:proofErr w:type="spellEnd"/>
            <w:r>
              <w:rPr>
                <w:sz w:val="18"/>
              </w:rPr>
              <w:t>/cm;  1,3 A/m</w:t>
            </w:r>
            <w:r>
              <w:rPr>
                <w:sz w:val="18"/>
                <w:vertAlign w:val="superscript"/>
              </w:rPr>
              <w:t xml:space="preserve">2 </w:t>
            </w:r>
            <w:r>
              <w:rPr>
                <w:sz w:val="18"/>
              </w:rPr>
              <w:t xml:space="preserve"> (při měrné vodivosti tkáně 0,6 </w:t>
            </w:r>
            <w:proofErr w:type="spellStart"/>
            <w:proofErr w:type="gramStart"/>
            <w:r>
              <w:rPr>
                <w:sz w:val="18"/>
              </w:rPr>
              <w:t>S.m</w:t>
            </w:r>
            <w:proofErr w:type="spellEnd"/>
            <w:r>
              <w:rPr>
                <w:sz w:val="18"/>
              </w:rPr>
              <w:t>)</w:t>
            </w:r>
            <w:proofErr w:type="gramEnd"/>
          </w:p>
          <w:p w:rsidR="00850DC8" w:rsidRDefault="00850DC8" w:rsidP="00434009">
            <w:pPr>
              <w:rPr>
                <w:sz w:val="18"/>
              </w:rPr>
            </w:pPr>
            <w:r>
              <w:rPr>
                <w:sz w:val="18"/>
              </w:rPr>
              <w:t>Impulsní proudy: (hodnota špička – špička impulsů)</w:t>
            </w:r>
          </w:p>
          <w:p w:rsidR="00850DC8" w:rsidRDefault="00850DC8" w:rsidP="00434009">
            <w:pPr>
              <w:rPr>
                <w:sz w:val="18"/>
              </w:rPr>
            </w:pPr>
            <w:r>
              <w:rPr>
                <w:sz w:val="18"/>
              </w:rPr>
              <w:t xml:space="preserve">4,0 </w:t>
            </w:r>
            <w:proofErr w:type="spellStart"/>
            <w:r>
              <w:rPr>
                <w:sz w:val="18"/>
              </w:rPr>
              <w:t>mV</w:t>
            </w:r>
            <w:proofErr w:type="spellEnd"/>
            <w:r>
              <w:rPr>
                <w:sz w:val="18"/>
              </w:rPr>
              <w:t>/cm; 0,26 A/m</w:t>
            </w:r>
            <w:r>
              <w:rPr>
                <w:sz w:val="18"/>
                <w:vertAlign w:val="superscript"/>
              </w:rPr>
              <w:t xml:space="preserve">2 </w:t>
            </w:r>
            <w:r>
              <w:rPr>
                <w:sz w:val="18"/>
              </w:rPr>
              <w:t xml:space="preserve"> (při měrné vodivosti tkáně 0,6 </w:t>
            </w:r>
            <w:proofErr w:type="spellStart"/>
            <w:proofErr w:type="gramStart"/>
            <w:r>
              <w:rPr>
                <w:sz w:val="18"/>
              </w:rPr>
              <w:t>S.m</w:t>
            </w:r>
            <w:proofErr w:type="spellEnd"/>
            <w:r>
              <w:rPr>
                <w:sz w:val="18"/>
              </w:rPr>
              <w:t>)</w:t>
            </w:r>
            <w:proofErr w:type="gramEnd"/>
          </w:p>
        </w:tc>
      </w:tr>
      <w:tr w:rsidR="00850DC8" w:rsidTr="00434009">
        <w:trPr>
          <w:trHeight w:val="876"/>
        </w:trPr>
        <w:tc>
          <w:tcPr>
            <w:tcW w:w="3400" w:type="dxa"/>
            <w:vAlign w:val="center"/>
          </w:tcPr>
          <w:p w:rsidR="00850DC8" w:rsidRDefault="00850DC8" w:rsidP="00434009">
            <w:pPr>
              <w:rPr>
                <w:sz w:val="18"/>
              </w:rPr>
            </w:pPr>
            <w:r>
              <w:rPr>
                <w:sz w:val="18"/>
              </w:rPr>
              <w:t>Impulsní indukované elektrické proudy</w:t>
            </w:r>
          </w:p>
        </w:tc>
        <w:tc>
          <w:tcPr>
            <w:tcW w:w="5400" w:type="dxa"/>
            <w:vAlign w:val="center"/>
          </w:tcPr>
          <w:p w:rsidR="00850DC8" w:rsidRDefault="00850DC8" w:rsidP="00434009">
            <w:pPr>
              <w:autoSpaceDE w:val="0"/>
              <w:autoSpaceDN w:val="0"/>
              <w:adjustRightInd w:val="0"/>
              <w:rPr>
                <w:sz w:val="18"/>
                <w:szCs w:val="26"/>
              </w:rPr>
            </w:pPr>
            <w:r>
              <w:rPr>
                <w:sz w:val="18"/>
              </w:rPr>
              <w:t xml:space="preserve">Šířka impulsu budicího napětí 150 </w:t>
            </w:r>
            <w:r>
              <w:rPr>
                <w:sz w:val="18"/>
                <w:szCs w:val="26"/>
              </w:rPr>
              <w:t xml:space="preserve">µs nebo 340 µs; </w:t>
            </w:r>
          </w:p>
          <w:p w:rsidR="00850DC8" w:rsidRDefault="00850DC8" w:rsidP="00434009">
            <w:pPr>
              <w:autoSpaceDE w:val="0"/>
              <w:autoSpaceDN w:val="0"/>
              <w:adjustRightInd w:val="0"/>
              <w:rPr>
                <w:sz w:val="18"/>
                <w:szCs w:val="26"/>
              </w:rPr>
            </w:pPr>
            <w:r>
              <w:rPr>
                <w:sz w:val="18"/>
                <w:szCs w:val="26"/>
              </w:rPr>
              <w:t>od frekvence 450 Hz jen šířka impulsu 150 µs;</w:t>
            </w:r>
          </w:p>
          <w:p w:rsidR="00850DC8" w:rsidRDefault="00850DC8" w:rsidP="00434009">
            <w:pPr>
              <w:autoSpaceDE w:val="0"/>
              <w:autoSpaceDN w:val="0"/>
              <w:adjustRightInd w:val="0"/>
              <w:rPr>
                <w:sz w:val="18"/>
                <w:szCs w:val="26"/>
              </w:rPr>
            </w:pPr>
            <w:r>
              <w:rPr>
                <w:sz w:val="18"/>
                <w:szCs w:val="26"/>
              </w:rPr>
              <w:t>frekvence 1 – 1 200 Hz, při impulsních terapiích až 3 123 Hz;</w:t>
            </w:r>
          </w:p>
          <w:p w:rsidR="00850DC8" w:rsidRDefault="00850DC8" w:rsidP="00434009">
            <w:pPr>
              <w:autoSpaceDE w:val="0"/>
              <w:autoSpaceDN w:val="0"/>
              <w:adjustRightInd w:val="0"/>
              <w:rPr>
                <w:sz w:val="18"/>
              </w:rPr>
            </w:pPr>
            <w:r>
              <w:rPr>
                <w:sz w:val="18"/>
                <w:szCs w:val="26"/>
              </w:rPr>
              <w:t xml:space="preserve">randomizovaná </w:t>
            </w:r>
            <w:proofErr w:type="gramStart"/>
            <w:r>
              <w:rPr>
                <w:sz w:val="18"/>
                <w:szCs w:val="26"/>
              </w:rPr>
              <w:t>frekvence 1 –  999</w:t>
            </w:r>
            <w:proofErr w:type="gramEnd"/>
            <w:r>
              <w:rPr>
                <w:sz w:val="18"/>
                <w:szCs w:val="26"/>
              </w:rPr>
              <w:t xml:space="preserve"> Hz </w:t>
            </w:r>
          </w:p>
        </w:tc>
      </w:tr>
      <w:tr w:rsidR="00850DC8" w:rsidTr="00434009">
        <w:trPr>
          <w:trHeight w:val="809"/>
        </w:trPr>
        <w:tc>
          <w:tcPr>
            <w:tcW w:w="3400" w:type="dxa"/>
            <w:vAlign w:val="center"/>
          </w:tcPr>
          <w:p w:rsidR="00850DC8" w:rsidRDefault="00850DC8" w:rsidP="00434009">
            <w:pPr>
              <w:rPr>
                <w:sz w:val="18"/>
              </w:rPr>
            </w:pPr>
            <w:r>
              <w:rPr>
                <w:sz w:val="18"/>
              </w:rPr>
              <w:t>Interferenční indukované elektrické proudy</w:t>
            </w:r>
          </w:p>
        </w:tc>
        <w:tc>
          <w:tcPr>
            <w:tcW w:w="5400" w:type="dxa"/>
            <w:vAlign w:val="center"/>
          </w:tcPr>
          <w:p w:rsidR="00850DC8" w:rsidRDefault="00850DC8" w:rsidP="00434009">
            <w:pPr>
              <w:rPr>
                <w:sz w:val="18"/>
              </w:rPr>
            </w:pPr>
            <w:r>
              <w:rPr>
                <w:sz w:val="18"/>
              </w:rPr>
              <w:t>Frekvence interferencí 1 – 400 Hz</w:t>
            </w:r>
          </w:p>
          <w:p w:rsidR="00850DC8" w:rsidRDefault="00850DC8" w:rsidP="00434009">
            <w:pPr>
              <w:rPr>
                <w:sz w:val="18"/>
              </w:rPr>
            </w:pPr>
            <w:r>
              <w:rPr>
                <w:sz w:val="18"/>
              </w:rPr>
              <w:t>Frekvence 1. budicí cívky: 4 000 – 6 000 Hz harmonický průběh</w:t>
            </w:r>
          </w:p>
          <w:p w:rsidR="00850DC8" w:rsidRDefault="00850DC8" w:rsidP="00434009">
            <w:pPr>
              <w:rPr>
                <w:sz w:val="18"/>
              </w:rPr>
            </w:pPr>
            <w:r>
              <w:rPr>
                <w:sz w:val="18"/>
              </w:rPr>
              <w:t>Frekvence 2. budicí cívky: 4 000 – 6 000 Hz harmonický průběh</w:t>
            </w:r>
          </w:p>
        </w:tc>
      </w:tr>
      <w:tr w:rsidR="00850DC8" w:rsidTr="00434009">
        <w:trPr>
          <w:trHeight w:val="1161"/>
        </w:trPr>
        <w:tc>
          <w:tcPr>
            <w:tcW w:w="3400" w:type="dxa"/>
            <w:vAlign w:val="center"/>
          </w:tcPr>
          <w:p w:rsidR="00850DC8" w:rsidRDefault="00850DC8" w:rsidP="00434009">
            <w:pPr>
              <w:rPr>
                <w:sz w:val="18"/>
              </w:rPr>
            </w:pPr>
            <w:r>
              <w:rPr>
                <w:sz w:val="18"/>
              </w:rPr>
              <w:t>Světelný tok produkovaný aplikátorem</w:t>
            </w:r>
          </w:p>
          <w:p w:rsidR="00850DC8" w:rsidRDefault="00850DC8" w:rsidP="00434009">
            <w:pPr>
              <w:rPr>
                <w:sz w:val="18"/>
              </w:rPr>
            </w:pPr>
            <w:r>
              <w:rPr>
                <w:sz w:val="18"/>
              </w:rPr>
              <w:t xml:space="preserve">(24 nebo 40 LED průměr 5 mm, </w:t>
            </w:r>
          </w:p>
          <w:p w:rsidR="00850DC8" w:rsidRDefault="00850DC8" w:rsidP="00434009">
            <w:pPr>
              <w:rPr>
                <w:sz w:val="18"/>
              </w:rPr>
            </w:pPr>
            <w:proofErr w:type="spellStart"/>
            <w:r>
              <w:rPr>
                <w:sz w:val="18"/>
              </w:rPr>
              <w:t>waterclear</w:t>
            </w:r>
            <w:proofErr w:type="spellEnd"/>
            <w:r>
              <w:rPr>
                <w:sz w:val="18"/>
              </w:rPr>
              <w:t xml:space="preserve">, vyzařovací úhel 12 </w:t>
            </w:r>
            <w:proofErr w:type="spellStart"/>
            <w:r>
              <w:rPr>
                <w:sz w:val="18"/>
              </w:rPr>
              <w:t>deg</w:t>
            </w:r>
            <w:proofErr w:type="spellEnd"/>
            <w:r>
              <w:rPr>
                <w:sz w:val="18"/>
              </w:rPr>
              <w:t>)</w:t>
            </w:r>
          </w:p>
        </w:tc>
        <w:tc>
          <w:tcPr>
            <w:tcW w:w="5400" w:type="dxa"/>
            <w:vAlign w:val="center"/>
          </w:tcPr>
          <w:p w:rsidR="00850DC8" w:rsidRDefault="00850DC8" w:rsidP="00434009">
            <w:pPr>
              <w:rPr>
                <w:sz w:val="18"/>
              </w:rPr>
            </w:pPr>
            <w:r>
              <w:rPr>
                <w:sz w:val="18"/>
              </w:rPr>
              <w:t xml:space="preserve">Vlnová délka: 660 </w:t>
            </w:r>
            <w:proofErr w:type="spellStart"/>
            <w:r>
              <w:rPr>
                <w:sz w:val="18"/>
              </w:rPr>
              <w:t>nm</w:t>
            </w:r>
            <w:proofErr w:type="spellEnd"/>
          </w:p>
          <w:p w:rsidR="00850DC8" w:rsidRDefault="00850DC8" w:rsidP="00434009">
            <w:pPr>
              <w:rPr>
                <w:sz w:val="18"/>
              </w:rPr>
            </w:pPr>
            <w:r>
              <w:rPr>
                <w:sz w:val="18"/>
              </w:rPr>
              <w:t>Frekvence: 2 – 160 Hz</w:t>
            </w:r>
          </w:p>
          <w:p w:rsidR="00850DC8" w:rsidRDefault="00850DC8" w:rsidP="00434009">
            <w:pPr>
              <w:rPr>
                <w:sz w:val="18"/>
              </w:rPr>
            </w:pPr>
            <w:r>
              <w:rPr>
                <w:sz w:val="18"/>
              </w:rPr>
              <w:t xml:space="preserve">Šířka impulsu: 3 </w:t>
            </w:r>
            <w:proofErr w:type="spellStart"/>
            <w:r>
              <w:rPr>
                <w:sz w:val="18"/>
              </w:rPr>
              <w:t>ms</w:t>
            </w:r>
            <w:proofErr w:type="spellEnd"/>
            <w:r>
              <w:rPr>
                <w:sz w:val="18"/>
              </w:rPr>
              <w:t xml:space="preserve"> – 100 </w:t>
            </w:r>
            <w:proofErr w:type="spellStart"/>
            <w:r>
              <w:rPr>
                <w:sz w:val="18"/>
              </w:rPr>
              <w:t>ms</w:t>
            </w:r>
            <w:proofErr w:type="spellEnd"/>
          </w:p>
          <w:p w:rsidR="00850DC8" w:rsidRDefault="00850DC8" w:rsidP="00434009">
            <w:pPr>
              <w:rPr>
                <w:sz w:val="18"/>
              </w:rPr>
            </w:pPr>
            <w:r>
              <w:rPr>
                <w:sz w:val="18"/>
              </w:rPr>
              <w:t xml:space="preserve">Svítivost: 5 000 </w:t>
            </w:r>
            <w:proofErr w:type="spellStart"/>
            <w:r>
              <w:rPr>
                <w:sz w:val="18"/>
              </w:rPr>
              <w:t>mcd</w:t>
            </w:r>
            <w:proofErr w:type="spellEnd"/>
            <w:r>
              <w:rPr>
                <w:sz w:val="18"/>
              </w:rPr>
              <w:t xml:space="preserve">, 12 </w:t>
            </w:r>
            <w:proofErr w:type="spellStart"/>
            <w:r>
              <w:rPr>
                <w:sz w:val="18"/>
              </w:rPr>
              <w:t>deg</w:t>
            </w:r>
            <w:proofErr w:type="spellEnd"/>
          </w:p>
          <w:p w:rsidR="00850DC8" w:rsidRDefault="00850DC8" w:rsidP="00434009">
            <w:pPr>
              <w:rPr>
                <w:sz w:val="18"/>
              </w:rPr>
            </w:pPr>
            <w:r>
              <w:rPr>
                <w:sz w:val="18"/>
              </w:rPr>
              <w:t xml:space="preserve">Záření lineárně polarizováno </w:t>
            </w:r>
            <w:proofErr w:type="spellStart"/>
            <w:r>
              <w:rPr>
                <w:sz w:val="18"/>
              </w:rPr>
              <w:t>herapatitovou</w:t>
            </w:r>
            <w:proofErr w:type="spellEnd"/>
            <w:r>
              <w:rPr>
                <w:sz w:val="18"/>
              </w:rPr>
              <w:t xml:space="preserve"> fólií</w:t>
            </w:r>
          </w:p>
        </w:tc>
      </w:tr>
      <w:tr w:rsidR="00850DC8" w:rsidTr="00434009">
        <w:trPr>
          <w:trHeight w:val="832"/>
        </w:trPr>
        <w:tc>
          <w:tcPr>
            <w:tcW w:w="3400" w:type="dxa"/>
            <w:vAlign w:val="center"/>
          </w:tcPr>
          <w:p w:rsidR="00850DC8" w:rsidRDefault="00850DC8" w:rsidP="00434009">
            <w:pPr>
              <w:rPr>
                <w:sz w:val="18"/>
              </w:rPr>
            </w:pPr>
            <w:r>
              <w:rPr>
                <w:sz w:val="18"/>
              </w:rPr>
              <w:t>Hmotnost</w:t>
            </w:r>
          </w:p>
        </w:tc>
        <w:tc>
          <w:tcPr>
            <w:tcW w:w="5400" w:type="dxa"/>
            <w:vAlign w:val="center"/>
          </w:tcPr>
          <w:p w:rsidR="00850DC8" w:rsidRDefault="00850DC8" w:rsidP="00434009">
            <w:pPr>
              <w:rPr>
                <w:sz w:val="18"/>
              </w:rPr>
            </w:pPr>
            <w:r>
              <w:rPr>
                <w:sz w:val="18"/>
              </w:rPr>
              <w:t>Celá přístrojová sestava včetně balení: 35,5 kg</w:t>
            </w:r>
          </w:p>
          <w:p w:rsidR="00850DC8" w:rsidRDefault="00850DC8" w:rsidP="00434009">
            <w:pPr>
              <w:rPr>
                <w:sz w:val="18"/>
              </w:rPr>
            </w:pPr>
            <w:r>
              <w:rPr>
                <w:sz w:val="18"/>
              </w:rPr>
              <w:t>Celá přístrojová sestava bez balení: 28,0 kg</w:t>
            </w:r>
          </w:p>
          <w:p w:rsidR="00850DC8" w:rsidRDefault="00850DC8" w:rsidP="00434009">
            <w:pPr>
              <w:rPr>
                <w:sz w:val="18"/>
              </w:rPr>
            </w:pPr>
            <w:r>
              <w:rPr>
                <w:sz w:val="18"/>
              </w:rPr>
              <w:t>Aplikátor: 1,8 kg</w:t>
            </w:r>
          </w:p>
        </w:tc>
      </w:tr>
      <w:tr w:rsidR="00850DC8" w:rsidTr="00434009">
        <w:trPr>
          <w:trHeight w:val="699"/>
        </w:trPr>
        <w:tc>
          <w:tcPr>
            <w:tcW w:w="3400" w:type="dxa"/>
            <w:vAlign w:val="center"/>
          </w:tcPr>
          <w:p w:rsidR="00850DC8" w:rsidRDefault="00850DC8" w:rsidP="00434009">
            <w:pPr>
              <w:rPr>
                <w:sz w:val="18"/>
              </w:rPr>
            </w:pPr>
            <w:r>
              <w:rPr>
                <w:sz w:val="18"/>
              </w:rPr>
              <w:t>Rozměry</w:t>
            </w:r>
          </w:p>
        </w:tc>
        <w:tc>
          <w:tcPr>
            <w:tcW w:w="5400" w:type="dxa"/>
            <w:vAlign w:val="center"/>
          </w:tcPr>
          <w:p w:rsidR="00850DC8" w:rsidRDefault="00850DC8" w:rsidP="00434009">
            <w:pPr>
              <w:rPr>
                <w:sz w:val="18"/>
              </w:rPr>
            </w:pPr>
            <w:r>
              <w:rPr>
                <w:sz w:val="18"/>
              </w:rPr>
              <w:t xml:space="preserve">Přístroj. </w:t>
            </w:r>
            <w:proofErr w:type="gramStart"/>
            <w:r>
              <w:rPr>
                <w:sz w:val="18"/>
              </w:rPr>
              <w:t>sestava</w:t>
            </w:r>
            <w:proofErr w:type="gramEnd"/>
            <w:r>
              <w:rPr>
                <w:sz w:val="18"/>
              </w:rPr>
              <w:t xml:space="preserve"> (balená): 1600 x 800 x 800 mm</w:t>
            </w:r>
          </w:p>
          <w:p w:rsidR="00850DC8" w:rsidRDefault="00850DC8" w:rsidP="00434009">
            <w:pPr>
              <w:rPr>
                <w:sz w:val="18"/>
              </w:rPr>
            </w:pPr>
            <w:r>
              <w:rPr>
                <w:sz w:val="18"/>
              </w:rPr>
              <w:t xml:space="preserve">Celá přístroj. </w:t>
            </w:r>
            <w:proofErr w:type="gramStart"/>
            <w:r>
              <w:rPr>
                <w:sz w:val="18"/>
              </w:rPr>
              <w:t>sestava</w:t>
            </w:r>
            <w:proofErr w:type="gramEnd"/>
            <w:r>
              <w:rPr>
                <w:sz w:val="18"/>
              </w:rPr>
              <w:t xml:space="preserve"> (</w:t>
            </w:r>
            <w:proofErr w:type="spellStart"/>
            <w:r>
              <w:rPr>
                <w:sz w:val="18"/>
              </w:rPr>
              <w:t>solo</w:t>
            </w:r>
            <w:proofErr w:type="spellEnd"/>
            <w:r>
              <w:rPr>
                <w:sz w:val="18"/>
              </w:rPr>
              <w:t>): 1400 x 600 x 600 mm</w:t>
            </w:r>
          </w:p>
          <w:p w:rsidR="00850DC8" w:rsidRDefault="00850DC8" w:rsidP="00434009">
            <w:pPr>
              <w:rPr>
                <w:sz w:val="18"/>
              </w:rPr>
            </w:pPr>
            <w:r>
              <w:rPr>
                <w:sz w:val="18"/>
              </w:rPr>
              <w:t>Aplikátor: 205 x 145 x 70 mm</w:t>
            </w:r>
          </w:p>
        </w:tc>
      </w:tr>
      <w:tr w:rsidR="00850DC8" w:rsidTr="00434009">
        <w:trPr>
          <w:trHeight w:val="1369"/>
        </w:trPr>
        <w:tc>
          <w:tcPr>
            <w:tcW w:w="3400" w:type="dxa"/>
            <w:vAlign w:val="center"/>
          </w:tcPr>
          <w:p w:rsidR="00850DC8" w:rsidRDefault="00850DC8" w:rsidP="00434009">
            <w:pPr>
              <w:rPr>
                <w:sz w:val="18"/>
              </w:rPr>
            </w:pPr>
            <w:r>
              <w:rPr>
                <w:sz w:val="18"/>
              </w:rPr>
              <w:t>Materiál plastového zapouzdření</w:t>
            </w:r>
          </w:p>
        </w:tc>
        <w:tc>
          <w:tcPr>
            <w:tcW w:w="5400" w:type="dxa"/>
            <w:vAlign w:val="center"/>
          </w:tcPr>
          <w:p w:rsidR="00850DC8" w:rsidRDefault="00850DC8" w:rsidP="00434009">
            <w:pPr>
              <w:rPr>
                <w:sz w:val="18"/>
              </w:rPr>
            </w:pPr>
            <w:r>
              <w:rPr>
                <w:sz w:val="18"/>
              </w:rPr>
              <w:t>Isolační opláštění síťové napájecí jednotky:</w:t>
            </w:r>
          </w:p>
          <w:p w:rsidR="00850DC8" w:rsidRDefault="00850DC8" w:rsidP="00434009">
            <w:pPr>
              <w:rPr>
                <w:sz w:val="18"/>
              </w:rPr>
            </w:pPr>
            <w:r>
              <w:rPr>
                <w:sz w:val="18"/>
              </w:rPr>
              <w:t>ABS (</w:t>
            </w:r>
            <w:proofErr w:type="spellStart"/>
            <w:r>
              <w:rPr>
                <w:sz w:val="18"/>
              </w:rPr>
              <w:t>akrylnitril</w:t>
            </w:r>
            <w:proofErr w:type="spellEnd"/>
            <w:r>
              <w:rPr>
                <w:sz w:val="18"/>
              </w:rPr>
              <w:t>-butadien-</w:t>
            </w:r>
            <w:proofErr w:type="spellStart"/>
            <w:r>
              <w:rPr>
                <w:sz w:val="18"/>
              </w:rPr>
              <w:t>styrol</w:t>
            </w:r>
            <w:proofErr w:type="spellEnd"/>
            <w:r>
              <w:rPr>
                <w:sz w:val="18"/>
              </w:rPr>
              <w:t xml:space="preserve">).  </w:t>
            </w:r>
          </w:p>
          <w:p w:rsidR="00850DC8" w:rsidRDefault="00850DC8" w:rsidP="00434009">
            <w:pPr>
              <w:rPr>
                <w:sz w:val="18"/>
              </w:rPr>
            </w:pPr>
            <w:r>
              <w:rPr>
                <w:sz w:val="18"/>
              </w:rPr>
              <w:t xml:space="preserve">Opláštění nízkonapěťových částí přístroje: </w:t>
            </w:r>
          </w:p>
          <w:p w:rsidR="00850DC8" w:rsidRDefault="00850DC8" w:rsidP="00434009">
            <w:pPr>
              <w:rPr>
                <w:sz w:val="18"/>
              </w:rPr>
            </w:pPr>
            <w:r>
              <w:rPr>
                <w:sz w:val="18"/>
              </w:rPr>
              <w:t xml:space="preserve">Sendvičový kompozitní plech </w:t>
            </w:r>
            <w:proofErr w:type="spellStart"/>
            <w:r>
              <w:rPr>
                <w:sz w:val="18"/>
              </w:rPr>
              <w:t>Dibond</w:t>
            </w:r>
            <w:proofErr w:type="spellEnd"/>
            <w:r>
              <w:rPr>
                <w:sz w:val="18"/>
              </w:rPr>
              <w:t>, plexisklo lité GS,  MFD</w:t>
            </w:r>
          </w:p>
        </w:tc>
      </w:tr>
      <w:tr w:rsidR="00850DC8" w:rsidTr="00434009">
        <w:trPr>
          <w:trHeight w:val="435"/>
        </w:trPr>
        <w:tc>
          <w:tcPr>
            <w:tcW w:w="3400" w:type="dxa"/>
            <w:vAlign w:val="center"/>
          </w:tcPr>
          <w:p w:rsidR="00850DC8" w:rsidRDefault="00850DC8" w:rsidP="00434009">
            <w:pPr>
              <w:rPr>
                <w:sz w:val="18"/>
              </w:rPr>
            </w:pPr>
            <w:r>
              <w:rPr>
                <w:sz w:val="18"/>
              </w:rPr>
              <w:t>Povrchy kovových částí</w:t>
            </w:r>
          </w:p>
        </w:tc>
        <w:tc>
          <w:tcPr>
            <w:tcW w:w="5400" w:type="dxa"/>
            <w:vAlign w:val="center"/>
          </w:tcPr>
          <w:p w:rsidR="00850DC8" w:rsidRDefault="00850DC8" w:rsidP="00434009">
            <w:pPr>
              <w:rPr>
                <w:sz w:val="18"/>
              </w:rPr>
            </w:pPr>
            <w:r>
              <w:rPr>
                <w:sz w:val="18"/>
              </w:rPr>
              <w:t xml:space="preserve">Nerezová ocel, hliníkový plech (povrchově upraven a kryt fólií) </w:t>
            </w:r>
          </w:p>
        </w:tc>
      </w:tr>
    </w:tbl>
    <w:p w:rsidR="00850DC8" w:rsidRPr="003533B6" w:rsidRDefault="00850DC8" w:rsidP="00850DC8">
      <w:pPr>
        <w:pStyle w:val="Zpat"/>
        <w:tabs>
          <w:tab w:val="left" w:pos="708"/>
        </w:tabs>
        <w:jc w:val="both"/>
        <w:rPr>
          <w:rFonts w:ascii="Arial" w:hAnsi="Arial" w:cs="Arial"/>
          <w:b/>
          <w:bCs/>
        </w:rPr>
      </w:pPr>
      <w:r>
        <w:lastRenderedPageBreak/>
        <w:tab/>
      </w:r>
      <w:r>
        <w:tab/>
      </w:r>
      <w:r>
        <w:tab/>
      </w:r>
      <w:r>
        <w:tab/>
      </w:r>
    </w:p>
    <w:p w:rsidR="00850DC8" w:rsidRDefault="00850DC8" w:rsidP="00850DC8">
      <w:pPr>
        <w:pStyle w:val="Nadpis2"/>
        <w:spacing w:line="194" w:lineRule="exact"/>
        <w:jc w:val="left"/>
        <w:rPr>
          <w:rFonts w:ascii="Arial" w:hAnsi="Arial" w:cs="Arial"/>
          <w:b/>
          <w:bCs/>
        </w:rPr>
      </w:pPr>
      <w:bookmarkStart w:id="1" w:name="_Toc195918380"/>
      <w:r>
        <w:rPr>
          <w:rFonts w:ascii="Arial" w:hAnsi="Arial" w:cs="Arial"/>
          <w:b/>
          <w:bCs/>
        </w:rPr>
        <w:t>Indikace a podávání procedur distanční elektroterapie</w:t>
      </w:r>
      <w:bookmarkEnd w:id="1"/>
    </w:p>
    <w:p w:rsidR="00850DC8" w:rsidRPr="00DB7DE8" w:rsidRDefault="00850DC8" w:rsidP="00850DC8">
      <w:pPr>
        <w:pStyle w:val="Nadpis2"/>
        <w:spacing w:line="194" w:lineRule="exact"/>
        <w:jc w:val="left"/>
        <w:rPr>
          <w:rFonts w:ascii="Arial" w:hAnsi="Arial" w:cs="Arial"/>
          <w:b/>
          <w:bCs/>
        </w:rPr>
      </w:pPr>
      <w:r>
        <w:rPr>
          <w:rFonts w:ascii="Arial" w:hAnsi="Arial" w:cs="Arial"/>
          <w:b/>
          <w:bCs/>
        </w:rPr>
        <w:t>VAS-07 edice „BETTER FUTURE“</w:t>
      </w:r>
    </w:p>
    <w:p w:rsidR="00850DC8" w:rsidRDefault="00850DC8" w:rsidP="00850DC8">
      <w:pPr>
        <w:pStyle w:val="Zkladntextodsazen"/>
        <w:spacing w:line="194" w:lineRule="exact"/>
        <w:ind w:left="0"/>
        <w:jc w:val="both"/>
      </w:pPr>
      <w:r>
        <w:t xml:space="preserve">Distanční elektroterapie je především určena pro podpůrnou fyzikální terapii při léčbě veškerých algických (bolestivých) stavů pohybového aparátu akutního charakteru (zvláště traumatického a/nebo zánětlivého charakteru), jakož i charakteru chronického (obvykle degenerativního). </w:t>
      </w:r>
    </w:p>
    <w:p w:rsidR="00850DC8" w:rsidRDefault="00850DC8" w:rsidP="00850DC8">
      <w:pPr>
        <w:pStyle w:val="Zkladntextodsazen"/>
        <w:spacing w:line="194" w:lineRule="exact"/>
        <w:ind w:left="0"/>
        <w:jc w:val="both"/>
      </w:pPr>
    </w:p>
    <w:p w:rsidR="00850DC8" w:rsidRDefault="00850DC8" w:rsidP="00850DC8">
      <w:pPr>
        <w:pStyle w:val="Zkladntextodsazen"/>
        <w:spacing w:line="194" w:lineRule="exact"/>
        <w:ind w:left="0"/>
        <w:jc w:val="both"/>
      </w:pPr>
      <w:r>
        <w:t xml:space="preserve">Při degenerativních onemocněních pohybového aparátu je distanční elektroterapie používána s cílem tišení bolesti a podpory regenerace, resp. reparace tkání zvláště při artrózách, chondromalaciích, </w:t>
      </w:r>
      <w:proofErr w:type="spellStart"/>
      <w:r>
        <w:t>entezopatiích</w:t>
      </w:r>
      <w:proofErr w:type="spellEnd"/>
      <w:r>
        <w:t xml:space="preserve">, </w:t>
      </w:r>
      <w:proofErr w:type="spellStart"/>
      <w:r>
        <w:t>vertebrogenních</w:t>
      </w:r>
      <w:proofErr w:type="spellEnd"/>
      <w:r>
        <w:t xml:space="preserve"> algických syndromech apod. </w:t>
      </w:r>
    </w:p>
    <w:p w:rsidR="00850DC8" w:rsidRDefault="00850DC8" w:rsidP="00850DC8">
      <w:pPr>
        <w:pStyle w:val="Zkladntextodsazen"/>
        <w:spacing w:line="194" w:lineRule="exact"/>
        <w:ind w:left="0"/>
        <w:jc w:val="both"/>
      </w:pPr>
    </w:p>
    <w:p w:rsidR="00850DC8" w:rsidRDefault="00850DC8" w:rsidP="00850DC8">
      <w:pPr>
        <w:pStyle w:val="Zkladntextodsazen"/>
        <w:spacing w:line="194" w:lineRule="exact"/>
        <w:ind w:left="0"/>
        <w:jc w:val="both"/>
      </w:pPr>
      <w:r>
        <w:t xml:space="preserve">Při léčbě čerstvých i zastaralých poúrazových stavů je distanční elektroléčba používána s cílem tišení bolesti a podpory hojení při distorzích, kontuzích, poúrazových otocích, hematomech, </w:t>
      </w:r>
      <w:proofErr w:type="spellStart"/>
      <w:r>
        <w:t>hemartrózách</w:t>
      </w:r>
      <w:proofErr w:type="spellEnd"/>
      <w:r>
        <w:t xml:space="preserve">, frakturách, pakloubech, pro podporu hojení vazů, šlach a poškozených kloubních pouzder, při sanacích následků úrazů a operací, při léčbě </w:t>
      </w:r>
      <w:proofErr w:type="spellStart"/>
      <w:r>
        <w:t>algodystrofických</w:t>
      </w:r>
      <w:proofErr w:type="spellEnd"/>
      <w:r>
        <w:t xml:space="preserve"> syndromů apod.</w:t>
      </w:r>
    </w:p>
    <w:p w:rsidR="00850DC8" w:rsidRDefault="00850DC8" w:rsidP="00850DC8">
      <w:pPr>
        <w:pStyle w:val="Zkladntextodsazen"/>
        <w:spacing w:line="194" w:lineRule="exact"/>
        <w:ind w:left="0"/>
        <w:jc w:val="both"/>
      </w:pPr>
    </w:p>
    <w:p w:rsidR="00850DC8" w:rsidRDefault="00850DC8" w:rsidP="00850DC8">
      <w:pPr>
        <w:pStyle w:val="Zkladntextodsazen"/>
        <w:spacing w:line="194" w:lineRule="exact"/>
        <w:ind w:left="0"/>
        <w:jc w:val="both"/>
      </w:pPr>
      <w:r>
        <w:t xml:space="preserve">Distanční elektroterapii lze použít rovněž pro podpůrnou léčbu poruch periferního prokrvení různé etiologie, zvláště při </w:t>
      </w:r>
      <w:proofErr w:type="spellStart"/>
      <w:r>
        <w:t>mikroangiopatiích</w:t>
      </w:r>
      <w:proofErr w:type="spellEnd"/>
      <w:r>
        <w:t xml:space="preserve"> a funkčních poruchách periferního prokrvení. Účinné je použití distanční elektroterapie při léčbě trofických poruch, zvláště bércových vředů, a to především </w:t>
      </w:r>
      <w:proofErr w:type="spellStart"/>
      <w:r>
        <w:t>postflebitických</w:t>
      </w:r>
      <w:proofErr w:type="spellEnd"/>
      <w:r>
        <w:t xml:space="preserve">, arteriálních a diabetických. Příznivý efekt je ovšem zaznamenán i u vředů varikózních a smíšených. </w:t>
      </w:r>
    </w:p>
    <w:p w:rsidR="00850DC8" w:rsidRDefault="00850DC8" w:rsidP="00850DC8">
      <w:pPr>
        <w:pStyle w:val="Zkladntextodsazen"/>
        <w:spacing w:line="194" w:lineRule="exact"/>
        <w:ind w:left="0"/>
        <w:jc w:val="both"/>
      </w:pPr>
    </w:p>
    <w:p w:rsidR="00850DC8" w:rsidRDefault="00850DC8" w:rsidP="00850DC8">
      <w:pPr>
        <w:pStyle w:val="Zkladntextodsazen"/>
        <w:spacing w:line="194" w:lineRule="exact"/>
        <w:ind w:left="0"/>
        <w:jc w:val="both"/>
      </w:pPr>
      <w:r>
        <w:t xml:space="preserve">Dále může být distanční elektroterapie používána pro podporu regenerace poškozených axonů periferních nervů, </w:t>
      </w:r>
      <w:proofErr w:type="spellStart"/>
      <w:r>
        <w:t>inervujících</w:t>
      </w:r>
      <w:proofErr w:type="spellEnd"/>
      <w:r>
        <w:t xml:space="preserve"> kosterní svaly, při svalové ochablosti, pro léčbu poruch kožního čití, při parestéziích a některých periferních parézách, při léčbě vazoneuróz a různých neuropatií a </w:t>
      </w:r>
      <w:proofErr w:type="spellStart"/>
      <w:r>
        <w:t>polyneuropatií</w:t>
      </w:r>
      <w:proofErr w:type="spellEnd"/>
      <w:r>
        <w:t xml:space="preserve">, zvláště diabetických. </w:t>
      </w:r>
    </w:p>
    <w:p w:rsidR="00850DC8" w:rsidRDefault="00850DC8" w:rsidP="00850DC8">
      <w:pPr>
        <w:pStyle w:val="Zkladntextodsazen"/>
        <w:spacing w:line="194" w:lineRule="exact"/>
        <w:ind w:left="0"/>
        <w:jc w:val="both"/>
      </w:pPr>
    </w:p>
    <w:p w:rsidR="00850DC8" w:rsidRDefault="00850DC8" w:rsidP="00850DC8">
      <w:pPr>
        <w:pStyle w:val="Zkladntextodsazen"/>
        <w:spacing w:line="194" w:lineRule="exact"/>
        <w:ind w:left="0"/>
        <w:jc w:val="both"/>
      </w:pPr>
      <w:r>
        <w:t xml:space="preserve">Rovněž lze procedury distanční elektroterapie aplikovat při podpůrné léčbě osteoporóz, a to ve zvláště problémových částech skeletu (krček femuru, oblast </w:t>
      </w:r>
      <w:proofErr w:type="spellStart"/>
      <w:r>
        <w:t>Collesových</w:t>
      </w:r>
      <w:proofErr w:type="spellEnd"/>
      <w:r>
        <w:t xml:space="preserve"> fraktur na radiu a ulně, ohrožená obratlová těla, oblast LS páteře a kyčlí), při podpůrné léčbě aseptických kostních nekróz a pro podporu hojení zlomenin.</w:t>
      </w:r>
    </w:p>
    <w:p w:rsidR="00850DC8" w:rsidRDefault="00850DC8" w:rsidP="00850DC8">
      <w:pPr>
        <w:pStyle w:val="Zkladntextodsazen"/>
        <w:spacing w:line="194" w:lineRule="exact"/>
        <w:ind w:left="0"/>
        <w:jc w:val="both"/>
      </w:pPr>
    </w:p>
    <w:p w:rsidR="00850DC8" w:rsidRDefault="00850DC8" w:rsidP="00850DC8">
      <w:pPr>
        <w:pStyle w:val="Zkladntextodsazen"/>
        <w:spacing w:line="194" w:lineRule="exact"/>
        <w:ind w:left="0"/>
        <w:jc w:val="both"/>
      </w:pPr>
      <w:r>
        <w:t xml:space="preserve">Distanční elektroterapii lze použít rovněž při podpůrné léčbě některých onemocnění kožní tkáně (především již zmíněné trofické poruchy, dále pak regenerace poškozeného kožního krytu, zánětlivé a jizevnaté komplikace akné, některé atopické ekzémy, </w:t>
      </w:r>
      <w:proofErr w:type="spellStart"/>
      <w:r>
        <w:t>lichen</w:t>
      </w:r>
      <w:proofErr w:type="spellEnd"/>
      <w:r>
        <w:t xml:space="preserve"> simplex apod.) a v kožně-kosmetických aplikacích (pajizévky, strie, ochablá kůže, celulitida).</w:t>
      </w:r>
    </w:p>
    <w:p w:rsidR="00850DC8" w:rsidRDefault="00850DC8" w:rsidP="00850DC8">
      <w:pPr>
        <w:pStyle w:val="Zkladntextodsazen"/>
        <w:spacing w:line="194" w:lineRule="exact"/>
        <w:ind w:left="0"/>
        <w:jc w:val="both"/>
      </w:pPr>
    </w:p>
    <w:p w:rsidR="00850DC8" w:rsidRDefault="00850DC8" w:rsidP="00850DC8">
      <w:pPr>
        <w:pStyle w:val="Zkladntextodsazen"/>
        <w:spacing w:line="194" w:lineRule="exact"/>
        <w:ind w:left="0"/>
        <w:jc w:val="both"/>
      </w:pPr>
      <w:r>
        <w:t xml:space="preserve">Distanční elektroterapie lze použít i mimo oblast léčby pohybového aparátu, a to v případech, kdy je použití elektrických léčebných proudů (a souvisejících elektromagnetických polí) obecně známo a kdy může pro pacienta přinášet prospěch, aniž by jej ohrožovalo. Jedná se o podpůrnou léčbu některých funkčních a vegetativně – regulačních pochodů v organismu nebo o možnost využití specifických frekvencí s předpokládaným biologickým účinkem (frekvence </w:t>
      </w:r>
      <w:proofErr w:type="spellStart"/>
      <w:r>
        <w:t>Nogierovy</w:t>
      </w:r>
      <w:proofErr w:type="spellEnd"/>
      <w:r>
        <w:t xml:space="preserve">, </w:t>
      </w:r>
      <w:proofErr w:type="spellStart"/>
      <w:r>
        <w:t>Bahrovy</w:t>
      </w:r>
      <w:proofErr w:type="spellEnd"/>
      <w:r>
        <w:t xml:space="preserve">, </w:t>
      </w:r>
      <w:proofErr w:type="spellStart"/>
      <w:r>
        <w:t>Clausovy</w:t>
      </w:r>
      <w:proofErr w:type="spellEnd"/>
      <w:r>
        <w:t xml:space="preserve">, </w:t>
      </w:r>
      <w:proofErr w:type="spellStart"/>
      <w:r>
        <w:t>Reiningerovy</w:t>
      </w:r>
      <w:proofErr w:type="spellEnd"/>
      <w:r>
        <w:t xml:space="preserve">, rezonanční cyklotronové apod.), uplatňované v rámci akupunktury (zvláště při bezkontaktní </w:t>
      </w:r>
      <w:proofErr w:type="spellStart"/>
      <w:r>
        <w:t>elektrostimulaci</w:t>
      </w:r>
      <w:proofErr w:type="spellEnd"/>
      <w:r>
        <w:t xml:space="preserve"> zavedených akupunkturních jehel) a v regulační a celostní medicíně.</w:t>
      </w:r>
    </w:p>
    <w:p w:rsidR="00850DC8" w:rsidRDefault="00850DC8" w:rsidP="00850DC8">
      <w:pPr>
        <w:pStyle w:val="Zkladntextodsazen"/>
        <w:spacing w:line="194" w:lineRule="exact"/>
        <w:ind w:left="0"/>
        <w:jc w:val="both"/>
      </w:pPr>
    </w:p>
    <w:p w:rsidR="00850DC8" w:rsidRDefault="00850DC8" w:rsidP="00850DC8">
      <w:pPr>
        <w:pStyle w:val="Zkladntextodsazen"/>
        <w:spacing w:line="194" w:lineRule="exact"/>
        <w:ind w:left="0"/>
        <w:jc w:val="both"/>
        <w:rPr>
          <w:sz w:val="24"/>
        </w:rPr>
      </w:pPr>
      <w:r>
        <w:t>Dávkování distanční elektroterapie je vždy individuální, přičemž je třeba zohlednit léčebný prospěch i případná rizika. Doba procedury bývá obvykle 15 až 30 minut pro elektroléčebné proudy interferenční a 15 až 60 minut pro elektroléčebné proudy impulsní. V odůvodněných případech lze dobu jedné aplikace až dvojnásobně prodloužit (např. při léčbě zlomenin, aseptických kostních nekróz, bércových vředů, akutních posttraumatických bolestí apod.). Procedury jsou obvykle podávány denně (méně často obden) v sérii většinou 10 až 20 procedur s případným možným opakováním této série i několikrát ročně (obvykle 2 až 4 krát). U některých indikací, zvláště pro podporu hojení (zlomeniny, paklouby, kostní nekrózy, bércové vředy a jiné trofické defekty apod.), lze souvisle aplikovat i delší sérii procedur, pokud je zřejmý léčebný přínos a nehrozí-li žádná rizika. Při bolestivých stavech u degenerativních onemocnění pohybového aparátu (např. artrózy) by se však měl zřetelný léčebný efekt dostavit během série maximálně 20 procedur (čemuž odpovídá většinou doba jednoho měsíce). Pokud se tento léčebný efekt nedostaví, nemá většinou smysl v podávání procedur pokračovat.</w:t>
      </w:r>
    </w:p>
    <w:p w:rsidR="00850DC8" w:rsidRDefault="00850DC8" w:rsidP="00850DC8">
      <w:pPr>
        <w:contextualSpacing/>
      </w:pPr>
    </w:p>
    <w:p w:rsidR="00850DC8" w:rsidRDefault="00850DC8" w:rsidP="00850DC8">
      <w:pPr>
        <w:contextualSpacing/>
      </w:pPr>
    </w:p>
    <w:p w:rsidR="00850DC8" w:rsidRDefault="00850DC8" w:rsidP="00850DC8">
      <w:pPr>
        <w:contextualSpacing/>
      </w:pPr>
    </w:p>
    <w:p w:rsidR="00850DC8" w:rsidRDefault="00850DC8" w:rsidP="00850DC8">
      <w:pPr>
        <w:contextualSpacing/>
      </w:pPr>
    </w:p>
    <w:p w:rsidR="00AB0441" w:rsidRDefault="00AB0441" w:rsidP="00475BE2">
      <w:pPr>
        <w:contextualSpacing/>
      </w:pPr>
    </w:p>
    <w:p w:rsidR="00475BE2" w:rsidRDefault="00475BE2" w:rsidP="00475BE2">
      <w:pPr>
        <w:contextualSpacing/>
      </w:pPr>
    </w:p>
    <w:sectPr w:rsidR="00475BE2" w:rsidSect="00AC2DDA">
      <w:headerReference w:type="default" r:id="rId9"/>
      <w:pgSz w:w="11906" w:h="16838"/>
      <w:pgMar w:top="1135" w:right="566" w:bottom="709" w:left="709"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A25" w:rsidRDefault="00147A25" w:rsidP="00B3499B">
      <w:r>
        <w:separator/>
      </w:r>
    </w:p>
  </w:endnote>
  <w:endnote w:type="continuationSeparator" w:id="0">
    <w:p w:rsidR="00147A25" w:rsidRDefault="00147A25" w:rsidP="00B3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A25" w:rsidRDefault="00147A25" w:rsidP="00B3499B">
      <w:r>
        <w:separator/>
      </w:r>
    </w:p>
  </w:footnote>
  <w:footnote w:type="continuationSeparator" w:id="0">
    <w:p w:rsidR="00147A25" w:rsidRDefault="00147A25" w:rsidP="00B34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9B" w:rsidRDefault="00B3499B" w:rsidP="001C6695">
    <w:pPr>
      <w:contextualSpacing/>
      <w:rPr>
        <w:rFonts w:ascii="Arial" w:hAnsi="Arial" w:cs="Arial"/>
        <w:color w:val="336699"/>
        <w:lang w:val="en-US"/>
      </w:rPr>
    </w:pPr>
  </w:p>
  <w:p w:rsidR="00475BE2" w:rsidRDefault="00A546BB" w:rsidP="00A546BB">
    <w:pPr>
      <w:ind w:left="1416" w:firstLine="708"/>
      <w:contextualSpacing/>
      <w:jc w:val="center"/>
      <w:rPr>
        <w:rFonts w:ascii="Arial" w:hAnsi="Arial" w:cs="Arial"/>
        <w:color w:val="336699"/>
        <w:lang w:val="en-US"/>
      </w:rPr>
    </w:pPr>
    <w:r>
      <w:rPr>
        <w:rFonts w:ascii="Arial" w:hAnsi="Arial" w:cs="Arial"/>
        <w:noProof/>
        <w:color w:val="336699"/>
      </w:rPr>
      <w:drawing>
        <wp:anchor distT="0" distB="0" distL="114300" distR="114300" simplePos="0" relativeHeight="251662336" behindDoc="0" locked="0" layoutInCell="1" allowOverlap="1">
          <wp:simplePos x="0" y="0"/>
          <wp:positionH relativeFrom="column">
            <wp:posOffset>321310</wp:posOffset>
          </wp:positionH>
          <wp:positionV relativeFrom="paragraph">
            <wp:posOffset>97155</wp:posOffset>
          </wp:positionV>
          <wp:extent cx="2538095" cy="457200"/>
          <wp:effectExtent l="19050" t="0" r="0" b="0"/>
          <wp:wrapThrough wrapText="bothSides">
            <wp:wrapPolygon edited="0">
              <wp:start x="-162" y="0"/>
              <wp:lineTo x="-162" y="20700"/>
              <wp:lineTo x="21562" y="20700"/>
              <wp:lineTo x="21562" y="0"/>
              <wp:lineTo x="-162" y="0"/>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38095" cy="457200"/>
                  </a:xfrm>
                  <a:prstGeom prst="rect">
                    <a:avLst/>
                  </a:prstGeom>
                  <a:noFill/>
                  <a:ln w="9525">
                    <a:noFill/>
                    <a:miter lim="800000"/>
                    <a:headEnd/>
                    <a:tailEnd/>
                  </a:ln>
                </pic:spPr>
              </pic:pic>
            </a:graphicData>
          </a:graphic>
        </wp:anchor>
      </w:drawing>
    </w:r>
    <w:r w:rsidR="00B3499B">
      <w:rPr>
        <w:rFonts w:ascii="Arial" w:hAnsi="Arial" w:cs="Arial"/>
        <w:color w:val="336699"/>
        <w:lang w:val="en-US"/>
      </w:rPr>
      <w:t xml:space="preserve">EMBITRON </w:t>
    </w:r>
    <w:proofErr w:type="spellStart"/>
    <w:r w:rsidR="00B3499B">
      <w:rPr>
        <w:rFonts w:ascii="Arial" w:hAnsi="Arial" w:cs="Arial"/>
        <w:color w:val="336699"/>
        <w:lang w:val="en-US"/>
      </w:rPr>
      <w:t>s.r.o</w:t>
    </w:r>
    <w:proofErr w:type="spellEnd"/>
    <w:r w:rsidR="00B3499B">
      <w:rPr>
        <w:rFonts w:ascii="Arial" w:hAnsi="Arial" w:cs="Arial"/>
        <w:color w:val="336699"/>
        <w:lang w:val="en-US"/>
      </w:rPr>
      <w:t>.</w:t>
    </w:r>
  </w:p>
  <w:p w:rsidR="00B3499B" w:rsidRDefault="00B3499B" w:rsidP="00A546BB">
    <w:pPr>
      <w:ind w:left="2124" w:firstLine="708"/>
      <w:contextualSpacing/>
      <w:jc w:val="center"/>
      <w:rPr>
        <w:rFonts w:ascii="Arial" w:hAnsi="Arial" w:cs="Arial"/>
        <w:color w:val="336699"/>
      </w:rPr>
    </w:pPr>
    <w:r>
      <w:rPr>
        <w:rFonts w:ascii="Arial" w:hAnsi="Arial" w:cs="Arial"/>
        <w:color w:val="336699"/>
      </w:rPr>
      <w:t xml:space="preserve">Borská 55, </w:t>
    </w:r>
    <w:r w:rsidR="00475BE2">
      <w:rPr>
        <w:rFonts w:ascii="Arial" w:hAnsi="Arial" w:cs="Arial"/>
        <w:color w:val="336699"/>
      </w:rPr>
      <w:t>301 00 Plzeň</w:t>
    </w:r>
  </w:p>
  <w:p w:rsidR="008B098A" w:rsidRDefault="00B3499B" w:rsidP="008B098A">
    <w:pPr>
      <w:ind w:left="3540"/>
      <w:contextualSpacing/>
      <w:jc w:val="center"/>
      <w:rPr>
        <w:rFonts w:ascii="Arial" w:hAnsi="Arial" w:cs="Arial"/>
        <w:color w:val="336699"/>
      </w:rPr>
    </w:pPr>
    <w:r>
      <w:rPr>
        <w:rFonts w:ascii="Arial" w:hAnsi="Arial" w:cs="Arial"/>
        <w:color w:val="336699"/>
      </w:rPr>
      <w:t xml:space="preserve">tel.: +420 </w:t>
    </w:r>
    <w:proofErr w:type="spellStart"/>
    <w:r w:rsidR="008B098A">
      <w:rPr>
        <w:rFonts w:ascii="Arial" w:hAnsi="Arial" w:cs="Arial"/>
        <w:color w:val="336699"/>
      </w:rPr>
      <w:t>xxx</w:t>
    </w:r>
    <w:proofErr w:type="spellEnd"/>
    <w:r w:rsidR="008B098A">
      <w:rPr>
        <w:rFonts w:ascii="Arial" w:hAnsi="Arial" w:cs="Arial"/>
        <w:color w:val="336699"/>
      </w:rPr>
      <w:t xml:space="preserve"> </w:t>
    </w:r>
    <w:proofErr w:type="spellStart"/>
    <w:r w:rsidR="008B098A">
      <w:rPr>
        <w:rFonts w:ascii="Arial" w:hAnsi="Arial" w:cs="Arial"/>
        <w:color w:val="336699"/>
      </w:rPr>
      <w:t>xxx</w:t>
    </w:r>
    <w:proofErr w:type="spellEnd"/>
    <w:r w:rsidR="008B098A">
      <w:rPr>
        <w:rFonts w:ascii="Arial" w:hAnsi="Arial" w:cs="Arial"/>
        <w:color w:val="336699"/>
      </w:rPr>
      <w:t xml:space="preserve"> </w:t>
    </w:r>
    <w:proofErr w:type="spellStart"/>
    <w:r w:rsidR="008B098A">
      <w:rPr>
        <w:rFonts w:ascii="Arial" w:hAnsi="Arial" w:cs="Arial"/>
        <w:color w:val="336699"/>
      </w:rPr>
      <w:t>xxx</w:t>
    </w:r>
    <w:proofErr w:type="spellEnd"/>
    <w:r>
      <w:rPr>
        <w:rFonts w:ascii="Arial" w:hAnsi="Arial" w:cs="Arial"/>
        <w:color w:val="336699"/>
      </w:rPr>
      <w:t xml:space="preserve">, </w:t>
    </w:r>
    <w:proofErr w:type="spellStart"/>
    <w:r w:rsidR="008B098A">
      <w:rPr>
        <w:rFonts w:ascii="Arial" w:hAnsi="Arial" w:cs="Arial"/>
        <w:color w:val="336699"/>
      </w:rPr>
      <w:t>xxx</w:t>
    </w:r>
    <w:proofErr w:type="spellEnd"/>
    <w:r w:rsidR="008B098A">
      <w:rPr>
        <w:rFonts w:ascii="Arial" w:hAnsi="Arial" w:cs="Arial"/>
        <w:color w:val="336699"/>
      </w:rPr>
      <w:t xml:space="preserve"> </w:t>
    </w:r>
    <w:proofErr w:type="spellStart"/>
    <w:r w:rsidR="008B098A">
      <w:rPr>
        <w:rFonts w:ascii="Arial" w:hAnsi="Arial" w:cs="Arial"/>
        <w:color w:val="336699"/>
      </w:rPr>
      <w:t>xxx</w:t>
    </w:r>
    <w:proofErr w:type="spellEnd"/>
    <w:r w:rsidR="008B098A">
      <w:rPr>
        <w:rFonts w:ascii="Arial" w:hAnsi="Arial" w:cs="Arial"/>
        <w:color w:val="336699"/>
      </w:rPr>
      <w:t xml:space="preserve"> </w:t>
    </w:r>
    <w:proofErr w:type="spellStart"/>
    <w:r w:rsidR="008B098A">
      <w:rPr>
        <w:rFonts w:ascii="Arial" w:hAnsi="Arial" w:cs="Arial"/>
        <w:color w:val="336699"/>
      </w:rPr>
      <w:t>xxx</w:t>
    </w:r>
    <w:proofErr w:type="spellEnd"/>
  </w:p>
  <w:p w:rsidR="00B3499B" w:rsidRPr="0000304B" w:rsidRDefault="00A546BB" w:rsidP="00A546BB">
    <w:pPr>
      <w:ind w:left="4956"/>
      <w:contextualSpacing/>
      <w:rPr>
        <w:rFonts w:ascii="Arial" w:hAnsi="Arial" w:cs="Arial"/>
        <w:color w:val="365F91" w:themeColor="accent1" w:themeShade="BF"/>
        <w:lang w:val="de-DE"/>
      </w:rPr>
    </w:pPr>
    <w:r>
      <w:rPr>
        <w:rFonts w:ascii="Arial" w:hAnsi="Arial" w:cs="Arial"/>
        <w:color w:val="336699"/>
        <w:lang w:val="de-DE"/>
      </w:rPr>
      <w:t>embitron@embitron.cz</w:t>
    </w:r>
    <w:r w:rsidR="0000304B" w:rsidRPr="0000304B">
      <w:rPr>
        <w:rFonts w:ascii="Arial" w:hAnsi="Arial" w:cs="Arial"/>
        <w:color w:val="365F91" w:themeColor="accent1" w:themeShade="BF"/>
        <w:lang w:val="de-DE"/>
      </w:rPr>
      <w:t>www.embitron.cz</w:t>
    </w:r>
  </w:p>
  <w:p w:rsidR="00B3499B" w:rsidRDefault="00CC466D" w:rsidP="00B3499B">
    <w:pPr>
      <w:jc w:val="right"/>
      <w:rPr>
        <w:sz w:val="24"/>
      </w:rPr>
    </w:pPr>
    <w:r>
      <w:rPr>
        <w:noProof/>
        <w:sz w:val="24"/>
      </w:rPr>
      <mc:AlternateContent>
        <mc:Choice Requires="wps">
          <w:drawing>
            <wp:anchor distT="0" distB="0" distL="114300" distR="114300" simplePos="0" relativeHeight="251661312" behindDoc="0" locked="0" layoutInCell="1" allowOverlap="1">
              <wp:simplePos x="0" y="0"/>
              <wp:positionH relativeFrom="column">
                <wp:posOffset>17145</wp:posOffset>
              </wp:positionH>
              <wp:positionV relativeFrom="paragraph">
                <wp:posOffset>122555</wp:posOffset>
              </wp:positionV>
              <wp:extent cx="6120130" cy="0"/>
              <wp:effectExtent l="36195" t="36830" r="34925" b="2984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3F6B0"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65pt" to="483.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EXvEg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" strokeweight="4.5pt"/>
          </w:pict>
        </mc:Fallback>
      </mc:AlternateContent>
    </w:r>
    <w:r>
      <w:rPr>
        <w:noProof/>
        <w:sz w:val="24"/>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59690</wp:posOffset>
              </wp:positionV>
              <wp:extent cx="6120130" cy="0"/>
              <wp:effectExtent l="17145" t="21590" r="15875" b="1651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130" cy="0"/>
                      </a:xfrm>
                      <a:prstGeom prst="line">
                        <a:avLst/>
                      </a:prstGeom>
                      <a:noFill/>
                      <a:ln w="28575">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1F37F" id="Line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7pt" to="483.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" strokecolor="#9cf" strokeweight="2.25pt"/>
          </w:pict>
        </mc:Fallback>
      </mc:AlternateContent>
    </w:r>
  </w:p>
  <w:p w:rsidR="00B3499B" w:rsidRDefault="00B3499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72CFB"/>
    <w:multiLevelType w:val="hybridMultilevel"/>
    <w:tmpl w:val="8D44E82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75E"/>
    <w:rsid w:val="00002AE0"/>
    <w:rsid w:val="0000304B"/>
    <w:rsid w:val="000700AA"/>
    <w:rsid w:val="000E79D0"/>
    <w:rsid w:val="00147A25"/>
    <w:rsid w:val="001C6695"/>
    <w:rsid w:val="0022570E"/>
    <w:rsid w:val="0023173D"/>
    <w:rsid w:val="00242CC3"/>
    <w:rsid w:val="003205DA"/>
    <w:rsid w:val="00323F31"/>
    <w:rsid w:val="003E175E"/>
    <w:rsid w:val="003E4AD2"/>
    <w:rsid w:val="00475BE2"/>
    <w:rsid w:val="005538DE"/>
    <w:rsid w:val="00582CBF"/>
    <w:rsid w:val="0060669C"/>
    <w:rsid w:val="006906E7"/>
    <w:rsid w:val="006C4935"/>
    <w:rsid w:val="00745411"/>
    <w:rsid w:val="00850DC8"/>
    <w:rsid w:val="008B098A"/>
    <w:rsid w:val="008D56D6"/>
    <w:rsid w:val="00933025"/>
    <w:rsid w:val="00A22688"/>
    <w:rsid w:val="00A546BB"/>
    <w:rsid w:val="00A670C5"/>
    <w:rsid w:val="00AB0441"/>
    <w:rsid w:val="00AC2DDA"/>
    <w:rsid w:val="00B26B85"/>
    <w:rsid w:val="00B3499B"/>
    <w:rsid w:val="00C32319"/>
    <w:rsid w:val="00C46B80"/>
    <w:rsid w:val="00C90BCF"/>
    <w:rsid w:val="00CA3356"/>
    <w:rsid w:val="00CC466D"/>
    <w:rsid w:val="00D755F4"/>
    <w:rsid w:val="00E40501"/>
    <w:rsid w:val="00E75524"/>
    <w:rsid w:val="00EB0789"/>
    <w:rsid w:val="00F0404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51E087-82A5-42C8-9308-780EF241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0DC8"/>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850DC8"/>
    <w:pPr>
      <w:keepNext/>
      <w:jc w:val="center"/>
      <w:outlineLvl w:val="1"/>
    </w:pPr>
    <w:rPr>
      <w:sz w:val="24"/>
    </w:rPr>
  </w:style>
  <w:style w:type="paragraph" w:styleId="Nadpis5">
    <w:name w:val="heading 5"/>
    <w:basedOn w:val="Normln"/>
    <w:next w:val="Normln"/>
    <w:link w:val="Nadpis5Char"/>
    <w:qFormat/>
    <w:rsid w:val="00850DC8"/>
    <w:pPr>
      <w:keepNext/>
      <w:outlineLvl w:val="4"/>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3499B"/>
    <w:pPr>
      <w:tabs>
        <w:tab w:val="center" w:pos="4536"/>
        <w:tab w:val="right" w:pos="9072"/>
      </w:tabs>
    </w:pPr>
  </w:style>
  <w:style w:type="character" w:customStyle="1" w:styleId="ZhlavChar">
    <w:name w:val="Záhlaví Char"/>
    <w:basedOn w:val="Standardnpsmoodstavce"/>
    <w:link w:val="Zhlav"/>
    <w:uiPriority w:val="99"/>
    <w:rsid w:val="00B3499B"/>
  </w:style>
  <w:style w:type="paragraph" w:styleId="Zpat">
    <w:name w:val="footer"/>
    <w:basedOn w:val="Normln"/>
    <w:link w:val="ZpatChar"/>
    <w:unhideWhenUsed/>
    <w:rsid w:val="00B3499B"/>
    <w:pPr>
      <w:tabs>
        <w:tab w:val="center" w:pos="4536"/>
        <w:tab w:val="right" w:pos="9072"/>
      </w:tabs>
    </w:pPr>
  </w:style>
  <w:style w:type="character" w:customStyle="1" w:styleId="ZpatChar">
    <w:name w:val="Zápatí Char"/>
    <w:basedOn w:val="Standardnpsmoodstavce"/>
    <w:link w:val="Zpat"/>
    <w:uiPriority w:val="99"/>
    <w:rsid w:val="00B3499B"/>
  </w:style>
  <w:style w:type="character" w:styleId="Hypertextovodkaz">
    <w:name w:val="Hyperlink"/>
    <w:basedOn w:val="Standardnpsmoodstavce"/>
    <w:semiHidden/>
    <w:rsid w:val="00B3499B"/>
    <w:rPr>
      <w:color w:val="0000FF"/>
      <w:u w:val="single"/>
    </w:rPr>
  </w:style>
  <w:style w:type="character" w:customStyle="1" w:styleId="Nadpis2Char">
    <w:name w:val="Nadpis 2 Char"/>
    <w:basedOn w:val="Standardnpsmoodstavce"/>
    <w:link w:val="Nadpis2"/>
    <w:rsid w:val="00850DC8"/>
    <w:rPr>
      <w:rFonts w:ascii="Times New Roman" w:eastAsia="Times New Roman" w:hAnsi="Times New Roman" w:cs="Times New Roman"/>
      <w:sz w:val="24"/>
      <w:szCs w:val="20"/>
      <w:lang w:eastAsia="cs-CZ"/>
    </w:rPr>
  </w:style>
  <w:style w:type="character" w:customStyle="1" w:styleId="Nadpis5Char">
    <w:name w:val="Nadpis 5 Char"/>
    <w:basedOn w:val="Standardnpsmoodstavce"/>
    <w:link w:val="Nadpis5"/>
    <w:rsid w:val="00850DC8"/>
    <w:rPr>
      <w:rFonts w:ascii="Times New Roman" w:eastAsia="Times New Roman" w:hAnsi="Times New Roman" w:cs="Times New Roman"/>
      <w:sz w:val="32"/>
      <w:szCs w:val="20"/>
      <w:lang w:eastAsia="cs-CZ"/>
    </w:rPr>
  </w:style>
  <w:style w:type="character" w:styleId="Siln">
    <w:name w:val="Strong"/>
    <w:basedOn w:val="Standardnpsmoodstavce"/>
    <w:uiPriority w:val="22"/>
    <w:qFormat/>
    <w:rsid w:val="00850DC8"/>
    <w:rPr>
      <w:b/>
      <w:bCs/>
    </w:rPr>
  </w:style>
  <w:style w:type="paragraph" w:styleId="Zkladntext">
    <w:name w:val="Body Text"/>
    <w:basedOn w:val="Normln"/>
    <w:link w:val="ZkladntextChar"/>
    <w:semiHidden/>
    <w:rsid w:val="00850DC8"/>
    <w:pPr>
      <w:jc w:val="both"/>
    </w:pPr>
    <w:rPr>
      <w:rFonts w:ascii="Arial" w:hAnsi="Arial" w:cs="Arial"/>
    </w:rPr>
  </w:style>
  <w:style w:type="character" w:customStyle="1" w:styleId="ZkladntextChar">
    <w:name w:val="Základní text Char"/>
    <w:basedOn w:val="Standardnpsmoodstavce"/>
    <w:link w:val="Zkladntext"/>
    <w:semiHidden/>
    <w:rsid w:val="00850DC8"/>
    <w:rPr>
      <w:rFonts w:ascii="Arial" w:eastAsia="Times New Roman" w:hAnsi="Arial" w:cs="Arial"/>
      <w:sz w:val="20"/>
      <w:szCs w:val="20"/>
      <w:lang w:eastAsia="cs-CZ"/>
    </w:rPr>
  </w:style>
  <w:style w:type="paragraph" w:styleId="Zkladntext2">
    <w:name w:val="Body Text 2"/>
    <w:basedOn w:val="Normln"/>
    <w:link w:val="Zkladntext2Char"/>
    <w:semiHidden/>
    <w:rsid w:val="00850DC8"/>
    <w:pPr>
      <w:spacing w:before="120"/>
    </w:pPr>
    <w:rPr>
      <w:rFonts w:ascii="Arial" w:hAnsi="Arial" w:cs="Arial"/>
      <w:szCs w:val="24"/>
    </w:rPr>
  </w:style>
  <w:style w:type="character" w:customStyle="1" w:styleId="Zkladntext2Char">
    <w:name w:val="Základní text 2 Char"/>
    <w:basedOn w:val="Standardnpsmoodstavce"/>
    <w:link w:val="Zkladntext2"/>
    <w:semiHidden/>
    <w:rsid w:val="00850DC8"/>
    <w:rPr>
      <w:rFonts w:ascii="Arial" w:eastAsia="Times New Roman" w:hAnsi="Arial" w:cs="Arial"/>
      <w:sz w:val="20"/>
      <w:szCs w:val="24"/>
      <w:lang w:eastAsia="cs-CZ"/>
    </w:rPr>
  </w:style>
  <w:style w:type="paragraph" w:styleId="Zkladntextodsazen">
    <w:name w:val="Body Text Indent"/>
    <w:basedOn w:val="Normln"/>
    <w:link w:val="ZkladntextodsazenChar"/>
    <w:semiHidden/>
    <w:rsid w:val="00850DC8"/>
    <w:pPr>
      <w:ind w:left="360"/>
    </w:pPr>
    <w:rPr>
      <w:rFonts w:ascii="Arial" w:hAnsi="Arial" w:cs="Arial"/>
      <w:szCs w:val="24"/>
    </w:rPr>
  </w:style>
  <w:style w:type="character" w:customStyle="1" w:styleId="ZkladntextodsazenChar">
    <w:name w:val="Základní text odsazený Char"/>
    <w:basedOn w:val="Standardnpsmoodstavce"/>
    <w:link w:val="Zkladntextodsazen"/>
    <w:semiHidden/>
    <w:rsid w:val="00850DC8"/>
    <w:rPr>
      <w:rFonts w:ascii="Arial" w:eastAsia="Times New Roman" w:hAnsi="Arial" w:cs="Arial"/>
      <w:sz w:val="20"/>
      <w:szCs w:val="24"/>
      <w:lang w:eastAsia="cs-CZ"/>
    </w:rPr>
  </w:style>
  <w:style w:type="table" w:styleId="Mkatabulky">
    <w:name w:val="Table Grid"/>
    <w:basedOn w:val="Normlntabulka"/>
    <w:uiPriority w:val="59"/>
    <w:rsid w:val="00850D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BITRON2\AppData\Roaming\Microsoft\&#352;ablony\Hlavi&#269;ka%202016x.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66E13-9684-4C89-84CD-8E556606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Hlavička 2016x</Template>
  <TotalTime>1</TotalTime>
  <Pages>3</Pages>
  <Words>1378</Words>
  <Characters>8132</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EMBITRON2</dc:creator>
  <cp:lastModifiedBy>kancelář-NOK</cp:lastModifiedBy>
  <cp:revision>2</cp:revision>
  <dcterms:created xsi:type="dcterms:W3CDTF">2017-09-13T11:37:00Z</dcterms:created>
  <dcterms:modified xsi:type="dcterms:W3CDTF">2017-09-13T11:37:00Z</dcterms:modified>
</cp:coreProperties>
</file>