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80" w:type="dxa"/>
        <w:tblInd w:w="55" w:type="dxa"/>
        <w:tblCellMar>
          <w:left w:w="70" w:type="dxa"/>
          <w:right w:w="70" w:type="dxa"/>
        </w:tblCellMar>
        <w:tblLook w:val="04A0" w:firstRow="1" w:lastRow="0" w:firstColumn="1" w:lastColumn="0" w:noHBand="0" w:noVBand="1"/>
      </w:tblPr>
      <w:tblGrid>
        <w:gridCol w:w="556"/>
        <w:gridCol w:w="2007"/>
        <w:gridCol w:w="5679"/>
        <w:gridCol w:w="1280"/>
        <w:gridCol w:w="1328"/>
        <w:gridCol w:w="1330"/>
        <w:gridCol w:w="1100"/>
      </w:tblGrid>
      <w:tr w:rsidR="0075745F" w:rsidRPr="0075745F" w:rsidTr="0075745F">
        <w:trPr>
          <w:trHeight w:val="330"/>
        </w:trPr>
        <w:tc>
          <w:tcPr>
            <w:tcW w:w="13280" w:type="dxa"/>
            <w:gridSpan w:val="7"/>
            <w:tcBorders>
              <w:top w:val="nil"/>
              <w:left w:val="nil"/>
              <w:bottom w:val="nil"/>
              <w:right w:val="nil"/>
            </w:tcBorders>
            <w:shd w:val="clear" w:color="auto" w:fill="auto"/>
            <w:noWrap/>
            <w:hideMark/>
          </w:tcPr>
          <w:p w:rsidR="0075745F" w:rsidRPr="0075745F" w:rsidRDefault="0075745F" w:rsidP="0075745F">
            <w:pPr>
              <w:spacing w:after="0" w:line="240" w:lineRule="auto"/>
              <w:jc w:val="center"/>
              <w:rPr>
                <w:rFonts w:ascii="Arial CE" w:eastAsia="Times New Roman" w:hAnsi="Arial CE" w:cs="Times New Roman"/>
                <w:b/>
                <w:bCs/>
                <w:sz w:val="24"/>
                <w:szCs w:val="24"/>
                <w:lang w:eastAsia="cs-CZ"/>
              </w:rPr>
            </w:pPr>
            <w:r w:rsidRPr="0075745F">
              <w:rPr>
                <w:rFonts w:ascii="Arial CE" w:eastAsia="Times New Roman" w:hAnsi="Arial CE" w:cs="Times New Roman"/>
                <w:b/>
                <w:bCs/>
                <w:sz w:val="24"/>
                <w:szCs w:val="24"/>
                <w:lang w:eastAsia="cs-CZ"/>
              </w:rPr>
              <w:t>Soupis vedlejších a ostatních nákladů</w:t>
            </w:r>
          </w:p>
        </w:tc>
      </w:tr>
      <w:tr w:rsidR="0075745F" w:rsidRPr="0075745F" w:rsidTr="0075745F">
        <w:trPr>
          <w:trHeight w:val="315"/>
        </w:trPr>
        <w:tc>
          <w:tcPr>
            <w:tcW w:w="556" w:type="dxa"/>
            <w:tcBorders>
              <w:top w:val="double" w:sz="6" w:space="0" w:color="000000"/>
              <w:left w:val="double" w:sz="6" w:space="0" w:color="000000"/>
              <w:bottom w:val="single" w:sz="4" w:space="0" w:color="000000"/>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S:</w:t>
            </w:r>
          </w:p>
        </w:tc>
        <w:tc>
          <w:tcPr>
            <w:tcW w:w="2007" w:type="dxa"/>
            <w:tcBorders>
              <w:top w:val="double" w:sz="6" w:space="0" w:color="000000"/>
              <w:left w:val="nil"/>
              <w:bottom w:val="single" w:sz="4" w:space="0" w:color="000000"/>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10717" w:type="dxa"/>
            <w:gridSpan w:val="5"/>
            <w:tcBorders>
              <w:top w:val="double" w:sz="6" w:space="0" w:color="000000"/>
              <w:left w:val="nil"/>
              <w:bottom w:val="single" w:sz="4" w:space="0" w:color="000000"/>
              <w:right w:val="double" w:sz="6"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ZUŠ VSETÍN - REKONSTRUKCE KOTELNY</w:t>
            </w:r>
          </w:p>
        </w:tc>
      </w:tr>
      <w:tr w:rsidR="0075745F" w:rsidRPr="0075745F" w:rsidTr="0075745F">
        <w:trPr>
          <w:trHeight w:val="300"/>
        </w:trPr>
        <w:tc>
          <w:tcPr>
            <w:tcW w:w="556" w:type="dxa"/>
            <w:tcBorders>
              <w:top w:val="nil"/>
              <w:left w:val="double" w:sz="6" w:space="0" w:color="000000"/>
              <w:bottom w:val="single" w:sz="4" w:space="0" w:color="000000"/>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O:</w:t>
            </w:r>
          </w:p>
        </w:tc>
        <w:tc>
          <w:tcPr>
            <w:tcW w:w="2007" w:type="dxa"/>
            <w:tcBorders>
              <w:top w:val="nil"/>
              <w:left w:val="nil"/>
              <w:bottom w:val="single" w:sz="4" w:space="0" w:color="000000"/>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10717" w:type="dxa"/>
            <w:gridSpan w:val="5"/>
            <w:tcBorders>
              <w:top w:val="single" w:sz="4" w:space="0" w:color="000000"/>
              <w:left w:val="nil"/>
              <w:bottom w:val="single" w:sz="4" w:space="0" w:color="000000"/>
              <w:right w:val="double" w:sz="6"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Vedlejší a ostatní náklady</w:t>
            </w:r>
          </w:p>
        </w:tc>
      </w:tr>
      <w:tr w:rsidR="0075745F" w:rsidRPr="0075745F" w:rsidTr="0075745F">
        <w:trPr>
          <w:trHeight w:val="435"/>
        </w:trPr>
        <w:tc>
          <w:tcPr>
            <w:tcW w:w="556" w:type="dxa"/>
            <w:tcBorders>
              <w:top w:val="nil"/>
              <w:left w:val="double" w:sz="6" w:space="0" w:color="000000"/>
              <w:bottom w:val="double" w:sz="6" w:space="0" w:color="000000"/>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R:</w:t>
            </w:r>
          </w:p>
        </w:tc>
        <w:tc>
          <w:tcPr>
            <w:tcW w:w="2007" w:type="dxa"/>
            <w:tcBorders>
              <w:top w:val="nil"/>
              <w:left w:val="nil"/>
              <w:bottom w:val="double" w:sz="6"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5679" w:type="dxa"/>
            <w:tcBorders>
              <w:top w:val="nil"/>
              <w:left w:val="nil"/>
              <w:bottom w:val="double" w:sz="6" w:space="0" w:color="000000"/>
              <w:right w:val="nil"/>
            </w:tcBorders>
            <w:shd w:val="clear" w:color="CCCCFF" w:fill="C0C0C0"/>
            <w:vAlign w:val="center"/>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Vedlejší a ostatní náklady celkem</w:t>
            </w:r>
          </w:p>
        </w:tc>
        <w:tc>
          <w:tcPr>
            <w:tcW w:w="1280" w:type="dxa"/>
            <w:tcBorders>
              <w:top w:val="nil"/>
              <w:left w:val="nil"/>
              <w:bottom w:val="double" w:sz="6" w:space="0" w:color="000000"/>
              <w:right w:val="nil"/>
            </w:tcBorders>
            <w:shd w:val="clear" w:color="CCCCFF" w:fill="C0C0C0"/>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1328" w:type="dxa"/>
            <w:tcBorders>
              <w:top w:val="nil"/>
              <w:left w:val="nil"/>
              <w:bottom w:val="double" w:sz="6" w:space="0" w:color="000000"/>
              <w:right w:val="nil"/>
            </w:tcBorders>
            <w:shd w:val="clear" w:color="CCCCFF" w:fill="C0C0C0"/>
            <w:vAlign w:val="center"/>
            <w:hideMark/>
          </w:tcPr>
          <w:p w:rsidR="0075745F" w:rsidRPr="0075745F" w:rsidRDefault="0075745F" w:rsidP="0075745F">
            <w:pPr>
              <w:spacing w:after="0" w:line="240" w:lineRule="auto"/>
              <w:jc w:val="center"/>
              <w:rPr>
                <w:rFonts w:ascii="Arial CE" w:eastAsia="Times New Roman" w:hAnsi="Arial CE" w:cs="Times New Roman"/>
                <w:b/>
                <w:bCs/>
                <w:sz w:val="20"/>
                <w:szCs w:val="20"/>
                <w:lang w:eastAsia="cs-CZ"/>
              </w:rPr>
            </w:pPr>
            <w:r w:rsidRPr="0075745F">
              <w:rPr>
                <w:rFonts w:ascii="Arial CE" w:eastAsia="Times New Roman" w:hAnsi="Arial CE" w:cs="Times New Roman"/>
                <w:b/>
                <w:bCs/>
                <w:sz w:val="20"/>
                <w:szCs w:val="20"/>
                <w:lang w:eastAsia="cs-CZ"/>
              </w:rPr>
              <w:t>Kč</w:t>
            </w:r>
          </w:p>
        </w:tc>
        <w:tc>
          <w:tcPr>
            <w:tcW w:w="2430" w:type="dxa"/>
            <w:gridSpan w:val="2"/>
            <w:tcBorders>
              <w:top w:val="single" w:sz="4" w:space="0" w:color="000000"/>
              <w:left w:val="nil"/>
              <w:bottom w:val="double" w:sz="6" w:space="0" w:color="000000"/>
              <w:right w:val="double" w:sz="6" w:space="0" w:color="000000"/>
            </w:tcBorders>
            <w:shd w:val="clear" w:color="CCCCFF" w:fill="C0C0C0"/>
            <w:noWrap/>
            <w:vAlign w:val="center"/>
            <w:hideMark/>
          </w:tcPr>
          <w:p w:rsidR="0075745F" w:rsidRPr="0075745F" w:rsidRDefault="0075745F" w:rsidP="0075745F">
            <w:pPr>
              <w:spacing w:after="0" w:line="240" w:lineRule="auto"/>
              <w:jc w:val="center"/>
              <w:rPr>
                <w:rFonts w:ascii="Arial CE" w:eastAsia="Times New Roman" w:hAnsi="Arial CE" w:cs="Times New Roman"/>
                <w:b/>
                <w:bCs/>
                <w:sz w:val="24"/>
                <w:szCs w:val="24"/>
                <w:lang w:eastAsia="cs-CZ"/>
              </w:rPr>
            </w:pPr>
            <w:r w:rsidRPr="0075745F">
              <w:rPr>
                <w:rFonts w:ascii="Arial CE" w:eastAsia="Times New Roman" w:hAnsi="Arial CE" w:cs="Times New Roman"/>
                <w:b/>
                <w:bCs/>
                <w:sz w:val="24"/>
                <w:szCs w:val="24"/>
                <w:lang w:eastAsia="cs-CZ"/>
              </w:rPr>
              <w:t>73 000,00</w:t>
            </w:r>
          </w:p>
        </w:tc>
      </w:tr>
      <w:tr w:rsidR="0075745F" w:rsidRPr="0075745F" w:rsidTr="0075745F">
        <w:trPr>
          <w:trHeight w:val="330"/>
        </w:trPr>
        <w:tc>
          <w:tcPr>
            <w:tcW w:w="556" w:type="dxa"/>
            <w:tcBorders>
              <w:top w:val="nil"/>
              <w:left w:val="nil"/>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2007" w:type="dxa"/>
            <w:tcBorders>
              <w:top w:val="nil"/>
              <w:left w:val="nil"/>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5679" w:type="dxa"/>
            <w:tcBorders>
              <w:top w:val="nil"/>
              <w:left w:val="nil"/>
              <w:bottom w:val="nil"/>
              <w:right w:val="nil"/>
            </w:tcBorders>
            <w:shd w:val="clear" w:color="auto" w:fill="auto"/>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1280" w:type="dxa"/>
            <w:tcBorders>
              <w:top w:val="nil"/>
              <w:left w:val="nil"/>
              <w:bottom w:val="nil"/>
              <w:right w:val="nil"/>
            </w:tcBorders>
            <w:shd w:val="clear" w:color="auto" w:fill="auto"/>
            <w:noWrap/>
            <w:hideMark/>
          </w:tcPr>
          <w:p w:rsidR="0075745F" w:rsidRPr="0075745F" w:rsidRDefault="0075745F" w:rsidP="0075745F">
            <w:pPr>
              <w:spacing w:after="0" w:line="240" w:lineRule="auto"/>
              <w:jc w:val="center"/>
              <w:rPr>
                <w:rFonts w:ascii="Arial CE" w:eastAsia="Times New Roman" w:hAnsi="Arial CE" w:cs="Times New Roman"/>
                <w:sz w:val="20"/>
                <w:szCs w:val="20"/>
                <w:lang w:eastAsia="cs-CZ"/>
              </w:rPr>
            </w:pPr>
          </w:p>
        </w:tc>
        <w:tc>
          <w:tcPr>
            <w:tcW w:w="1328" w:type="dxa"/>
            <w:tcBorders>
              <w:top w:val="nil"/>
              <w:left w:val="nil"/>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1330" w:type="dxa"/>
            <w:tcBorders>
              <w:top w:val="nil"/>
              <w:left w:val="nil"/>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1100" w:type="dxa"/>
            <w:tcBorders>
              <w:top w:val="nil"/>
              <w:left w:val="nil"/>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r>
      <w:tr w:rsidR="0075745F" w:rsidRPr="0075745F" w:rsidTr="0075745F">
        <w:trPr>
          <w:trHeight w:val="540"/>
        </w:trPr>
        <w:tc>
          <w:tcPr>
            <w:tcW w:w="556" w:type="dxa"/>
            <w:tcBorders>
              <w:top w:val="double" w:sz="6" w:space="0" w:color="000000"/>
              <w:left w:val="double" w:sz="6" w:space="0" w:color="000000"/>
              <w:bottom w:val="nil"/>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proofErr w:type="spellStart"/>
            <w:proofErr w:type="gramStart"/>
            <w:r w:rsidRPr="0075745F">
              <w:rPr>
                <w:rFonts w:ascii="Arial CE" w:eastAsia="Times New Roman" w:hAnsi="Arial CE" w:cs="Times New Roman"/>
                <w:sz w:val="20"/>
                <w:szCs w:val="20"/>
                <w:lang w:eastAsia="cs-CZ"/>
              </w:rPr>
              <w:t>P.č</w:t>
            </w:r>
            <w:proofErr w:type="spellEnd"/>
            <w:r w:rsidRPr="0075745F">
              <w:rPr>
                <w:rFonts w:ascii="Arial CE" w:eastAsia="Times New Roman" w:hAnsi="Arial CE" w:cs="Times New Roman"/>
                <w:sz w:val="20"/>
                <w:szCs w:val="20"/>
                <w:lang w:eastAsia="cs-CZ"/>
              </w:rPr>
              <w:t>.</w:t>
            </w:r>
            <w:proofErr w:type="gramEnd"/>
          </w:p>
        </w:tc>
        <w:tc>
          <w:tcPr>
            <w:tcW w:w="2007" w:type="dxa"/>
            <w:tcBorders>
              <w:top w:val="double" w:sz="6" w:space="0" w:color="000000"/>
              <w:left w:val="nil"/>
              <w:bottom w:val="nil"/>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Číslo položky</w:t>
            </w:r>
          </w:p>
        </w:tc>
        <w:tc>
          <w:tcPr>
            <w:tcW w:w="5679" w:type="dxa"/>
            <w:tcBorders>
              <w:top w:val="double" w:sz="6" w:space="0" w:color="000000"/>
              <w:left w:val="nil"/>
              <w:bottom w:val="nil"/>
              <w:right w:val="single" w:sz="4" w:space="0" w:color="000000"/>
            </w:tcBorders>
            <w:shd w:val="clear" w:color="CCCCFF" w:fill="C0C0C0"/>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Název položky</w:t>
            </w:r>
          </w:p>
        </w:tc>
        <w:tc>
          <w:tcPr>
            <w:tcW w:w="1280" w:type="dxa"/>
            <w:tcBorders>
              <w:top w:val="double" w:sz="6" w:space="0" w:color="000000"/>
              <w:left w:val="nil"/>
              <w:bottom w:val="nil"/>
              <w:right w:val="single" w:sz="4" w:space="0" w:color="000000"/>
            </w:tcBorders>
            <w:shd w:val="clear" w:color="CCCCFF" w:fill="C0C0C0"/>
            <w:noWrap/>
            <w:hideMark/>
          </w:tcPr>
          <w:p w:rsidR="0075745F" w:rsidRPr="0075745F" w:rsidRDefault="0075745F" w:rsidP="0075745F">
            <w:pPr>
              <w:spacing w:after="0" w:line="240" w:lineRule="auto"/>
              <w:jc w:val="center"/>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MJ</w:t>
            </w:r>
          </w:p>
        </w:tc>
        <w:tc>
          <w:tcPr>
            <w:tcW w:w="1328" w:type="dxa"/>
            <w:tcBorders>
              <w:top w:val="double" w:sz="6" w:space="0" w:color="000000"/>
              <w:left w:val="nil"/>
              <w:bottom w:val="nil"/>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množství</w:t>
            </w:r>
          </w:p>
        </w:tc>
        <w:tc>
          <w:tcPr>
            <w:tcW w:w="1330" w:type="dxa"/>
            <w:tcBorders>
              <w:top w:val="double" w:sz="6" w:space="0" w:color="000000"/>
              <w:left w:val="nil"/>
              <w:bottom w:val="nil"/>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cena / MJ</w:t>
            </w:r>
          </w:p>
        </w:tc>
        <w:tc>
          <w:tcPr>
            <w:tcW w:w="1100" w:type="dxa"/>
            <w:tcBorders>
              <w:top w:val="double" w:sz="6" w:space="0" w:color="000000"/>
              <w:left w:val="double" w:sz="6" w:space="0" w:color="000000"/>
              <w:bottom w:val="nil"/>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celkem</w:t>
            </w:r>
          </w:p>
        </w:tc>
      </w:tr>
      <w:tr w:rsidR="0075745F" w:rsidRPr="0075745F" w:rsidTr="0075745F">
        <w:trPr>
          <w:trHeight w:val="300"/>
        </w:trPr>
        <w:tc>
          <w:tcPr>
            <w:tcW w:w="556" w:type="dxa"/>
            <w:tcBorders>
              <w:top w:val="single" w:sz="8" w:space="0" w:color="000000"/>
              <w:left w:val="single" w:sz="8"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2007" w:type="dxa"/>
            <w:tcBorders>
              <w:top w:val="single" w:sz="8" w:space="0" w:color="000000"/>
              <w:left w:val="single" w:sz="4"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Ceník, kapitola</w:t>
            </w:r>
          </w:p>
        </w:tc>
        <w:tc>
          <w:tcPr>
            <w:tcW w:w="10717" w:type="dxa"/>
            <w:gridSpan w:val="5"/>
            <w:tcBorders>
              <w:top w:val="single" w:sz="8" w:space="0" w:color="000000"/>
              <w:left w:val="single" w:sz="4" w:space="0" w:color="000000"/>
              <w:bottom w:val="single" w:sz="4" w:space="0" w:color="000000"/>
              <w:right w:val="single" w:sz="4" w:space="0" w:color="000000"/>
            </w:tcBorders>
            <w:shd w:val="clear" w:color="CCCCFF" w:fill="C0C0C0"/>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Poznámka uchazeče</w:t>
            </w:r>
          </w:p>
        </w:tc>
      </w:tr>
      <w:tr w:rsidR="0075745F" w:rsidRPr="0075745F" w:rsidTr="0075745F">
        <w:trPr>
          <w:trHeight w:val="300"/>
        </w:trPr>
        <w:tc>
          <w:tcPr>
            <w:tcW w:w="556" w:type="dxa"/>
            <w:tcBorders>
              <w:top w:val="nil"/>
              <w:left w:val="single" w:sz="8"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Díl:</w:t>
            </w:r>
          </w:p>
        </w:tc>
        <w:tc>
          <w:tcPr>
            <w:tcW w:w="2007" w:type="dxa"/>
            <w:tcBorders>
              <w:top w:val="nil"/>
              <w:left w:val="single" w:sz="4"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VN</w:t>
            </w:r>
          </w:p>
        </w:tc>
        <w:tc>
          <w:tcPr>
            <w:tcW w:w="5679" w:type="dxa"/>
            <w:tcBorders>
              <w:top w:val="nil"/>
              <w:left w:val="single" w:sz="4" w:space="0" w:color="000000"/>
              <w:bottom w:val="single" w:sz="4" w:space="0" w:color="000000"/>
              <w:right w:val="single" w:sz="4" w:space="0" w:color="000000"/>
            </w:tcBorders>
            <w:shd w:val="clear" w:color="CCCCFF" w:fill="C0C0C0"/>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Vedlejší náklady</w:t>
            </w:r>
          </w:p>
        </w:tc>
        <w:tc>
          <w:tcPr>
            <w:tcW w:w="1280" w:type="dxa"/>
            <w:tcBorders>
              <w:top w:val="nil"/>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1328" w:type="dxa"/>
            <w:tcBorders>
              <w:top w:val="nil"/>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2430" w:type="dxa"/>
            <w:gridSpan w:val="2"/>
            <w:tcBorders>
              <w:top w:val="single" w:sz="4" w:space="0" w:color="000000"/>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jc w:val="right"/>
              <w:rPr>
                <w:rFonts w:ascii="Arial CE" w:eastAsia="Times New Roman" w:hAnsi="Arial CE" w:cs="Times New Roman"/>
                <w:b/>
                <w:bCs/>
                <w:sz w:val="20"/>
                <w:szCs w:val="20"/>
                <w:lang w:eastAsia="cs-CZ"/>
              </w:rPr>
            </w:pPr>
            <w:r w:rsidRPr="0075745F">
              <w:rPr>
                <w:rFonts w:ascii="Arial CE" w:eastAsia="Times New Roman" w:hAnsi="Arial CE" w:cs="Times New Roman"/>
                <w:b/>
                <w:bCs/>
                <w:sz w:val="20"/>
                <w:szCs w:val="20"/>
                <w:lang w:eastAsia="cs-CZ"/>
              </w:rPr>
              <w:t>58 000,00</w:t>
            </w:r>
          </w:p>
        </w:tc>
      </w:tr>
      <w:tr w:rsidR="0075745F" w:rsidRPr="0075745F" w:rsidTr="0075745F">
        <w:trPr>
          <w:trHeight w:val="31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005121010R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Vybudování zařízení staveniště</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20 000,00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20 000,00</w:t>
            </w:r>
          </w:p>
        </w:tc>
      </w:tr>
      <w:tr w:rsidR="0075745F" w:rsidRPr="0075745F" w:rsidTr="0075745F">
        <w:trPr>
          <w:trHeight w:val="72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Náklady spojené s případným vypracováním projektové dokumentace zařízení staveniště, zřízením přípojek energií k objektům zařízení staveniště, vybudování případných měřících odběrných míst a zřízení, případná příprava území pro objekty zařízení staveniště a vlastní vybudování objektů zařízení staveniště.</w:t>
            </w:r>
          </w:p>
        </w:tc>
      </w:tr>
      <w:tr w:rsidR="0075745F" w:rsidRPr="0075745F" w:rsidTr="0075745F">
        <w:trPr>
          <w:trHeight w:val="34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005121030R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Odstranění zařízení staveniště</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3 000,00</w:t>
            </w:r>
          </w:p>
        </w:tc>
      </w:tr>
      <w:tr w:rsidR="0075745F" w:rsidRPr="0075745F" w:rsidTr="0075745F">
        <w:trPr>
          <w:trHeight w:val="55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Odstranění objektů zařízení staveniště včetně přípojek energií a jejich odvoz. Položka zahrnuje i náklady na úpravu povrchů po odstranění zařízení staveniště a úklid ploch, na kterých bylo zařízení staveniště provozováno.</w:t>
            </w:r>
          </w:p>
        </w:tc>
      </w:tr>
      <w:tr w:rsidR="0075745F" w:rsidRPr="0075745F" w:rsidTr="0075745F">
        <w:trPr>
          <w:trHeight w:val="34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005121040R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Provoz investora</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5 000,00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5 000,00</w:t>
            </w:r>
          </w:p>
        </w:tc>
      </w:tr>
      <w:tr w:rsidR="0075745F" w:rsidRPr="0075745F" w:rsidTr="0075745F">
        <w:trPr>
          <w:trHeight w:val="76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Náklady z titulu rušení dopravy vně i uvnitř staveniště, vlivu prostředí (extrémní teploty, výpary chemikálií, biologická závadnost apod.), přestávek v práci nařízených investorem a ostatních vlivů způsobených investorem nebo na stavbě nezúčastněných organizací. Náklady z důvodu omezení výuky při práci v průběhu školního roku.</w:t>
            </w:r>
          </w:p>
        </w:tc>
      </w:tr>
      <w:tr w:rsidR="0075745F" w:rsidRPr="0075745F" w:rsidTr="0075745F">
        <w:trPr>
          <w:trHeight w:val="34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4</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005121050R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Kompletační činnost</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30 000,00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30 000,00</w:t>
            </w:r>
          </w:p>
        </w:tc>
      </w:tr>
      <w:tr w:rsidR="0075745F" w:rsidRPr="0075745F" w:rsidTr="0075745F">
        <w:trPr>
          <w:trHeight w:val="252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Kompletací stavební části se rozumí dodávka stavební části jedním dodavatelem za předpokladu plnění následujících podmínek:</w:t>
            </w:r>
            <w:r w:rsidRPr="0075745F">
              <w:rPr>
                <w:rFonts w:ascii="Arial CE" w:eastAsia="Times New Roman" w:hAnsi="Arial CE" w:cs="Times New Roman"/>
                <w:color w:val="008000"/>
                <w:sz w:val="16"/>
                <w:szCs w:val="16"/>
                <w:lang w:eastAsia="cs-CZ"/>
              </w:rPr>
              <w:br/>
              <w:t>-          zajistit vybudování zařízení staveniště i pro subdodavatele,</w:t>
            </w:r>
            <w:r w:rsidRPr="0075745F">
              <w:rPr>
                <w:rFonts w:ascii="Arial CE" w:eastAsia="Times New Roman" w:hAnsi="Arial CE" w:cs="Times New Roman"/>
                <w:color w:val="008000"/>
                <w:sz w:val="16"/>
                <w:szCs w:val="16"/>
                <w:lang w:eastAsia="cs-CZ"/>
              </w:rPr>
              <w:br/>
              <w:t>-          zajišťovat provoz a údržbu zařízení staveniště včetně společných sociálních a provozních objektů,</w:t>
            </w:r>
            <w:r w:rsidRPr="0075745F">
              <w:rPr>
                <w:rFonts w:ascii="Arial CE" w:eastAsia="Times New Roman" w:hAnsi="Arial CE" w:cs="Times New Roman"/>
                <w:color w:val="008000"/>
                <w:sz w:val="16"/>
                <w:szCs w:val="16"/>
                <w:lang w:eastAsia="cs-CZ"/>
              </w:rPr>
              <w:br/>
              <w:t>-          převzít staveniště pro stavební část stavby a zařízení staveniště a předávat jeho části poddodavatelům,</w:t>
            </w:r>
            <w:r w:rsidRPr="0075745F">
              <w:rPr>
                <w:rFonts w:ascii="Arial CE" w:eastAsia="Times New Roman" w:hAnsi="Arial CE" w:cs="Times New Roman"/>
                <w:color w:val="008000"/>
                <w:sz w:val="16"/>
                <w:szCs w:val="16"/>
                <w:lang w:eastAsia="cs-CZ"/>
              </w:rPr>
              <w:br/>
              <w:t>-          koordinovat práce poddodavatelů na základě projektu, provádět věcné a cenové kontroly včetně přejímky a zajišťovat plnění dílčích termínů dodávky,</w:t>
            </w:r>
            <w:r w:rsidRPr="0075745F">
              <w:rPr>
                <w:rFonts w:ascii="Arial CE" w:eastAsia="Times New Roman" w:hAnsi="Arial CE" w:cs="Times New Roman"/>
                <w:color w:val="008000"/>
                <w:sz w:val="16"/>
                <w:szCs w:val="16"/>
                <w:lang w:eastAsia="cs-CZ"/>
              </w:rPr>
              <w:br/>
              <w:t>-          zajišťovat poskytnutí zednické a ostatní výpomoci organizacím zúčastněným na stavbě na základě jejich písemného požadavku,</w:t>
            </w:r>
            <w:r w:rsidRPr="0075745F">
              <w:rPr>
                <w:rFonts w:ascii="Arial CE" w:eastAsia="Times New Roman" w:hAnsi="Arial CE" w:cs="Times New Roman"/>
                <w:color w:val="008000"/>
                <w:sz w:val="16"/>
                <w:szCs w:val="16"/>
                <w:lang w:eastAsia="cs-CZ"/>
              </w:rPr>
              <w:br/>
              <w:t>-          zpracovat dokumentaci skutečného provedení stavby pro potřeby odběratele (vlastníka stavby),</w:t>
            </w:r>
            <w:r w:rsidRPr="0075745F">
              <w:rPr>
                <w:rFonts w:ascii="Arial CE" w:eastAsia="Times New Roman" w:hAnsi="Arial CE" w:cs="Times New Roman"/>
                <w:color w:val="008000"/>
                <w:sz w:val="16"/>
                <w:szCs w:val="16"/>
                <w:lang w:eastAsia="cs-CZ"/>
              </w:rPr>
              <w:br/>
              <w:t>-          zúčastnit se kolaudace a předání stavby do užívání,</w:t>
            </w:r>
            <w:r w:rsidRPr="0075745F">
              <w:rPr>
                <w:rFonts w:ascii="Arial CE" w:eastAsia="Times New Roman" w:hAnsi="Arial CE" w:cs="Times New Roman"/>
                <w:color w:val="008000"/>
                <w:sz w:val="16"/>
                <w:szCs w:val="16"/>
                <w:lang w:eastAsia="cs-CZ"/>
              </w:rPr>
              <w:br/>
              <w:t>-          na žádost odběratele se zúčastnit vyhodnocovacího řízení.</w:t>
            </w:r>
          </w:p>
        </w:tc>
      </w:tr>
      <w:tr w:rsidR="0075745F" w:rsidRPr="0075745F" w:rsidTr="0075745F">
        <w:trPr>
          <w:trHeight w:val="300"/>
        </w:trPr>
        <w:tc>
          <w:tcPr>
            <w:tcW w:w="556" w:type="dxa"/>
            <w:tcBorders>
              <w:top w:val="nil"/>
              <w:left w:val="single" w:sz="8"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Díl:</w:t>
            </w:r>
          </w:p>
        </w:tc>
        <w:tc>
          <w:tcPr>
            <w:tcW w:w="2007" w:type="dxa"/>
            <w:tcBorders>
              <w:top w:val="nil"/>
              <w:left w:val="single" w:sz="4" w:space="0" w:color="000000"/>
              <w:bottom w:val="single" w:sz="4" w:space="0" w:color="000000"/>
              <w:right w:val="nil"/>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ON</w:t>
            </w:r>
          </w:p>
        </w:tc>
        <w:tc>
          <w:tcPr>
            <w:tcW w:w="5679" w:type="dxa"/>
            <w:tcBorders>
              <w:top w:val="nil"/>
              <w:left w:val="single" w:sz="4" w:space="0" w:color="000000"/>
              <w:bottom w:val="single" w:sz="4" w:space="0" w:color="000000"/>
              <w:right w:val="single" w:sz="4" w:space="0" w:color="000000"/>
            </w:tcBorders>
            <w:shd w:val="clear" w:color="CCCCFF" w:fill="C0C0C0"/>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Ostatní náklady</w:t>
            </w:r>
          </w:p>
        </w:tc>
        <w:tc>
          <w:tcPr>
            <w:tcW w:w="1280" w:type="dxa"/>
            <w:tcBorders>
              <w:top w:val="nil"/>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1328" w:type="dxa"/>
            <w:tcBorders>
              <w:top w:val="nil"/>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w:t>
            </w:r>
          </w:p>
        </w:tc>
        <w:tc>
          <w:tcPr>
            <w:tcW w:w="2430" w:type="dxa"/>
            <w:gridSpan w:val="2"/>
            <w:tcBorders>
              <w:top w:val="nil"/>
              <w:left w:val="nil"/>
              <w:bottom w:val="single" w:sz="4" w:space="0" w:color="000000"/>
              <w:right w:val="single" w:sz="4" w:space="0" w:color="000000"/>
            </w:tcBorders>
            <w:shd w:val="clear" w:color="CCCCFF" w:fill="C0C0C0"/>
            <w:noWrap/>
            <w:hideMark/>
          </w:tcPr>
          <w:p w:rsidR="0075745F" w:rsidRPr="0075745F" w:rsidRDefault="0075745F" w:rsidP="0075745F">
            <w:pPr>
              <w:spacing w:after="0" w:line="240" w:lineRule="auto"/>
              <w:jc w:val="right"/>
              <w:rPr>
                <w:rFonts w:ascii="Arial CE" w:eastAsia="Times New Roman" w:hAnsi="Arial CE" w:cs="Times New Roman"/>
                <w:b/>
                <w:bCs/>
                <w:sz w:val="20"/>
                <w:szCs w:val="20"/>
                <w:lang w:eastAsia="cs-CZ"/>
              </w:rPr>
            </w:pPr>
            <w:r w:rsidRPr="0075745F">
              <w:rPr>
                <w:rFonts w:ascii="Arial CE" w:eastAsia="Times New Roman" w:hAnsi="Arial CE" w:cs="Times New Roman"/>
                <w:b/>
                <w:bCs/>
                <w:sz w:val="20"/>
                <w:szCs w:val="20"/>
                <w:lang w:eastAsia="cs-CZ"/>
              </w:rPr>
              <w:t>15 000,00</w:t>
            </w:r>
          </w:p>
        </w:tc>
      </w:tr>
      <w:tr w:rsidR="0075745F" w:rsidRPr="0075745F" w:rsidTr="0075745F">
        <w:trPr>
          <w:trHeight w:val="27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5</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005211010R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Předání a převzetí staveniště</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r>
      <w:tr w:rsidR="0075745F" w:rsidRPr="0075745F" w:rsidTr="0075745F">
        <w:trPr>
          <w:trHeight w:val="30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Náklady spojené s účastí zhotovitele na předání a převzetí staveniště.</w:t>
            </w:r>
          </w:p>
        </w:tc>
      </w:tr>
      <w:tr w:rsidR="0075745F" w:rsidRPr="0075745F" w:rsidTr="0075745F">
        <w:trPr>
          <w:trHeight w:val="27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6</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005211020R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Vyklizení prostoru staveniště</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r>
      <w:tr w:rsidR="0075745F" w:rsidRPr="0075745F" w:rsidTr="0075745F">
        <w:trPr>
          <w:trHeight w:val="51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lastRenderedPageBreak/>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 xml:space="preserve">Náklady spojené s vyklizením prostoru kotelny, kde se nachází cca 60 starých školních židlí a 20 školních lavic, dvě velké </w:t>
            </w:r>
            <w:proofErr w:type="spellStart"/>
            <w:r w:rsidRPr="0075745F">
              <w:rPr>
                <w:rFonts w:ascii="Arial CE" w:eastAsia="Times New Roman" w:hAnsi="Arial CE" w:cs="Times New Roman"/>
                <w:color w:val="008000"/>
                <w:sz w:val="16"/>
                <w:szCs w:val="16"/>
                <w:lang w:eastAsia="cs-CZ"/>
              </w:rPr>
              <w:t>stré</w:t>
            </w:r>
            <w:proofErr w:type="spellEnd"/>
            <w:r w:rsidRPr="0075745F">
              <w:rPr>
                <w:rFonts w:ascii="Arial CE" w:eastAsia="Times New Roman" w:hAnsi="Arial CE" w:cs="Times New Roman"/>
                <w:color w:val="008000"/>
                <w:sz w:val="16"/>
                <w:szCs w:val="16"/>
                <w:lang w:eastAsia="cs-CZ"/>
              </w:rPr>
              <w:t xml:space="preserve"> </w:t>
            </w:r>
            <w:proofErr w:type="spellStart"/>
            <w:r w:rsidRPr="0075745F">
              <w:rPr>
                <w:rFonts w:ascii="Arial CE" w:eastAsia="Times New Roman" w:hAnsi="Arial CE" w:cs="Times New Roman"/>
                <w:color w:val="008000"/>
                <w:sz w:val="16"/>
                <w:szCs w:val="16"/>
                <w:lang w:eastAsia="cs-CZ"/>
              </w:rPr>
              <w:t>skříne</w:t>
            </w:r>
            <w:proofErr w:type="spellEnd"/>
            <w:r w:rsidRPr="0075745F">
              <w:rPr>
                <w:rFonts w:ascii="Arial CE" w:eastAsia="Times New Roman" w:hAnsi="Arial CE" w:cs="Times New Roman"/>
                <w:color w:val="008000"/>
                <w:sz w:val="16"/>
                <w:szCs w:val="16"/>
                <w:lang w:eastAsia="cs-CZ"/>
              </w:rPr>
              <w:t>, včetně odvozu do sběrného dvora a uhrazení poplatku</w:t>
            </w:r>
          </w:p>
        </w:tc>
      </w:tr>
      <w:tr w:rsidR="0075745F" w:rsidRPr="0075745F" w:rsidTr="0075745F">
        <w:trPr>
          <w:trHeight w:val="34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7</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005211041R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Tabule označení stavby a tabule s označením rizik na stavbě</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1 000,00</w:t>
            </w:r>
          </w:p>
        </w:tc>
      </w:tr>
      <w:tr w:rsidR="0075745F" w:rsidRPr="0075745F" w:rsidTr="0075745F">
        <w:trPr>
          <w:trHeight w:val="69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 xml:space="preserve">Náklady spojené s výrobou, osazením a následně odstraněním tabulí po ukončení stavby. Na informační tabuli označení stavby bude označení stavby a stavebníka, osoba odpovědná za odborné vedení stavby, který orgán a kdy stavbu povolil, termín zahájení a dokončení stavby, náklady na stavbu. Tabule s označení </w:t>
            </w:r>
            <w:proofErr w:type="spellStart"/>
            <w:r w:rsidRPr="0075745F">
              <w:rPr>
                <w:rFonts w:ascii="Arial CE" w:eastAsia="Times New Roman" w:hAnsi="Arial CE" w:cs="Times New Roman"/>
                <w:color w:val="008000"/>
                <w:sz w:val="16"/>
                <w:szCs w:val="16"/>
                <w:lang w:eastAsia="cs-CZ"/>
              </w:rPr>
              <w:t>rozik</w:t>
            </w:r>
            <w:proofErr w:type="spellEnd"/>
            <w:r w:rsidRPr="0075745F">
              <w:rPr>
                <w:rFonts w:ascii="Arial CE" w:eastAsia="Times New Roman" w:hAnsi="Arial CE" w:cs="Times New Roman"/>
                <w:color w:val="008000"/>
                <w:sz w:val="16"/>
                <w:szCs w:val="16"/>
                <w:lang w:eastAsia="cs-CZ"/>
              </w:rPr>
              <w:t xml:space="preserve"> na stavbě bude dle požadavků BOZP.</w:t>
            </w:r>
          </w:p>
        </w:tc>
      </w:tr>
      <w:tr w:rsidR="0075745F" w:rsidRPr="0075745F" w:rsidTr="0075745F">
        <w:trPr>
          <w:trHeight w:val="34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8</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005211042R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Pojištění díla - stavebně montážní pojištění</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2 000,00</w:t>
            </w:r>
          </w:p>
        </w:tc>
      </w:tr>
      <w:tr w:rsidR="0075745F" w:rsidRPr="0075745F" w:rsidTr="0075745F">
        <w:trPr>
          <w:trHeight w:val="55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Pojištění stavebních a montážních rizik pokrývá škody, které mohou vzniknout v průběhu montáže nebo stavby. Vztahuje se na škody na stavbě, konstrukci budovaného díla, montovaných strojích nebo technologických celcích, montážních a stavebních strojích a na zařízení staveniště</w:t>
            </w:r>
          </w:p>
        </w:tc>
      </w:tr>
      <w:tr w:rsidR="0075745F" w:rsidRPr="0075745F" w:rsidTr="0075745F">
        <w:trPr>
          <w:trHeight w:val="375"/>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9</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005211080R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Bezpečnostní a hygienická opatření na staveništi</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3 000,00</w:t>
            </w:r>
          </w:p>
        </w:tc>
      </w:tr>
      <w:tr w:rsidR="0075745F" w:rsidRPr="0075745F" w:rsidTr="0075745F">
        <w:trPr>
          <w:trHeight w:val="78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Náklady na ochranu staveniště před vstupem nepovolaných osob, včetně příslušného značení, náklady na oplocení staveniště či na jeho osvětlení, náklady na vypracování potřebné dokumentace pro provoz staveniště z hlediska požární ochrany (požární řád a poplachová směrnice) a z hlediska provozu staveniště (provozně dopravní řád).</w:t>
            </w:r>
          </w:p>
        </w:tc>
      </w:tr>
      <w:tr w:rsidR="0075745F" w:rsidRPr="0075745F" w:rsidTr="0075745F">
        <w:trPr>
          <w:trHeight w:val="30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0052120010R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proofErr w:type="gramStart"/>
            <w:r w:rsidRPr="0075745F">
              <w:rPr>
                <w:rFonts w:ascii="Arial CE" w:eastAsia="Times New Roman" w:hAnsi="Arial CE" w:cs="Times New Roman"/>
                <w:sz w:val="16"/>
                <w:szCs w:val="16"/>
                <w:lang w:eastAsia="cs-CZ"/>
              </w:rPr>
              <w:t>Uvedení  všech</w:t>
            </w:r>
            <w:proofErr w:type="gramEnd"/>
            <w:r w:rsidRPr="0075745F">
              <w:rPr>
                <w:rFonts w:ascii="Arial CE" w:eastAsia="Times New Roman" w:hAnsi="Arial CE" w:cs="Times New Roman"/>
                <w:sz w:val="16"/>
                <w:szCs w:val="16"/>
                <w:lang w:eastAsia="cs-CZ"/>
              </w:rPr>
              <w:t xml:space="preserve"> povrchů dotčených stavbou do původního stavu</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5 000,00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5 000,00</w:t>
            </w:r>
          </w:p>
        </w:tc>
      </w:tr>
      <w:tr w:rsidR="0075745F" w:rsidRPr="0075745F" w:rsidTr="0075745F">
        <w:trPr>
          <w:trHeight w:val="300"/>
        </w:trPr>
        <w:tc>
          <w:tcPr>
            <w:tcW w:w="556" w:type="dxa"/>
            <w:tcBorders>
              <w:top w:val="nil"/>
              <w:left w:val="single" w:sz="8" w:space="0" w:color="000000"/>
              <w:bottom w:val="nil"/>
              <w:right w:val="nil"/>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11</w:t>
            </w:r>
          </w:p>
        </w:tc>
        <w:tc>
          <w:tcPr>
            <w:tcW w:w="2007" w:type="dxa"/>
            <w:tcBorders>
              <w:top w:val="nil"/>
              <w:left w:val="single" w:sz="4" w:space="0" w:color="000000"/>
              <w:bottom w:val="nil"/>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0052140010R</w:t>
            </w:r>
          </w:p>
        </w:tc>
        <w:tc>
          <w:tcPr>
            <w:tcW w:w="5679" w:type="dxa"/>
            <w:tcBorders>
              <w:top w:val="nil"/>
              <w:left w:val="single" w:sz="4" w:space="0" w:color="000000"/>
              <w:bottom w:val="nil"/>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xml:space="preserve">Dokumentace skutečného provedení </w:t>
            </w:r>
          </w:p>
        </w:tc>
        <w:tc>
          <w:tcPr>
            <w:tcW w:w="128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Soubor</w:t>
            </w:r>
          </w:p>
        </w:tc>
        <w:tc>
          <w:tcPr>
            <w:tcW w:w="1328"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1,00000</w:t>
            </w:r>
          </w:p>
        </w:tc>
        <w:tc>
          <w:tcPr>
            <w:tcW w:w="1330" w:type="dxa"/>
            <w:tcBorders>
              <w:top w:val="nil"/>
              <w:left w:val="nil"/>
              <w:bottom w:val="nil"/>
              <w:right w:val="single" w:sz="4" w:space="0" w:color="000000"/>
            </w:tcBorders>
            <w:shd w:val="clear" w:color="CCCCFF" w:fill="99CCFF"/>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2 000,00</w:t>
            </w:r>
          </w:p>
        </w:tc>
        <w:tc>
          <w:tcPr>
            <w:tcW w:w="1100" w:type="dxa"/>
            <w:tcBorders>
              <w:top w:val="nil"/>
              <w:left w:val="nil"/>
              <w:bottom w:val="nil"/>
              <w:right w:val="single" w:sz="4" w:space="0" w:color="000000"/>
            </w:tcBorders>
            <w:shd w:val="clear" w:color="auto" w:fill="auto"/>
            <w:noWrap/>
            <w:hideMark/>
          </w:tcPr>
          <w:p w:rsidR="0075745F" w:rsidRPr="0075745F" w:rsidRDefault="0075745F" w:rsidP="0075745F">
            <w:pPr>
              <w:spacing w:after="0" w:line="240" w:lineRule="auto"/>
              <w:jc w:val="right"/>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2 000,00</w:t>
            </w:r>
          </w:p>
        </w:tc>
      </w:tr>
      <w:tr w:rsidR="0075745F" w:rsidRPr="0075745F" w:rsidTr="0075745F">
        <w:trPr>
          <w:trHeight w:val="510"/>
        </w:trPr>
        <w:tc>
          <w:tcPr>
            <w:tcW w:w="556" w:type="dxa"/>
            <w:tcBorders>
              <w:top w:val="nil"/>
              <w:left w:val="single" w:sz="8" w:space="0" w:color="000000"/>
              <w:bottom w:val="single" w:sz="8" w:space="0" w:color="000000"/>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2007" w:type="dxa"/>
            <w:tcBorders>
              <w:top w:val="nil"/>
              <w:left w:val="single" w:sz="4" w:space="0" w:color="000000"/>
              <w:bottom w:val="single" w:sz="8" w:space="0" w:color="000000"/>
              <w:right w:val="nil"/>
            </w:tcBorders>
            <w:shd w:val="clear" w:color="auto" w:fill="auto"/>
            <w:noWrap/>
            <w:hideMark/>
          </w:tcPr>
          <w:p w:rsidR="0075745F" w:rsidRPr="0075745F" w:rsidRDefault="0075745F" w:rsidP="0075745F">
            <w:pPr>
              <w:spacing w:after="0" w:line="240" w:lineRule="auto"/>
              <w:rPr>
                <w:rFonts w:ascii="Arial CE" w:eastAsia="Times New Roman" w:hAnsi="Arial CE" w:cs="Times New Roman"/>
                <w:sz w:val="16"/>
                <w:szCs w:val="16"/>
                <w:lang w:eastAsia="cs-CZ"/>
              </w:rPr>
            </w:pPr>
            <w:r w:rsidRPr="0075745F">
              <w:rPr>
                <w:rFonts w:ascii="Arial CE" w:eastAsia="Times New Roman" w:hAnsi="Arial CE" w:cs="Times New Roman"/>
                <w:sz w:val="16"/>
                <w:szCs w:val="16"/>
                <w:lang w:eastAsia="cs-CZ"/>
              </w:rPr>
              <w:t> </w:t>
            </w:r>
          </w:p>
        </w:tc>
        <w:tc>
          <w:tcPr>
            <w:tcW w:w="10717" w:type="dxa"/>
            <w:gridSpan w:val="5"/>
            <w:tcBorders>
              <w:top w:val="nil"/>
              <w:left w:val="single" w:sz="4" w:space="0" w:color="000000"/>
              <w:bottom w:val="single" w:sz="8" w:space="0" w:color="000000"/>
              <w:right w:val="single" w:sz="4" w:space="0" w:color="000000"/>
            </w:tcBorders>
            <w:shd w:val="clear" w:color="auto" w:fill="auto"/>
            <w:hideMark/>
          </w:tcPr>
          <w:p w:rsidR="0075745F" w:rsidRPr="0075745F" w:rsidRDefault="0075745F" w:rsidP="0075745F">
            <w:pPr>
              <w:spacing w:after="0" w:line="240" w:lineRule="auto"/>
              <w:rPr>
                <w:rFonts w:ascii="Arial CE" w:eastAsia="Times New Roman" w:hAnsi="Arial CE" w:cs="Times New Roman"/>
                <w:color w:val="008000"/>
                <w:sz w:val="16"/>
                <w:szCs w:val="16"/>
                <w:lang w:eastAsia="cs-CZ"/>
              </w:rPr>
            </w:pPr>
            <w:r w:rsidRPr="0075745F">
              <w:rPr>
                <w:rFonts w:ascii="Arial CE" w:eastAsia="Times New Roman" w:hAnsi="Arial CE" w:cs="Times New Roman"/>
                <w:color w:val="008000"/>
                <w:sz w:val="16"/>
                <w:szCs w:val="16"/>
                <w:lang w:eastAsia="cs-CZ"/>
              </w:rPr>
              <w:t>Náklady na vyhotovení dokumentace skutečného provedení stavby a její předání objednateli v požadované formě a požadovaném počtu.</w:t>
            </w:r>
          </w:p>
        </w:tc>
      </w:tr>
    </w:tbl>
    <w:p w:rsidR="008C3DCA" w:rsidRDefault="008C3DCA"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p w:rsidR="0075745F" w:rsidRDefault="0075745F" w:rsidP="0075745F"/>
    <w:tbl>
      <w:tblPr>
        <w:tblW w:w="8640" w:type="dxa"/>
        <w:tblInd w:w="55" w:type="dxa"/>
        <w:tblCellMar>
          <w:left w:w="70" w:type="dxa"/>
          <w:right w:w="70" w:type="dxa"/>
        </w:tblCellMar>
        <w:tblLook w:val="04A0" w:firstRow="1" w:lastRow="0" w:firstColumn="1" w:lastColumn="0" w:noHBand="0" w:noVBand="1"/>
      </w:tblPr>
      <w:tblGrid>
        <w:gridCol w:w="725"/>
        <w:gridCol w:w="717"/>
        <w:gridCol w:w="1144"/>
        <w:gridCol w:w="1084"/>
        <w:gridCol w:w="1000"/>
        <w:gridCol w:w="996"/>
        <w:gridCol w:w="994"/>
        <w:gridCol w:w="991"/>
        <w:gridCol w:w="989"/>
      </w:tblGrid>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bookmarkStart w:id="0" w:name="RANGE!A1:I71"/>
            <w:r w:rsidRPr="0075745F">
              <w:rPr>
                <w:rFonts w:ascii="Arial CE" w:eastAsia="Times New Roman" w:hAnsi="Arial CE" w:cs="Times New Roman"/>
                <w:sz w:val="20"/>
                <w:szCs w:val="20"/>
                <w:lang w:eastAsia="cs-CZ"/>
              </w:rPr>
              <w:lastRenderedPageBreak/>
              <w:t>1. PODMÍNKY PRO ZPRACOVÁNÍ NABÍDKOVÉ CENY</w:t>
            </w:r>
            <w:bookmarkEnd w:id="0"/>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1442" w:type="dxa"/>
            <w:gridSpan w:val="2"/>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Preambule</w:t>
            </w:r>
          </w:p>
        </w:tc>
        <w:tc>
          <w:tcPr>
            <w:tcW w:w="1144"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1084"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1000"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6"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4"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1"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89" w:type="dxa"/>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132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Tento soupis stavebních prací, dodávek a služeb je sestaven jako podklad pro zpracování nabídek dodavatelů na veřejnou zakázku na stavební práce a obsahuje podmínky a požadavky zadavatele, za kterých má být zpracována nabídková cena dodavatelů. Účelem tohoto soupisu je zabezpečit obsahovou shodu všech nabídkových cen a usnadnit následné posouzení předložených cenových nabídek.</w:t>
            </w:r>
          </w:p>
        </w:tc>
      </w:tr>
      <w:tr w:rsidR="0075745F" w:rsidRPr="0075745F" w:rsidTr="0075745F">
        <w:trPr>
          <w:trHeight w:val="111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Předpokládá se, že dodavatel před zpracováním cenové nabídky pečlivě prostuduje všechny pokyny a podmínky pro zpracování nabídkové ceny obsažené v zadávacích podmínkách a bude se jimi při zpracování nabídkové ceny řídit. Soupis stavebních prací, dodávek a služeb je sestaven v souladu s podmínkami vyhlášky Ministerstva pro místní rozvoj č.230/2012 Sb.</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3670" w:type="dxa"/>
            <w:gridSpan w:val="4"/>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Vymezení některých pojmů</w:t>
            </w: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3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Pro účely zpracování nabídkové ceny se jsou použity některé pojmy, pod kterými se rozumí:</w:t>
            </w:r>
          </w:p>
        </w:tc>
      </w:tr>
      <w:tr w:rsidR="0075745F" w:rsidRPr="0075745F" w:rsidTr="0075745F">
        <w:trPr>
          <w:trHeight w:val="105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Soupisem stavebních prací dodávek a služeb dokument, ve kterém jsou definovány zadavatelem požadované stavební práce, dodávky a služby v podrobnostech nezbytných pro zpracování cenové nabídky dodavatele. Soupis obsahuje i vymezení požadovaného množství stavebních prací, dodávek a služeb.</w:t>
            </w:r>
          </w:p>
        </w:tc>
      </w:tr>
      <w:tr w:rsidR="0075745F" w:rsidRPr="0075745F" w:rsidTr="0075745F">
        <w:trPr>
          <w:trHeight w:val="88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Cenovou soustavou uspořádaný soubor informací o stavebních a montážních pracích, materiálech a výrobcích obsahující zatřídění položek, podrobný popis a měrnou jednotku, způsob měření a další technické a cenové podmínky pro možnost stanovení jednotkové ceny.</w:t>
            </w:r>
          </w:p>
        </w:tc>
      </w:tr>
      <w:tr w:rsidR="0075745F" w:rsidRPr="0075745F" w:rsidTr="0075745F">
        <w:trPr>
          <w:trHeight w:val="136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Ostatními náklady </w:t>
            </w:r>
            <w:proofErr w:type="spellStart"/>
            <w:r w:rsidRPr="0075745F">
              <w:rPr>
                <w:rFonts w:ascii="Arial CE" w:eastAsia="Times New Roman" w:hAnsi="Arial CE" w:cs="Times New Roman"/>
                <w:sz w:val="20"/>
                <w:szCs w:val="20"/>
                <w:lang w:eastAsia="cs-CZ"/>
              </w:rPr>
              <w:t>náklady</w:t>
            </w:r>
            <w:proofErr w:type="spellEnd"/>
            <w:r w:rsidRPr="0075745F">
              <w:rPr>
                <w:rFonts w:ascii="Arial CE" w:eastAsia="Times New Roman" w:hAnsi="Arial CE" w:cs="Times New Roman"/>
                <w:sz w:val="20"/>
                <w:szCs w:val="20"/>
                <w:lang w:eastAsia="cs-CZ"/>
              </w:rPr>
              <w:t xml:space="preserve"> dodavatele spojené se splněním povinností dodavatele vyplývajících z obchodních či jiných podmínek zadávací dokumentace. Patří do nich zejména náklady na vyhotovení dokumentace skutečného provedení stavby, náklady na geodetické zaměření dokončeného díla, náklady spojené s podmínkami pro publicitu projektu, náklady na dílenskou či výrobní dokumentaci apod.</w:t>
            </w:r>
          </w:p>
        </w:tc>
      </w:tr>
      <w:tr w:rsidR="0075745F" w:rsidRPr="0075745F" w:rsidTr="0075745F">
        <w:trPr>
          <w:trHeight w:val="166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Položkovým rozpočtem dokument odpovídající svým obsahem a strukturou soupisu stavebních prací, dodávek a služeb, předaného zadavatelem dodavateli ke zpracování nabídky, v němž dodavatel doplní k jednotlivým položkám stavebních prací, dodávek nebo služeb svoje nabídkové jednotkové ceny a stanoví i celkovou nabídkovou cenu příslušné položky a dále stanoví nabídkové ceny dle struktury soupisu až po celkovou nabídkovou cenu za veškeré stavební práce, dodávky nebo služby, které jsou obsahem soupisu stavebních prací, dodávek a služeb.</w:t>
            </w:r>
          </w:p>
        </w:tc>
      </w:tr>
      <w:tr w:rsidR="0075745F" w:rsidRPr="0075745F" w:rsidTr="0075745F">
        <w:trPr>
          <w:trHeight w:val="12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lastRenderedPageBreak/>
              <w:t xml:space="preserve">        Vedlejšími náklady </w:t>
            </w:r>
            <w:proofErr w:type="spellStart"/>
            <w:r w:rsidRPr="0075745F">
              <w:rPr>
                <w:rFonts w:ascii="Arial CE" w:eastAsia="Times New Roman" w:hAnsi="Arial CE" w:cs="Times New Roman"/>
                <w:sz w:val="20"/>
                <w:szCs w:val="20"/>
                <w:lang w:eastAsia="cs-CZ"/>
              </w:rPr>
              <w:t>náklady</w:t>
            </w:r>
            <w:proofErr w:type="spellEnd"/>
            <w:r w:rsidRPr="0075745F">
              <w:rPr>
                <w:rFonts w:ascii="Arial CE" w:eastAsia="Times New Roman" w:hAnsi="Arial CE" w:cs="Times New Roman"/>
                <w:sz w:val="20"/>
                <w:szCs w:val="20"/>
                <w:lang w:eastAsia="cs-CZ"/>
              </w:rPr>
              <w:t xml:space="preserve"> na činností zhotovitele, které nejsou zahrnuty v položkách soupisu stavebních prací, dodávek nebo služeb, ale se zhotovením stavby souvisí a jsou pro realizaci stavby nezbytné. Někdy se definují jako vedlejší rozpočtové náklady a zahrnují zejména náklady na vybudování, provoz a odstranění zařízení staveniště.</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Cenová soustava</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Použitá cenová soustava</w:t>
            </w:r>
          </w:p>
        </w:tc>
      </w:tr>
      <w:tr w:rsidR="0075745F" w:rsidRPr="0075745F" w:rsidTr="0075745F">
        <w:trPr>
          <w:trHeight w:val="87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Soupisy stavebních prací, dodávek a služeb jsou zpracovány s použitím cenové soustavy zpracované společností RTS, </w:t>
            </w:r>
            <w:proofErr w:type="gramStart"/>
            <w:r w:rsidRPr="0075745F">
              <w:rPr>
                <w:rFonts w:ascii="Arial CE" w:eastAsia="Times New Roman" w:hAnsi="Arial CE" w:cs="Times New Roman"/>
                <w:sz w:val="20"/>
                <w:szCs w:val="20"/>
                <w:lang w:eastAsia="cs-CZ"/>
              </w:rPr>
              <w:t>a.s..</w:t>
            </w:r>
            <w:proofErr w:type="gramEnd"/>
            <w:r w:rsidRPr="0075745F">
              <w:rPr>
                <w:rFonts w:ascii="Arial CE" w:eastAsia="Times New Roman" w:hAnsi="Arial CE" w:cs="Times New Roman"/>
                <w:sz w:val="20"/>
                <w:szCs w:val="20"/>
                <w:lang w:eastAsia="cs-CZ"/>
              </w:rPr>
              <w:t xml:space="preserve"> Položky z cenové soustavy mají uveden odkaz na cenovou soustavu včetně označení příslušného ceníku.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Technické podmínky</w:t>
            </w:r>
          </w:p>
        </w:tc>
      </w:tr>
      <w:tr w:rsidR="0075745F" w:rsidRPr="0075745F" w:rsidTr="0075745F">
        <w:trPr>
          <w:trHeight w:val="85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Obsah jednotlivých položek, způsob měření a ostatní další podmínky definující obsah a použití jednotlivých položek jsou obsaženy v cenových a technických podmínkách příslušných ceníků (viz zařazení u položky), které jsou volně dostupné na elektronické adrese www.cenovasoustava.cz</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Individuální položky</w:t>
            </w:r>
          </w:p>
        </w:tc>
      </w:tr>
      <w:tr w:rsidR="0075745F" w:rsidRPr="0075745F" w:rsidTr="0075745F">
        <w:trPr>
          <w:trHeight w:val="9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Položky soupisu prací, které cenová soustava neobsahuje, jsou označeny popisem „vlastní“. Pro tyto položky jsou cenové a technické podmínky definovány jejich popisem, případně odkazem na konkrétní část příslušné dokumentace.</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Závaznost a změna soupisu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Závaznost soupisu</w:t>
            </w:r>
          </w:p>
        </w:tc>
      </w:tr>
      <w:tr w:rsidR="0075745F" w:rsidRPr="0075745F" w:rsidTr="0075745F">
        <w:trPr>
          <w:trHeight w:val="87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Poskytnuté soupisy jsou pro zpracování nabídkové ceny závazné. Je vyloučeno jakékoliv vyřazení položek ze soupisu, doplnění položek do soupisu, slučování položek a jakýkoliv zásah do popisu položky, množství měrných jednotek nebo jakkoliv měnit či upravovat jakýkoliv jiný údaj v soupisu.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Zvláštní podmínky pro stanovení nabídkové ceny</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Přeprava vybouraných hmot, suti a vytěžené zeminy</w:t>
            </w:r>
          </w:p>
        </w:tc>
      </w:tr>
      <w:tr w:rsidR="0075745F" w:rsidRPr="0075745F" w:rsidTr="0075745F">
        <w:trPr>
          <w:trHeight w:val="195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lastRenderedPageBreak/>
              <w:t>Pokud soupis obsahuje i některé technologické položky vztahující se k uložení vytěžené zeminy nebo vybouraných hmot, vodorovné přesuny zeminy nebo vybouraných hmot pak v takových případech zpracovatel soupisu předpokládá určitou přepravní vzdálenost. Pokud z technologického postupu dodavatele vyplývá jiná přepravní vzdálenost, je povinností dodavatele stanovit takovou jednotkovou cenu, aby celková cena položky odpovídala jeho konkrétním technologickým podmínkám a konkrétní přepravní vzdálenosti, při soupisem vymezeném množství měrných jednotek.</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w:t>
            </w:r>
            <w:proofErr w:type="spellStart"/>
            <w:r w:rsidRPr="0075745F">
              <w:rPr>
                <w:rFonts w:ascii="Arial CE" w:eastAsia="Times New Roman" w:hAnsi="Arial CE" w:cs="Times New Roman"/>
                <w:sz w:val="20"/>
                <w:szCs w:val="20"/>
                <w:lang w:eastAsia="cs-CZ"/>
              </w:rPr>
              <w:t>Vnitrostaveništní</w:t>
            </w:r>
            <w:proofErr w:type="spellEnd"/>
            <w:r w:rsidRPr="0075745F">
              <w:rPr>
                <w:rFonts w:ascii="Arial CE" w:eastAsia="Times New Roman" w:hAnsi="Arial CE" w:cs="Times New Roman"/>
                <w:sz w:val="20"/>
                <w:szCs w:val="20"/>
                <w:lang w:eastAsia="cs-CZ"/>
              </w:rPr>
              <w:t xml:space="preserve"> přesun stavebního materiálu</w:t>
            </w:r>
          </w:p>
        </w:tc>
      </w:tr>
      <w:tr w:rsidR="0075745F" w:rsidRPr="0075745F" w:rsidTr="0075745F">
        <w:trPr>
          <w:trHeight w:val="144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Pokud soupis obsahuje i položky vztahující se ke </w:t>
            </w:r>
            <w:proofErr w:type="spellStart"/>
            <w:r w:rsidRPr="0075745F">
              <w:rPr>
                <w:rFonts w:ascii="Arial CE" w:eastAsia="Times New Roman" w:hAnsi="Arial CE" w:cs="Times New Roman"/>
                <w:sz w:val="20"/>
                <w:szCs w:val="20"/>
                <w:lang w:eastAsia="cs-CZ"/>
              </w:rPr>
              <w:t>vnitrostaveništnímu</w:t>
            </w:r>
            <w:proofErr w:type="spellEnd"/>
            <w:r w:rsidRPr="0075745F">
              <w:rPr>
                <w:rFonts w:ascii="Arial CE" w:eastAsia="Times New Roman" w:hAnsi="Arial CE" w:cs="Times New Roman"/>
                <w:sz w:val="20"/>
                <w:szCs w:val="20"/>
                <w:lang w:eastAsia="cs-CZ"/>
              </w:rPr>
              <w:t xml:space="preserve"> přesunu materiálů (položky označené jako přesun hmot), pak v takových případech je povinností dodavatele stanovit takovou jednotkovou cenu, aby celková cena položky odpovídala jeho konkrétním technologickým podmínkám a konkrétní přepravní vzdálenosti, při soupisem vymezeném množství měrných jednotek.</w:t>
            </w:r>
          </w:p>
        </w:tc>
      </w:tr>
      <w:tr w:rsidR="0075745F" w:rsidRPr="0075745F" w:rsidTr="0075745F">
        <w:trPr>
          <w:trHeight w:val="144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proofErr w:type="spellStart"/>
            <w:r w:rsidRPr="0075745F">
              <w:rPr>
                <w:rFonts w:ascii="Arial CE" w:eastAsia="Times New Roman" w:hAnsi="Arial CE" w:cs="Times New Roman"/>
                <w:sz w:val="20"/>
                <w:szCs w:val="20"/>
                <w:lang w:eastAsia="cs-CZ"/>
              </w:rPr>
              <w:t>Vnitrostaveništní</w:t>
            </w:r>
            <w:proofErr w:type="spellEnd"/>
            <w:r w:rsidRPr="0075745F">
              <w:rPr>
                <w:rFonts w:ascii="Arial CE" w:eastAsia="Times New Roman" w:hAnsi="Arial CE" w:cs="Times New Roman"/>
                <w:sz w:val="20"/>
                <w:szCs w:val="20"/>
                <w:lang w:eastAsia="cs-CZ"/>
              </w:rPr>
              <w:t xml:space="preserve"> přesun hmot prací PSV (pomocná stavební výroba) může být v soupisu stanoven </w:t>
            </w:r>
            <w:proofErr w:type="spellStart"/>
            <w:r w:rsidRPr="0075745F">
              <w:rPr>
                <w:rFonts w:ascii="Arial CE" w:eastAsia="Times New Roman" w:hAnsi="Arial CE" w:cs="Times New Roman"/>
                <w:sz w:val="20"/>
                <w:szCs w:val="20"/>
                <w:lang w:eastAsia="cs-CZ"/>
              </w:rPr>
              <w:t>procenticky</w:t>
            </w:r>
            <w:proofErr w:type="spellEnd"/>
            <w:r w:rsidRPr="0075745F">
              <w:rPr>
                <w:rFonts w:ascii="Arial CE" w:eastAsia="Times New Roman" w:hAnsi="Arial CE" w:cs="Times New Roman"/>
                <w:sz w:val="20"/>
                <w:szCs w:val="20"/>
                <w:lang w:eastAsia="cs-CZ"/>
              </w:rPr>
              <w:t xml:space="preserve"> z hodnoty ceny za provedení příslušných řemeslných prací, dodávek a služeb. V takovém případě není v soupisu uvedeno množství měrných jednotek. Dodavatel ocení celkovou cenu u takové položky přesunu hmot vždy konkrétní částkou v Kč, bez ohledu na to, jakým způsobem k jejímu výpočtu dospěl.</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Příplatky za ztížené podmínky prací</w:t>
            </w:r>
          </w:p>
        </w:tc>
      </w:tr>
      <w:tr w:rsidR="0075745F" w:rsidRPr="0075745F" w:rsidTr="0075745F">
        <w:trPr>
          <w:trHeight w:val="64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Pokud soupis položku příplatku za ztížené podmínky obsahuje, je dodavatel povinen ji ocenit bez ohledu na to, že tento příplatek dodavatel standardně neuplatňuje.</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Vedlejší a ostatní náklady</w:t>
            </w:r>
          </w:p>
        </w:tc>
      </w:tr>
      <w:tr w:rsidR="0075745F" w:rsidRPr="0075745F" w:rsidTr="0075745F">
        <w:trPr>
          <w:trHeight w:val="9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Tyto náklady jsou popsány v samostatném soupisu stavebních prací, dodávek a služeb s tím, že dodavatel je povinen v rámci těchto nákladů ocenit všechny definované náklady souhrnně pro celou stavbu.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2. SPECIFICKÉ PODMÍNKY PRO ZPRACOVÁNÍ NABÍDKOVÉ CENY</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Zde doplní zpracovatel </w:t>
            </w:r>
            <w:proofErr w:type="gramStart"/>
            <w:r w:rsidRPr="0075745F">
              <w:rPr>
                <w:rFonts w:ascii="Arial CE" w:eastAsia="Times New Roman" w:hAnsi="Arial CE" w:cs="Times New Roman"/>
                <w:sz w:val="20"/>
                <w:szCs w:val="20"/>
                <w:lang w:eastAsia="cs-CZ"/>
              </w:rPr>
              <w:t>soupisu  případná</w:t>
            </w:r>
            <w:proofErr w:type="gramEnd"/>
            <w:r w:rsidRPr="0075745F">
              <w:rPr>
                <w:rFonts w:ascii="Arial CE" w:eastAsia="Times New Roman" w:hAnsi="Arial CE" w:cs="Times New Roman"/>
                <w:sz w:val="20"/>
                <w:szCs w:val="20"/>
                <w:lang w:eastAsia="cs-CZ"/>
              </w:rPr>
              <w:t xml:space="preserve"> specifika týkající se konkrétní zakázky.</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3. ELEKTRONICKÁ PODOBA SOUPISU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Elektronická podoba soupisu</w:t>
            </w:r>
          </w:p>
        </w:tc>
      </w:tr>
      <w:tr w:rsidR="0075745F" w:rsidRPr="0075745F" w:rsidTr="0075745F">
        <w:trPr>
          <w:trHeight w:val="72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V souladu se zákonem jsou předložené soupisy zpracovány i v elektronické podobě.  Elektronickou podobou soupisu stavebních prací, dodávek a služeb je formát MS EXCEL.</w:t>
            </w:r>
          </w:p>
        </w:tc>
      </w:tr>
      <w:tr w:rsidR="0075745F" w:rsidRPr="0075745F" w:rsidTr="0075745F">
        <w:trPr>
          <w:trHeight w:val="66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Popis formátu soupisu odpovídá svou strukturou vzorovému soupisu volně dostupnému na internetové adrese:</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www.stavebnionline.cz/soupis</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Zpracování elektronické podoby soupisu</w:t>
            </w:r>
          </w:p>
        </w:tc>
      </w:tr>
      <w:tr w:rsidR="0075745F" w:rsidRPr="0075745F" w:rsidTr="0075745F">
        <w:trPr>
          <w:trHeight w:val="144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Předaný formát MS EXCEL je nepřístupným (uzamčeným) souborem, do kterého dodavatel doplňuje pouze jednotkové ceny ke všem položkám. Ostatní cenové údaje, jako celková cena položky, mezisoučty za stavební či funkční díly nebo součty celkové ceny stavebního objektu, jakož i cena stavby jsou výsledkem vložených matematických vzorců v příslušných pozicích souboru.</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Jiný formát soupisu</w:t>
            </w:r>
          </w:p>
        </w:tc>
      </w:tr>
      <w:tr w:rsidR="0075745F" w:rsidRPr="0075745F" w:rsidTr="0075745F">
        <w:trPr>
          <w:trHeight w:val="945"/>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Pokud by kterýkoliv dodavatel měl problémy s předaným formátem, lze na požádání poskytnout soupis stavebních prací také ve </w:t>
            </w:r>
            <w:proofErr w:type="gramStart"/>
            <w:r w:rsidRPr="0075745F">
              <w:rPr>
                <w:rFonts w:ascii="Arial CE" w:eastAsia="Times New Roman" w:hAnsi="Arial CE" w:cs="Times New Roman"/>
                <w:sz w:val="20"/>
                <w:szCs w:val="20"/>
                <w:lang w:eastAsia="cs-CZ"/>
              </w:rPr>
              <w:t>formátu *.</w:t>
            </w:r>
            <w:proofErr w:type="spellStart"/>
            <w:r w:rsidRPr="0075745F">
              <w:rPr>
                <w:rFonts w:ascii="Arial CE" w:eastAsia="Times New Roman" w:hAnsi="Arial CE" w:cs="Times New Roman"/>
                <w:sz w:val="20"/>
                <w:szCs w:val="20"/>
                <w:lang w:eastAsia="cs-CZ"/>
              </w:rPr>
              <w:t>xml</w:t>
            </w:r>
            <w:proofErr w:type="spellEnd"/>
            <w:proofErr w:type="gramEnd"/>
            <w:r w:rsidRPr="0075745F">
              <w:rPr>
                <w:rFonts w:ascii="Arial CE" w:eastAsia="Times New Roman" w:hAnsi="Arial CE" w:cs="Times New Roman"/>
                <w:sz w:val="20"/>
                <w:szCs w:val="20"/>
                <w:lang w:eastAsia="cs-CZ"/>
              </w:rPr>
              <w:t>, což je standardní formát používaný pro přenosy dat. Dokumentace tohoto formátu je volně přístupná na webových stránkách MMR.</w:t>
            </w:r>
          </w:p>
        </w:tc>
      </w:tr>
      <w:tr w:rsidR="0075745F" w:rsidRPr="0075745F" w:rsidTr="0075745F">
        <w:trPr>
          <w:trHeight w:val="300"/>
        </w:trPr>
        <w:tc>
          <w:tcPr>
            <w:tcW w:w="725"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717"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14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8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1000"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6"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4"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91"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c>
          <w:tcPr>
            <w:tcW w:w="989" w:type="dxa"/>
            <w:tcBorders>
              <w:top w:val="nil"/>
              <w:left w:val="nil"/>
              <w:bottom w:val="nil"/>
              <w:right w:val="nil"/>
            </w:tcBorders>
            <w:shd w:val="clear" w:color="auto" w:fill="auto"/>
            <w:noWrap/>
            <w:vAlign w:val="bottom"/>
            <w:hideMark/>
          </w:tcPr>
          <w:p w:rsidR="0075745F" w:rsidRPr="0075745F" w:rsidRDefault="0075745F" w:rsidP="0075745F">
            <w:pPr>
              <w:spacing w:after="0" w:line="240" w:lineRule="auto"/>
              <w:rPr>
                <w:rFonts w:ascii="Calibri" w:eastAsia="Times New Roman" w:hAnsi="Calibri" w:cs="Times New Roman"/>
                <w:color w:val="000000"/>
                <w:lang w:eastAsia="cs-CZ"/>
              </w:rPr>
            </w:pPr>
          </w:p>
        </w:tc>
      </w:tr>
      <w:tr w:rsidR="0075745F" w:rsidRPr="0075745F" w:rsidTr="0075745F">
        <w:trPr>
          <w:trHeight w:val="30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 xml:space="preserve">        Závěrečné ustanovení</w:t>
            </w:r>
          </w:p>
        </w:tc>
      </w:tr>
      <w:tr w:rsidR="0075745F" w:rsidRPr="0075745F" w:rsidTr="0075745F">
        <w:trPr>
          <w:trHeight w:val="660"/>
        </w:trPr>
        <w:tc>
          <w:tcPr>
            <w:tcW w:w="8640" w:type="dxa"/>
            <w:gridSpan w:val="9"/>
            <w:tcBorders>
              <w:top w:val="nil"/>
              <w:left w:val="nil"/>
              <w:bottom w:val="nil"/>
              <w:right w:val="nil"/>
            </w:tcBorders>
            <w:shd w:val="clear" w:color="auto" w:fill="auto"/>
            <w:vAlign w:val="bottom"/>
            <w:hideMark/>
          </w:tcPr>
          <w:p w:rsidR="0075745F" w:rsidRPr="0075745F" w:rsidRDefault="0075745F" w:rsidP="0075745F">
            <w:pPr>
              <w:spacing w:after="0" w:line="240" w:lineRule="auto"/>
              <w:rPr>
                <w:rFonts w:ascii="Arial CE" w:eastAsia="Times New Roman" w:hAnsi="Arial CE" w:cs="Times New Roman"/>
                <w:sz w:val="20"/>
                <w:szCs w:val="20"/>
                <w:lang w:eastAsia="cs-CZ"/>
              </w:rPr>
            </w:pPr>
            <w:r w:rsidRPr="0075745F">
              <w:rPr>
                <w:rFonts w:ascii="Arial CE" w:eastAsia="Times New Roman" w:hAnsi="Arial CE" w:cs="Times New Roman"/>
                <w:sz w:val="20"/>
                <w:szCs w:val="20"/>
                <w:lang w:eastAsia="cs-CZ"/>
              </w:rPr>
              <w:t>Ostatní podmínky vztahující se ke zpracování nabídkové ceny jsou uvedeny v zadávací dokumentaci.</w:t>
            </w:r>
          </w:p>
        </w:tc>
      </w:tr>
    </w:tbl>
    <w:p w:rsidR="0075745F" w:rsidRPr="0075745F" w:rsidRDefault="0075745F" w:rsidP="0075745F">
      <w:bookmarkStart w:id="1" w:name="_GoBack"/>
      <w:bookmarkEnd w:id="1"/>
    </w:p>
    <w:sectPr w:rsidR="0075745F" w:rsidRPr="0075745F" w:rsidSect="007418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敓潧⁥䥕ᬀ地㙘u☸T">
    <w:altName w:val="MS Mincho"/>
    <w:panose1 w:val="00000000000000000000"/>
    <w:charset w:val="80"/>
    <w:family w:val="roman"/>
    <w:notTrueType/>
    <w:pitch w:val="default"/>
    <w:sig w:usb0="00000000" w:usb1="08070000" w:usb2="00000010" w:usb3="00000000" w:csb0="00020000" w:csb1="00000000"/>
  </w:font>
  <w:font w:name="Arial CE">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A"/>
    <w:rsid w:val="002B3547"/>
    <w:rsid w:val="00437584"/>
    <w:rsid w:val="0074188A"/>
    <w:rsid w:val="0075745F"/>
    <w:rsid w:val="008C3DCA"/>
    <w:rsid w:val="009E1B54"/>
    <w:rsid w:val="00E16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B3547"/>
    <w:rPr>
      <w:color w:val="0000FF"/>
      <w:u w:val="single"/>
    </w:rPr>
  </w:style>
  <w:style w:type="character" w:styleId="Sledovanodkaz">
    <w:name w:val="FollowedHyperlink"/>
    <w:basedOn w:val="Standardnpsmoodstavce"/>
    <w:uiPriority w:val="99"/>
    <w:semiHidden/>
    <w:unhideWhenUsed/>
    <w:rsid w:val="002B3547"/>
    <w:rPr>
      <w:color w:val="800080"/>
      <w:u w:val="single"/>
    </w:rPr>
  </w:style>
  <w:style w:type="paragraph" w:customStyle="1" w:styleId="xl66">
    <w:name w:val="xl66"/>
    <w:basedOn w:val="Normln"/>
    <w:rsid w:val="002B3547"/>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敓潧⁥䥕ᬀ地㙘u☸T" w:eastAsia="敓潧⁥䥕ᬀ地㙘u☸T" w:hAnsi="Times New Roman" w:cs="Times New Roman"/>
      <w:color w:val="000000"/>
      <w:sz w:val="18"/>
      <w:szCs w:val="18"/>
      <w:lang w:eastAsia="cs-CZ"/>
    </w:rPr>
  </w:style>
  <w:style w:type="paragraph" w:customStyle="1" w:styleId="xl67">
    <w:name w:val="xl67"/>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pPr>
    <w:rPr>
      <w:rFonts w:ascii="敓潧⁥䥕ᬀ地㙘u☸T" w:eastAsia="敓潧⁥䥕ᬀ地㙘u☸T" w:hAnsi="Times New Roman" w:cs="Times New Roman"/>
      <w:b/>
      <w:bCs/>
      <w:color w:val="000000"/>
      <w:sz w:val="24"/>
      <w:szCs w:val="24"/>
      <w:lang w:eastAsia="cs-CZ"/>
    </w:rPr>
  </w:style>
  <w:style w:type="paragraph" w:customStyle="1" w:styleId="xl69">
    <w:name w:val="xl69"/>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jc w:val="right"/>
    </w:pPr>
    <w:rPr>
      <w:rFonts w:ascii="敓潧⁥䥕ᬀ地㙘u☸T" w:eastAsia="敓潧⁥䥕ᬀ地㙘u☸T" w:hAnsi="Times New Roman" w:cs="Times New Roman"/>
      <w:b/>
      <w:bCs/>
      <w:color w:val="000000"/>
      <w:sz w:val="24"/>
      <w:szCs w:val="24"/>
      <w:lang w:eastAsia="cs-CZ"/>
    </w:rPr>
  </w:style>
  <w:style w:type="paragraph" w:customStyle="1" w:styleId="xl70">
    <w:name w:val="xl70"/>
    <w:basedOn w:val="Normln"/>
    <w:rsid w:val="002B3547"/>
    <w:pPr>
      <w:pBdr>
        <w:top w:val="single" w:sz="4" w:space="0" w:color="C0C0C0"/>
        <w:left w:val="single" w:sz="4" w:space="0" w:color="C0C0C0"/>
        <w:bottom w:val="single" w:sz="4" w:space="0" w:color="C0C0C0"/>
        <w:right w:val="single" w:sz="4" w:space="0" w:color="C0C0C0"/>
      </w:pBdr>
      <w:shd w:val="clear" w:color="000000" w:fill="FFCC00"/>
      <w:spacing w:before="100" w:beforeAutospacing="1" w:after="100" w:afterAutospacing="1" w:line="240" w:lineRule="auto"/>
    </w:pPr>
    <w:rPr>
      <w:rFonts w:ascii="敓潧⁥䥕ᬀ地㙘u☸T" w:eastAsia="敓潧⁥䥕ᬀ地㙘u☸T" w:hAnsi="Times New Roman" w:cs="Times New Roman"/>
      <w:b/>
      <w:bCs/>
      <w:color w:val="000000"/>
      <w:sz w:val="18"/>
      <w:szCs w:val="18"/>
      <w:lang w:eastAsia="cs-CZ"/>
    </w:rPr>
  </w:style>
  <w:style w:type="paragraph" w:customStyle="1" w:styleId="xl71">
    <w:name w:val="xl71"/>
    <w:basedOn w:val="Normln"/>
    <w:rsid w:val="002B3547"/>
    <w:pPr>
      <w:pBdr>
        <w:top w:val="single" w:sz="4" w:space="0" w:color="C0C0C0"/>
        <w:left w:val="single" w:sz="4" w:space="0" w:color="C0C0C0"/>
        <w:bottom w:val="single" w:sz="4" w:space="0" w:color="C0C0C0"/>
        <w:right w:val="single" w:sz="4" w:space="0" w:color="C0C0C0"/>
      </w:pBdr>
      <w:shd w:val="clear" w:color="000000" w:fill="FFCC00"/>
      <w:spacing w:before="100" w:beforeAutospacing="1" w:after="100" w:afterAutospacing="1" w:line="240" w:lineRule="auto"/>
      <w:jc w:val="right"/>
    </w:pPr>
    <w:rPr>
      <w:rFonts w:ascii="敓潧⁥䥕ᬀ地㙘u☸T" w:eastAsia="敓潧⁥䥕ᬀ地㙘u☸T" w:hAnsi="Times New Roman" w:cs="Times New Roman"/>
      <w:b/>
      <w:bCs/>
      <w:color w:val="000000"/>
      <w:sz w:val="18"/>
      <w:szCs w:val="18"/>
      <w:lang w:eastAsia="cs-CZ"/>
    </w:rPr>
  </w:style>
  <w:style w:type="paragraph" w:customStyle="1" w:styleId="xl72">
    <w:name w:val="xl72"/>
    <w:basedOn w:val="Normln"/>
    <w:rsid w:val="002B3547"/>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pPr>
    <w:rPr>
      <w:rFonts w:ascii="敓潧⁥䥕ᬀ地㙘u☸T" w:eastAsia="敓潧⁥䥕ᬀ地㙘u☸T" w:hAnsi="Times New Roman" w:cs="Times New Roman"/>
      <w:color w:val="000000"/>
      <w:sz w:val="18"/>
      <w:szCs w:val="18"/>
      <w:lang w:eastAsia="cs-CZ"/>
    </w:rPr>
  </w:style>
  <w:style w:type="paragraph" w:customStyle="1" w:styleId="xl73">
    <w:name w:val="xl73"/>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pPr>
    <w:rPr>
      <w:rFonts w:ascii="敓潧⁥䥕ᬀ地㙘u☸T" w:eastAsia="敓潧⁥䥕ᬀ地㙘u☸T" w:hAnsi="Times New Roman" w:cs="Times New Roman"/>
      <w:i/>
      <w:iCs/>
      <w:color w:val="000000"/>
      <w:sz w:val="20"/>
      <w:szCs w:val="20"/>
      <w:lang w:eastAsia="cs-CZ"/>
    </w:rPr>
  </w:style>
  <w:style w:type="paragraph" w:customStyle="1" w:styleId="xl74">
    <w:name w:val="xl74"/>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right"/>
    </w:pPr>
    <w:rPr>
      <w:rFonts w:ascii="敓潧⁥䥕ᬀ地㙘u☸T" w:eastAsia="敓潧⁥䥕ᬀ地㙘u☸T" w:hAnsi="Times New Roman" w:cs="Times New Roman"/>
      <w:i/>
      <w:iCs/>
      <w:color w:val="000000"/>
      <w:sz w:val="20"/>
      <w:szCs w:val="20"/>
      <w:lang w:eastAsia="cs-CZ"/>
    </w:rPr>
  </w:style>
  <w:style w:type="paragraph" w:customStyle="1" w:styleId="xl75">
    <w:name w:val="xl75"/>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jc w:val="right"/>
    </w:pPr>
    <w:rPr>
      <w:rFonts w:ascii="敓潧⁥䥕ᬀ地㙘u☸T" w:eastAsia="敓潧⁥䥕ᬀ地㙘u☸T" w:hAnsi="Times New Roman" w:cs="Times New Roman"/>
      <w:b/>
      <w:bCs/>
      <w:color w:val="000000"/>
      <w:sz w:val="18"/>
      <w:szCs w:val="18"/>
      <w:lang w:eastAsia="cs-CZ"/>
    </w:rPr>
  </w:style>
  <w:style w:type="paragraph" w:customStyle="1" w:styleId="xl76">
    <w:name w:val="xl76"/>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pPr>
    <w:rPr>
      <w:rFonts w:ascii="敓潧⁥䥕ᬀ地㙘u☸T" w:eastAsia="敓潧⁥䥕ᬀ地㙘u☸T" w:hAnsi="Times New Roman" w:cs="Times New Roman"/>
      <w:i/>
      <w:iCs/>
      <w:color w:val="000000"/>
      <w:sz w:val="20"/>
      <w:szCs w:val="20"/>
      <w:lang w:eastAsia="cs-CZ"/>
    </w:rPr>
  </w:style>
  <w:style w:type="paragraph" w:customStyle="1" w:styleId="xl77">
    <w:name w:val="xl77"/>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right"/>
    </w:pPr>
    <w:rPr>
      <w:rFonts w:ascii="敓潧⁥䥕ᬀ地㙘u☸T" w:eastAsia="敓潧⁥䥕ᬀ地㙘u☸T" w:hAnsi="Times New Roman" w:cs="Times New Roman"/>
      <w:i/>
      <w:iCs/>
      <w:color w:val="000000"/>
      <w:sz w:val="20"/>
      <w:szCs w:val="20"/>
      <w:lang w:eastAsia="cs-CZ"/>
    </w:rPr>
  </w:style>
  <w:style w:type="paragraph" w:customStyle="1" w:styleId="xl68">
    <w:name w:val="xl68"/>
    <w:basedOn w:val="Normln"/>
    <w:rsid w:val="00E1634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8">
    <w:name w:val="xl78"/>
    <w:basedOn w:val="Normln"/>
    <w:rsid w:val="00E16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E16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E163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3">
    <w:name w:val="xl83"/>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4">
    <w:name w:val="xl84"/>
    <w:basedOn w:val="Normln"/>
    <w:rsid w:val="00E1634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85">
    <w:name w:val="xl85"/>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6">
    <w:name w:val="xl86"/>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7">
    <w:name w:val="xl87"/>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8">
    <w:name w:val="xl88"/>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9">
    <w:name w:val="xl89"/>
    <w:basedOn w:val="Normln"/>
    <w:rsid w:val="00E1634C"/>
    <w:pPr>
      <w:spacing w:before="100" w:beforeAutospacing="1" w:after="100" w:afterAutospacing="1" w:line="240" w:lineRule="auto"/>
      <w:jc w:val="center"/>
      <w:textAlignment w:val="top"/>
    </w:pPr>
    <w:rPr>
      <w:rFonts w:ascii="Times New Roman" w:eastAsia="Times New Roman" w:hAnsi="Times New Roman" w:cs="Times New Roman"/>
      <w:color w:val="0000FF"/>
      <w:sz w:val="16"/>
      <w:szCs w:val="16"/>
      <w:lang w:eastAsia="cs-CZ"/>
    </w:rPr>
  </w:style>
  <w:style w:type="paragraph" w:customStyle="1" w:styleId="xl90">
    <w:name w:val="xl90"/>
    <w:basedOn w:val="Normln"/>
    <w:rsid w:val="00E1634C"/>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91">
    <w:name w:val="xl91"/>
    <w:basedOn w:val="Normln"/>
    <w:rsid w:val="00E1634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2">
    <w:name w:val="xl92"/>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3">
    <w:name w:val="xl93"/>
    <w:basedOn w:val="Normln"/>
    <w:rsid w:val="00E1634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94">
    <w:name w:val="xl94"/>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5">
    <w:name w:val="xl95"/>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6">
    <w:name w:val="xl96"/>
    <w:basedOn w:val="Normln"/>
    <w:rsid w:val="00E1634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7">
    <w:name w:val="xl97"/>
    <w:basedOn w:val="Normln"/>
    <w:rsid w:val="00E1634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8">
    <w:name w:val="xl98"/>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9">
    <w:name w:val="xl99"/>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00">
    <w:name w:val="xl100"/>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1">
    <w:name w:val="xl101"/>
    <w:basedOn w:val="Normln"/>
    <w:rsid w:val="00E1634C"/>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2">
    <w:name w:val="xl102"/>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3">
    <w:name w:val="xl103"/>
    <w:basedOn w:val="Normln"/>
    <w:rsid w:val="00E1634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4">
    <w:name w:val="xl104"/>
    <w:basedOn w:val="Normln"/>
    <w:rsid w:val="00E1634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5">
    <w:name w:val="xl105"/>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6">
    <w:name w:val="xl106"/>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7">
    <w:name w:val="xl107"/>
    <w:basedOn w:val="Normln"/>
    <w:rsid w:val="00E1634C"/>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108">
    <w:name w:val="xl108"/>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09">
    <w:name w:val="xl109"/>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10">
    <w:name w:val="xl110"/>
    <w:basedOn w:val="Normln"/>
    <w:rsid w:val="00E163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1">
    <w:name w:val="xl111"/>
    <w:basedOn w:val="Normln"/>
    <w:rsid w:val="00E1634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2">
    <w:name w:val="xl112"/>
    <w:basedOn w:val="Normln"/>
    <w:rsid w:val="00E1634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3">
    <w:name w:val="xl113"/>
    <w:basedOn w:val="Normln"/>
    <w:rsid w:val="00E1634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4">
    <w:name w:val="xl114"/>
    <w:basedOn w:val="Normln"/>
    <w:rsid w:val="00E1634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5">
    <w:name w:val="xl115"/>
    <w:basedOn w:val="Normln"/>
    <w:rsid w:val="00E1634C"/>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6">
    <w:name w:val="xl116"/>
    <w:basedOn w:val="Normln"/>
    <w:rsid w:val="00E1634C"/>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7">
    <w:name w:val="xl117"/>
    <w:basedOn w:val="Normln"/>
    <w:rsid w:val="00E1634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18">
    <w:name w:val="xl118"/>
    <w:basedOn w:val="Normln"/>
    <w:rsid w:val="00E163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9">
    <w:name w:val="xl119"/>
    <w:basedOn w:val="Normln"/>
    <w:rsid w:val="00E163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E1634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B3547"/>
    <w:rPr>
      <w:color w:val="0000FF"/>
      <w:u w:val="single"/>
    </w:rPr>
  </w:style>
  <w:style w:type="character" w:styleId="Sledovanodkaz">
    <w:name w:val="FollowedHyperlink"/>
    <w:basedOn w:val="Standardnpsmoodstavce"/>
    <w:uiPriority w:val="99"/>
    <w:semiHidden/>
    <w:unhideWhenUsed/>
    <w:rsid w:val="002B3547"/>
    <w:rPr>
      <w:color w:val="800080"/>
      <w:u w:val="single"/>
    </w:rPr>
  </w:style>
  <w:style w:type="paragraph" w:customStyle="1" w:styleId="xl66">
    <w:name w:val="xl66"/>
    <w:basedOn w:val="Normln"/>
    <w:rsid w:val="002B3547"/>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pPr>
    <w:rPr>
      <w:rFonts w:ascii="敓潧⁥䥕ᬀ地㙘u☸T" w:eastAsia="敓潧⁥䥕ᬀ地㙘u☸T" w:hAnsi="Times New Roman" w:cs="Times New Roman"/>
      <w:color w:val="000000"/>
      <w:sz w:val="18"/>
      <w:szCs w:val="18"/>
      <w:lang w:eastAsia="cs-CZ"/>
    </w:rPr>
  </w:style>
  <w:style w:type="paragraph" w:customStyle="1" w:styleId="xl67">
    <w:name w:val="xl67"/>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pPr>
    <w:rPr>
      <w:rFonts w:ascii="敓潧⁥䥕ᬀ地㙘u☸T" w:eastAsia="敓潧⁥䥕ᬀ地㙘u☸T" w:hAnsi="Times New Roman" w:cs="Times New Roman"/>
      <w:b/>
      <w:bCs/>
      <w:color w:val="000000"/>
      <w:sz w:val="24"/>
      <w:szCs w:val="24"/>
      <w:lang w:eastAsia="cs-CZ"/>
    </w:rPr>
  </w:style>
  <w:style w:type="paragraph" w:customStyle="1" w:styleId="xl69">
    <w:name w:val="xl69"/>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jc w:val="right"/>
    </w:pPr>
    <w:rPr>
      <w:rFonts w:ascii="敓潧⁥䥕ᬀ地㙘u☸T" w:eastAsia="敓潧⁥䥕ᬀ地㙘u☸T" w:hAnsi="Times New Roman" w:cs="Times New Roman"/>
      <w:b/>
      <w:bCs/>
      <w:color w:val="000000"/>
      <w:sz w:val="24"/>
      <w:szCs w:val="24"/>
      <w:lang w:eastAsia="cs-CZ"/>
    </w:rPr>
  </w:style>
  <w:style w:type="paragraph" w:customStyle="1" w:styleId="xl70">
    <w:name w:val="xl70"/>
    <w:basedOn w:val="Normln"/>
    <w:rsid w:val="002B3547"/>
    <w:pPr>
      <w:pBdr>
        <w:top w:val="single" w:sz="4" w:space="0" w:color="C0C0C0"/>
        <w:left w:val="single" w:sz="4" w:space="0" w:color="C0C0C0"/>
        <w:bottom w:val="single" w:sz="4" w:space="0" w:color="C0C0C0"/>
        <w:right w:val="single" w:sz="4" w:space="0" w:color="C0C0C0"/>
      </w:pBdr>
      <w:shd w:val="clear" w:color="000000" w:fill="FFCC00"/>
      <w:spacing w:before="100" w:beforeAutospacing="1" w:after="100" w:afterAutospacing="1" w:line="240" w:lineRule="auto"/>
    </w:pPr>
    <w:rPr>
      <w:rFonts w:ascii="敓潧⁥䥕ᬀ地㙘u☸T" w:eastAsia="敓潧⁥䥕ᬀ地㙘u☸T" w:hAnsi="Times New Roman" w:cs="Times New Roman"/>
      <w:b/>
      <w:bCs/>
      <w:color w:val="000000"/>
      <w:sz w:val="18"/>
      <w:szCs w:val="18"/>
      <w:lang w:eastAsia="cs-CZ"/>
    </w:rPr>
  </w:style>
  <w:style w:type="paragraph" w:customStyle="1" w:styleId="xl71">
    <w:name w:val="xl71"/>
    <w:basedOn w:val="Normln"/>
    <w:rsid w:val="002B3547"/>
    <w:pPr>
      <w:pBdr>
        <w:top w:val="single" w:sz="4" w:space="0" w:color="C0C0C0"/>
        <w:left w:val="single" w:sz="4" w:space="0" w:color="C0C0C0"/>
        <w:bottom w:val="single" w:sz="4" w:space="0" w:color="C0C0C0"/>
        <w:right w:val="single" w:sz="4" w:space="0" w:color="C0C0C0"/>
      </w:pBdr>
      <w:shd w:val="clear" w:color="000000" w:fill="FFCC00"/>
      <w:spacing w:before="100" w:beforeAutospacing="1" w:after="100" w:afterAutospacing="1" w:line="240" w:lineRule="auto"/>
      <w:jc w:val="right"/>
    </w:pPr>
    <w:rPr>
      <w:rFonts w:ascii="敓潧⁥䥕ᬀ地㙘u☸T" w:eastAsia="敓潧⁥䥕ᬀ地㙘u☸T" w:hAnsi="Times New Roman" w:cs="Times New Roman"/>
      <w:b/>
      <w:bCs/>
      <w:color w:val="000000"/>
      <w:sz w:val="18"/>
      <w:szCs w:val="18"/>
      <w:lang w:eastAsia="cs-CZ"/>
    </w:rPr>
  </w:style>
  <w:style w:type="paragraph" w:customStyle="1" w:styleId="xl72">
    <w:name w:val="xl72"/>
    <w:basedOn w:val="Normln"/>
    <w:rsid w:val="002B3547"/>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pPr>
    <w:rPr>
      <w:rFonts w:ascii="敓潧⁥䥕ᬀ地㙘u☸T" w:eastAsia="敓潧⁥䥕ᬀ地㙘u☸T" w:hAnsi="Times New Roman" w:cs="Times New Roman"/>
      <w:color w:val="000000"/>
      <w:sz w:val="18"/>
      <w:szCs w:val="18"/>
      <w:lang w:eastAsia="cs-CZ"/>
    </w:rPr>
  </w:style>
  <w:style w:type="paragraph" w:customStyle="1" w:styleId="xl73">
    <w:name w:val="xl73"/>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pPr>
    <w:rPr>
      <w:rFonts w:ascii="敓潧⁥䥕ᬀ地㙘u☸T" w:eastAsia="敓潧⁥䥕ᬀ地㙘u☸T" w:hAnsi="Times New Roman" w:cs="Times New Roman"/>
      <w:i/>
      <w:iCs/>
      <w:color w:val="000000"/>
      <w:sz w:val="20"/>
      <w:szCs w:val="20"/>
      <w:lang w:eastAsia="cs-CZ"/>
    </w:rPr>
  </w:style>
  <w:style w:type="paragraph" w:customStyle="1" w:styleId="xl74">
    <w:name w:val="xl74"/>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right"/>
    </w:pPr>
    <w:rPr>
      <w:rFonts w:ascii="敓潧⁥䥕ᬀ地㙘u☸T" w:eastAsia="敓潧⁥䥕ᬀ地㙘u☸T" w:hAnsi="Times New Roman" w:cs="Times New Roman"/>
      <w:i/>
      <w:iCs/>
      <w:color w:val="000000"/>
      <w:sz w:val="20"/>
      <w:szCs w:val="20"/>
      <w:lang w:eastAsia="cs-CZ"/>
    </w:rPr>
  </w:style>
  <w:style w:type="paragraph" w:customStyle="1" w:styleId="xl75">
    <w:name w:val="xl75"/>
    <w:basedOn w:val="Normln"/>
    <w:rsid w:val="002B3547"/>
    <w:pPr>
      <w:pBdr>
        <w:top w:val="single" w:sz="4" w:space="0" w:color="C0C0C0"/>
        <w:left w:val="single" w:sz="4" w:space="0" w:color="C0C0C0"/>
        <w:bottom w:val="single" w:sz="4" w:space="0" w:color="C0C0C0"/>
        <w:right w:val="single" w:sz="4" w:space="0" w:color="C0C0C0"/>
      </w:pBdr>
      <w:shd w:val="clear" w:color="000000" w:fill="CCFFFF"/>
      <w:spacing w:before="100" w:beforeAutospacing="1" w:after="100" w:afterAutospacing="1" w:line="240" w:lineRule="auto"/>
      <w:jc w:val="right"/>
    </w:pPr>
    <w:rPr>
      <w:rFonts w:ascii="敓潧⁥䥕ᬀ地㙘u☸T" w:eastAsia="敓潧⁥䥕ᬀ地㙘u☸T" w:hAnsi="Times New Roman" w:cs="Times New Roman"/>
      <w:b/>
      <w:bCs/>
      <w:color w:val="000000"/>
      <w:sz w:val="18"/>
      <w:szCs w:val="18"/>
      <w:lang w:eastAsia="cs-CZ"/>
    </w:rPr>
  </w:style>
  <w:style w:type="paragraph" w:customStyle="1" w:styleId="xl76">
    <w:name w:val="xl76"/>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pPr>
    <w:rPr>
      <w:rFonts w:ascii="敓潧⁥䥕ᬀ地㙘u☸T" w:eastAsia="敓潧⁥䥕ᬀ地㙘u☸T" w:hAnsi="Times New Roman" w:cs="Times New Roman"/>
      <w:i/>
      <w:iCs/>
      <w:color w:val="000000"/>
      <w:sz w:val="20"/>
      <w:szCs w:val="20"/>
      <w:lang w:eastAsia="cs-CZ"/>
    </w:rPr>
  </w:style>
  <w:style w:type="paragraph" w:customStyle="1" w:styleId="xl77">
    <w:name w:val="xl77"/>
    <w:basedOn w:val="Normln"/>
    <w:rsid w:val="002B3547"/>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right"/>
    </w:pPr>
    <w:rPr>
      <w:rFonts w:ascii="敓潧⁥䥕ᬀ地㙘u☸T" w:eastAsia="敓潧⁥䥕ᬀ地㙘u☸T" w:hAnsi="Times New Roman" w:cs="Times New Roman"/>
      <w:i/>
      <w:iCs/>
      <w:color w:val="000000"/>
      <w:sz w:val="20"/>
      <w:szCs w:val="20"/>
      <w:lang w:eastAsia="cs-CZ"/>
    </w:rPr>
  </w:style>
  <w:style w:type="paragraph" w:customStyle="1" w:styleId="xl68">
    <w:name w:val="xl68"/>
    <w:basedOn w:val="Normln"/>
    <w:rsid w:val="00E1634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8">
    <w:name w:val="xl78"/>
    <w:basedOn w:val="Normln"/>
    <w:rsid w:val="00E16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E16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2">
    <w:name w:val="xl82"/>
    <w:basedOn w:val="Normln"/>
    <w:rsid w:val="00E163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3">
    <w:name w:val="xl83"/>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4">
    <w:name w:val="xl84"/>
    <w:basedOn w:val="Normln"/>
    <w:rsid w:val="00E1634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85">
    <w:name w:val="xl85"/>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6">
    <w:name w:val="xl86"/>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7">
    <w:name w:val="xl87"/>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8">
    <w:name w:val="xl88"/>
    <w:basedOn w:val="Normln"/>
    <w:rsid w:val="00E1634C"/>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89">
    <w:name w:val="xl89"/>
    <w:basedOn w:val="Normln"/>
    <w:rsid w:val="00E1634C"/>
    <w:pPr>
      <w:spacing w:before="100" w:beforeAutospacing="1" w:after="100" w:afterAutospacing="1" w:line="240" w:lineRule="auto"/>
      <w:jc w:val="center"/>
      <w:textAlignment w:val="top"/>
    </w:pPr>
    <w:rPr>
      <w:rFonts w:ascii="Times New Roman" w:eastAsia="Times New Roman" w:hAnsi="Times New Roman" w:cs="Times New Roman"/>
      <w:color w:val="0000FF"/>
      <w:sz w:val="16"/>
      <w:szCs w:val="16"/>
      <w:lang w:eastAsia="cs-CZ"/>
    </w:rPr>
  </w:style>
  <w:style w:type="paragraph" w:customStyle="1" w:styleId="xl90">
    <w:name w:val="xl90"/>
    <w:basedOn w:val="Normln"/>
    <w:rsid w:val="00E1634C"/>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91">
    <w:name w:val="xl91"/>
    <w:basedOn w:val="Normln"/>
    <w:rsid w:val="00E1634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2">
    <w:name w:val="xl92"/>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3">
    <w:name w:val="xl93"/>
    <w:basedOn w:val="Normln"/>
    <w:rsid w:val="00E1634C"/>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cs-CZ"/>
    </w:rPr>
  </w:style>
  <w:style w:type="paragraph" w:customStyle="1" w:styleId="xl94">
    <w:name w:val="xl94"/>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5">
    <w:name w:val="xl95"/>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6">
    <w:name w:val="xl96"/>
    <w:basedOn w:val="Normln"/>
    <w:rsid w:val="00E1634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97">
    <w:name w:val="xl97"/>
    <w:basedOn w:val="Normln"/>
    <w:rsid w:val="00E1634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8">
    <w:name w:val="xl98"/>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99">
    <w:name w:val="xl99"/>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00">
    <w:name w:val="xl100"/>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1">
    <w:name w:val="xl101"/>
    <w:basedOn w:val="Normln"/>
    <w:rsid w:val="00E1634C"/>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2">
    <w:name w:val="xl102"/>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3">
    <w:name w:val="xl103"/>
    <w:basedOn w:val="Normln"/>
    <w:rsid w:val="00E1634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4">
    <w:name w:val="xl104"/>
    <w:basedOn w:val="Normln"/>
    <w:rsid w:val="00E1634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5">
    <w:name w:val="xl105"/>
    <w:basedOn w:val="Normln"/>
    <w:rsid w:val="00E1634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06">
    <w:name w:val="xl106"/>
    <w:basedOn w:val="Normln"/>
    <w:rsid w:val="00E1634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07">
    <w:name w:val="xl107"/>
    <w:basedOn w:val="Normln"/>
    <w:rsid w:val="00E1634C"/>
    <w:pPr>
      <w:spacing w:before="100" w:beforeAutospacing="1" w:after="100" w:afterAutospacing="1" w:line="240" w:lineRule="auto"/>
      <w:textAlignment w:val="top"/>
    </w:pPr>
    <w:rPr>
      <w:rFonts w:ascii="Times New Roman" w:eastAsia="Times New Roman" w:hAnsi="Times New Roman" w:cs="Times New Roman"/>
      <w:color w:val="0000FF"/>
      <w:sz w:val="16"/>
      <w:szCs w:val="16"/>
      <w:lang w:eastAsia="cs-CZ"/>
    </w:rPr>
  </w:style>
  <w:style w:type="paragraph" w:customStyle="1" w:styleId="xl108">
    <w:name w:val="xl108"/>
    <w:basedOn w:val="Normln"/>
    <w:rsid w:val="00E1634C"/>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09">
    <w:name w:val="xl109"/>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110">
    <w:name w:val="xl110"/>
    <w:basedOn w:val="Normln"/>
    <w:rsid w:val="00E163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1">
    <w:name w:val="xl111"/>
    <w:basedOn w:val="Normln"/>
    <w:rsid w:val="00E1634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2">
    <w:name w:val="xl112"/>
    <w:basedOn w:val="Normln"/>
    <w:rsid w:val="00E1634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3">
    <w:name w:val="xl113"/>
    <w:basedOn w:val="Normln"/>
    <w:rsid w:val="00E1634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4">
    <w:name w:val="xl114"/>
    <w:basedOn w:val="Normln"/>
    <w:rsid w:val="00E1634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5">
    <w:name w:val="xl115"/>
    <w:basedOn w:val="Normln"/>
    <w:rsid w:val="00E1634C"/>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6">
    <w:name w:val="xl116"/>
    <w:basedOn w:val="Normln"/>
    <w:rsid w:val="00E1634C"/>
    <w:pP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17">
    <w:name w:val="xl117"/>
    <w:basedOn w:val="Normln"/>
    <w:rsid w:val="00E1634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18">
    <w:name w:val="xl118"/>
    <w:basedOn w:val="Normln"/>
    <w:rsid w:val="00E163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9">
    <w:name w:val="xl119"/>
    <w:basedOn w:val="Normln"/>
    <w:rsid w:val="00E163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E1634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E1634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3324">
      <w:bodyDiv w:val="1"/>
      <w:marLeft w:val="0"/>
      <w:marRight w:val="0"/>
      <w:marTop w:val="0"/>
      <w:marBottom w:val="0"/>
      <w:divBdr>
        <w:top w:val="none" w:sz="0" w:space="0" w:color="auto"/>
        <w:left w:val="none" w:sz="0" w:space="0" w:color="auto"/>
        <w:bottom w:val="none" w:sz="0" w:space="0" w:color="auto"/>
        <w:right w:val="none" w:sz="0" w:space="0" w:color="auto"/>
      </w:divBdr>
    </w:div>
    <w:div w:id="220874991">
      <w:bodyDiv w:val="1"/>
      <w:marLeft w:val="0"/>
      <w:marRight w:val="0"/>
      <w:marTop w:val="0"/>
      <w:marBottom w:val="0"/>
      <w:divBdr>
        <w:top w:val="none" w:sz="0" w:space="0" w:color="auto"/>
        <w:left w:val="none" w:sz="0" w:space="0" w:color="auto"/>
        <w:bottom w:val="none" w:sz="0" w:space="0" w:color="auto"/>
        <w:right w:val="none" w:sz="0" w:space="0" w:color="auto"/>
      </w:divBdr>
    </w:div>
    <w:div w:id="242107147">
      <w:bodyDiv w:val="1"/>
      <w:marLeft w:val="0"/>
      <w:marRight w:val="0"/>
      <w:marTop w:val="0"/>
      <w:marBottom w:val="0"/>
      <w:divBdr>
        <w:top w:val="none" w:sz="0" w:space="0" w:color="auto"/>
        <w:left w:val="none" w:sz="0" w:space="0" w:color="auto"/>
        <w:bottom w:val="none" w:sz="0" w:space="0" w:color="auto"/>
        <w:right w:val="none" w:sz="0" w:space="0" w:color="auto"/>
      </w:divBdr>
    </w:div>
    <w:div w:id="439449403">
      <w:bodyDiv w:val="1"/>
      <w:marLeft w:val="0"/>
      <w:marRight w:val="0"/>
      <w:marTop w:val="0"/>
      <w:marBottom w:val="0"/>
      <w:divBdr>
        <w:top w:val="none" w:sz="0" w:space="0" w:color="auto"/>
        <w:left w:val="none" w:sz="0" w:space="0" w:color="auto"/>
        <w:bottom w:val="none" w:sz="0" w:space="0" w:color="auto"/>
        <w:right w:val="none" w:sz="0" w:space="0" w:color="auto"/>
      </w:divBdr>
    </w:div>
    <w:div w:id="595210391">
      <w:bodyDiv w:val="1"/>
      <w:marLeft w:val="0"/>
      <w:marRight w:val="0"/>
      <w:marTop w:val="0"/>
      <w:marBottom w:val="0"/>
      <w:divBdr>
        <w:top w:val="none" w:sz="0" w:space="0" w:color="auto"/>
        <w:left w:val="none" w:sz="0" w:space="0" w:color="auto"/>
        <w:bottom w:val="none" w:sz="0" w:space="0" w:color="auto"/>
        <w:right w:val="none" w:sz="0" w:space="0" w:color="auto"/>
      </w:divBdr>
    </w:div>
    <w:div w:id="708531765">
      <w:bodyDiv w:val="1"/>
      <w:marLeft w:val="0"/>
      <w:marRight w:val="0"/>
      <w:marTop w:val="0"/>
      <w:marBottom w:val="0"/>
      <w:divBdr>
        <w:top w:val="none" w:sz="0" w:space="0" w:color="auto"/>
        <w:left w:val="none" w:sz="0" w:space="0" w:color="auto"/>
        <w:bottom w:val="none" w:sz="0" w:space="0" w:color="auto"/>
        <w:right w:val="none" w:sz="0" w:space="0" w:color="auto"/>
      </w:divBdr>
    </w:div>
    <w:div w:id="711077773">
      <w:bodyDiv w:val="1"/>
      <w:marLeft w:val="0"/>
      <w:marRight w:val="0"/>
      <w:marTop w:val="0"/>
      <w:marBottom w:val="0"/>
      <w:divBdr>
        <w:top w:val="none" w:sz="0" w:space="0" w:color="auto"/>
        <w:left w:val="none" w:sz="0" w:space="0" w:color="auto"/>
        <w:bottom w:val="none" w:sz="0" w:space="0" w:color="auto"/>
        <w:right w:val="none" w:sz="0" w:space="0" w:color="auto"/>
      </w:divBdr>
    </w:div>
    <w:div w:id="813988583">
      <w:bodyDiv w:val="1"/>
      <w:marLeft w:val="0"/>
      <w:marRight w:val="0"/>
      <w:marTop w:val="0"/>
      <w:marBottom w:val="0"/>
      <w:divBdr>
        <w:top w:val="none" w:sz="0" w:space="0" w:color="auto"/>
        <w:left w:val="none" w:sz="0" w:space="0" w:color="auto"/>
        <w:bottom w:val="none" w:sz="0" w:space="0" w:color="auto"/>
        <w:right w:val="none" w:sz="0" w:space="0" w:color="auto"/>
      </w:divBdr>
    </w:div>
    <w:div w:id="822966861">
      <w:bodyDiv w:val="1"/>
      <w:marLeft w:val="0"/>
      <w:marRight w:val="0"/>
      <w:marTop w:val="0"/>
      <w:marBottom w:val="0"/>
      <w:divBdr>
        <w:top w:val="none" w:sz="0" w:space="0" w:color="auto"/>
        <w:left w:val="none" w:sz="0" w:space="0" w:color="auto"/>
        <w:bottom w:val="none" w:sz="0" w:space="0" w:color="auto"/>
        <w:right w:val="none" w:sz="0" w:space="0" w:color="auto"/>
      </w:divBdr>
    </w:div>
    <w:div w:id="904679531">
      <w:bodyDiv w:val="1"/>
      <w:marLeft w:val="0"/>
      <w:marRight w:val="0"/>
      <w:marTop w:val="0"/>
      <w:marBottom w:val="0"/>
      <w:divBdr>
        <w:top w:val="none" w:sz="0" w:space="0" w:color="auto"/>
        <w:left w:val="none" w:sz="0" w:space="0" w:color="auto"/>
        <w:bottom w:val="none" w:sz="0" w:space="0" w:color="auto"/>
        <w:right w:val="none" w:sz="0" w:space="0" w:color="auto"/>
      </w:divBdr>
    </w:div>
    <w:div w:id="1337029696">
      <w:bodyDiv w:val="1"/>
      <w:marLeft w:val="0"/>
      <w:marRight w:val="0"/>
      <w:marTop w:val="0"/>
      <w:marBottom w:val="0"/>
      <w:divBdr>
        <w:top w:val="none" w:sz="0" w:space="0" w:color="auto"/>
        <w:left w:val="none" w:sz="0" w:space="0" w:color="auto"/>
        <w:bottom w:val="none" w:sz="0" w:space="0" w:color="auto"/>
        <w:right w:val="none" w:sz="0" w:space="0" w:color="auto"/>
      </w:divBdr>
    </w:div>
    <w:div w:id="1537231278">
      <w:bodyDiv w:val="1"/>
      <w:marLeft w:val="0"/>
      <w:marRight w:val="0"/>
      <w:marTop w:val="0"/>
      <w:marBottom w:val="0"/>
      <w:divBdr>
        <w:top w:val="none" w:sz="0" w:space="0" w:color="auto"/>
        <w:left w:val="none" w:sz="0" w:space="0" w:color="auto"/>
        <w:bottom w:val="none" w:sz="0" w:space="0" w:color="auto"/>
        <w:right w:val="none" w:sz="0" w:space="0" w:color="auto"/>
      </w:divBdr>
    </w:div>
    <w:div w:id="1634363028">
      <w:bodyDiv w:val="1"/>
      <w:marLeft w:val="0"/>
      <w:marRight w:val="0"/>
      <w:marTop w:val="0"/>
      <w:marBottom w:val="0"/>
      <w:divBdr>
        <w:top w:val="none" w:sz="0" w:space="0" w:color="auto"/>
        <w:left w:val="none" w:sz="0" w:space="0" w:color="auto"/>
        <w:bottom w:val="none" w:sz="0" w:space="0" w:color="auto"/>
        <w:right w:val="none" w:sz="0" w:space="0" w:color="auto"/>
      </w:divBdr>
    </w:div>
    <w:div w:id="1685594957">
      <w:bodyDiv w:val="1"/>
      <w:marLeft w:val="0"/>
      <w:marRight w:val="0"/>
      <w:marTop w:val="0"/>
      <w:marBottom w:val="0"/>
      <w:divBdr>
        <w:top w:val="none" w:sz="0" w:space="0" w:color="auto"/>
        <w:left w:val="none" w:sz="0" w:space="0" w:color="auto"/>
        <w:bottom w:val="none" w:sz="0" w:space="0" w:color="auto"/>
        <w:right w:val="none" w:sz="0" w:space="0" w:color="auto"/>
      </w:divBdr>
    </w:div>
    <w:div w:id="1745757941">
      <w:bodyDiv w:val="1"/>
      <w:marLeft w:val="0"/>
      <w:marRight w:val="0"/>
      <w:marTop w:val="0"/>
      <w:marBottom w:val="0"/>
      <w:divBdr>
        <w:top w:val="none" w:sz="0" w:space="0" w:color="auto"/>
        <w:left w:val="none" w:sz="0" w:space="0" w:color="auto"/>
        <w:bottom w:val="none" w:sz="0" w:space="0" w:color="auto"/>
        <w:right w:val="none" w:sz="0" w:space="0" w:color="auto"/>
      </w:divBdr>
    </w:div>
    <w:div w:id="1886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10266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domaci</dc:creator>
  <cp:lastModifiedBy>domaci</cp:lastModifiedBy>
  <cp:revision>2</cp:revision>
  <dcterms:created xsi:type="dcterms:W3CDTF">2017-09-12T18:15:00Z</dcterms:created>
  <dcterms:modified xsi:type="dcterms:W3CDTF">2017-09-12T18:15:00Z</dcterms:modified>
</cp:coreProperties>
</file>