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180B" w14:textId="4978434A" w:rsidR="006E64D6" w:rsidRPr="006E64D6" w:rsidRDefault="006E64D6" w:rsidP="006E64D6">
      <w:r w:rsidRPr="006E64D6">
        <w:t>2099/RS316/202</w:t>
      </w:r>
      <w:r w:rsidR="003D4AFC">
        <w:t>5</w:t>
      </w:r>
    </w:p>
    <w:p w14:paraId="757C7943" w14:textId="77777777" w:rsidR="00F00A6F" w:rsidRDefault="00F00A6F" w:rsidP="00F00A6F">
      <w:pPr>
        <w:pStyle w:val="Nzev"/>
      </w:pPr>
    </w:p>
    <w:p w14:paraId="4344F859" w14:textId="77777777" w:rsidR="00F00A6F" w:rsidRDefault="00F00A6F" w:rsidP="00F00A6F">
      <w:pPr>
        <w:pStyle w:val="Nzev"/>
      </w:pPr>
    </w:p>
    <w:p w14:paraId="47F855A8" w14:textId="58016C48" w:rsidR="00F00A6F" w:rsidRDefault="00F00A6F" w:rsidP="00F00A6F">
      <w:pPr>
        <w:pStyle w:val="Nzev"/>
      </w:pPr>
      <w:bookmarkStart w:id="0" w:name="_Toc145939386"/>
      <w:r w:rsidRPr="00926641">
        <w:t>Rámcová smlouva</w:t>
      </w:r>
      <w:r w:rsidR="00A9639A">
        <w:t xml:space="preserve"> o </w:t>
      </w:r>
      <w:r w:rsidRPr="00926641">
        <w:t>financování projektu spolufinancovaného</w:t>
      </w:r>
      <w:r w:rsidR="00A9639A">
        <w:t xml:space="preserve"> z </w:t>
      </w:r>
      <w:r w:rsidRPr="00926641">
        <w:t>fondů EU</w:t>
      </w:r>
      <w:bookmarkEnd w:id="0"/>
    </w:p>
    <w:p w14:paraId="1CFAFA61" w14:textId="77777777" w:rsidR="00F00A6F" w:rsidRPr="009B430A" w:rsidRDefault="00F00A6F" w:rsidP="00F00A6F">
      <w:pPr>
        <w:rPr>
          <w:sz w:val="24"/>
          <w:szCs w:val="32"/>
        </w:rPr>
      </w:pPr>
    </w:p>
    <w:p w14:paraId="636427BD" w14:textId="1C2BDCBB" w:rsidR="00F00A6F" w:rsidRPr="009B430A" w:rsidRDefault="00F00A6F" w:rsidP="00054A9B">
      <w:pPr>
        <w:ind w:left="2127" w:hanging="2127"/>
        <w:rPr>
          <w:sz w:val="24"/>
          <w:szCs w:val="32"/>
        </w:rPr>
      </w:pPr>
      <w:r w:rsidRPr="009B430A">
        <w:rPr>
          <w:sz w:val="24"/>
          <w:szCs w:val="32"/>
        </w:rPr>
        <w:t>Název</w:t>
      </w:r>
      <w:r>
        <w:rPr>
          <w:sz w:val="24"/>
          <w:szCs w:val="32"/>
        </w:rPr>
        <w:t xml:space="preserve"> projektu</w:t>
      </w:r>
      <w:r w:rsidRPr="009B430A">
        <w:rPr>
          <w:sz w:val="24"/>
          <w:szCs w:val="32"/>
        </w:rPr>
        <w:t>:</w:t>
      </w:r>
      <w:bookmarkStart w:id="1" w:name="_Hlk213231941"/>
      <w:r w:rsidR="003534F1">
        <w:rPr>
          <w:sz w:val="24"/>
          <w:szCs w:val="32"/>
        </w:rPr>
        <w:t> </w:t>
      </w:r>
      <w:r w:rsidR="006E64D6" w:rsidRPr="006E64D6">
        <w:rPr>
          <w:sz w:val="24"/>
          <w:szCs w:val="32"/>
        </w:rPr>
        <w:t xml:space="preserve">Modernizace zabezpečovacího zařízení vlečky </w:t>
      </w:r>
      <w:proofErr w:type="spellStart"/>
      <w:r w:rsidR="006E64D6" w:rsidRPr="006E64D6">
        <w:rPr>
          <w:sz w:val="24"/>
          <w:szCs w:val="32"/>
        </w:rPr>
        <w:t>Lenzing</w:t>
      </w:r>
      <w:proofErr w:type="spellEnd"/>
      <w:r w:rsidR="006E64D6" w:rsidRPr="006E64D6">
        <w:rPr>
          <w:sz w:val="24"/>
          <w:szCs w:val="32"/>
        </w:rPr>
        <w:t xml:space="preserve"> Biocel</w:t>
      </w:r>
      <w:bookmarkEnd w:id="1"/>
      <w:r w:rsidR="006E64D6" w:rsidRPr="006E64D6">
        <w:rPr>
          <w:sz w:val="24"/>
          <w:szCs w:val="32"/>
        </w:rPr>
        <w:t xml:space="preserve"> Paskov</w:t>
      </w:r>
    </w:p>
    <w:p w14:paraId="145568F6" w14:textId="4B7A3DB6" w:rsidR="00F00A6F" w:rsidRPr="009B430A" w:rsidRDefault="00F00A6F" w:rsidP="00F00A6F">
      <w:pPr>
        <w:rPr>
          <w:sz w:val="24"/>
          <w:szCs w:val="32"/>
        </w:rPr>
      </w:pPr>
      <w:r>
        <w:rPr>
          <w:sz w:val="24"/>
          <w:szCs w:val="32"/>
        </w:rPr>
        <w:t>ISPROFOND</w:t>
      </w:r>
      <w:r w:rsidRPr="009B430A">
        <w:rPr>
          <w:sz w:val="24"/>
          <w:szCs w:val="32"/>
        </w:rPr>
        <w:t xml:space="preserve">: </w:t>
      </w:r>
      <w:r w:rsidR="006E64D6">
        <w:rPr>
          <w:sz w:val="24"/>
          <w:szCs w:val="32"/>
        </w:rPr>
        <w:t>581</w:t>
      </w:r>
      <w:r w:rsidR="003534F1">
        <w:rPr>
          <w:sz w:val="24"/>
          <w:szCs w:val="32"/>
        </w:rPr>
        <w:t> </w:t>
      </w:r>
      <w:r w:rsidR="006E64D6">
        <w:rPr>
          <w:sz w:val="24"/>
          <w:szCs w:val="32"/>
        </w:rPr>
        <w:t>374</w:t>
      </w:r>
      <w:r w:rsidR="003534F1">
        <w:rPr>
          <w:sz w:val="24"/>
          <w:szCs w:val="32"/>
        </w:rPr>
        <w:t> </w:t>
      </w:r>
      <w:r w:rsidR="006E64D6">
        <w:rPr>
          <w:sz w:val="24"/>
          <w:szCs w:val="32"/>
        </w:rPr>
        <w:t>0004</w:t>
      </w:r>
    </w:p>
    <w:p w14:paraId="2BA85D0A" w14:textId="77777777" w:rsidR="00F00A6F" w:rsidRDefault="00F00A6F" w:rsidP="00F00A6F">
      <w:pPr>
        <w:jc w:val="center"/>
        <w:rPr>
          <w:sz w:val="24"/>
          <w:szCs w:val="32"/>
        </w:rPr>
      </w:pPr>
    </w:p>
    <w:p w14:paraId="750620E5" w14:textId="546AB611" w:rsidR="00F00A6F" w:rsidRPr="009B430A" w:rsidRDefault="00F00A6F" w:rsidP="00F00A6F">
      <w:pPr>
        <w:jc w:val="center"/>
        <w:rPr>
          <w:sz w:val="24"/>
          <w:szCs w:val="32"/>
        </w:rPr>
      </w:pPr>
      <w:r w:rsidRPr="0048437A">
        <w:rPr>
          <w:sz w:val="24"/>
          <w:szCs w:val="32"/>
        </w:rPr>
        <w:t xml:space="preserve">v rámci </w:t>
      </w:r>
      <w:r>
        <w:rPr>
          <w:sz w:val="24"/>
          <w:szCs w:val="32"/>
        </w:rPr>
        <w:t>P</w:t>
      </w:r>
      <w:r w:rsidRPr="0048437A">
        <w:rPr>
          <w:sz w:val="24"/>
          <w:szCs w:val="32"/>
        </w:rPr>
        <w:t>rogramu Doprava 2021–2027,</w:t>
      </w:r>
      <w:r w:rsidR="00A9639A">
        <w:rPr>
          <w:sz w:val="24"/>
          <w:szCs w:val="32"/>
        </w:rPr>
        <w:t xml:space="preserve"> z </w:t>
      </w:r>
      <w:r w:rsidRPr="0048437A">
        <w:rPr>
          <w:sz w:val="24"/>
          <w:szCs w:val="32"/>
        </w:rPr>
        <w:t>rozpočtu Státního fondu dopravní infrastruktury</w:t>
      </w:r>
    </w:p>
    <w:p w14:paraId="0728F059" w14:textId="77777777" w:rsidR="00F00A6F" w:rsidRDefault="00F00A6F" w:rsidP="007D780F">
      <w:pPr>
        <w:pStyle w:val="lnku"/>
      </w:pPr>
    </w:p>
    <w:p w14:paraId="48994340" w14:textId="77777777" w:rsidR="00F00A6F" w:rsidRDefault="00F00A6F" w:rsidP="00A16968">
      <w:pPr>
        <w:pStyle w:val="Nzevlnku"/>
      </w:pPr>
      <w:r>
        <w:t>Smluvní strany</w:t>
      </w:r>
    </w:p>
    <w:p w14:paraId="3AB5BB94" w14:textId="77777777" w:rsidR="00F00A6F" w:rsidRPr="00E576F1" w:rsidRDefault="00F00A6F" w:rsidP="00F00A6F">
      <w:pPr>
        <w:rPr>
          <w:b/>
          <w:bCs/>
        </w:rPr>
      </w:pPr>
      <w:r w:rsidRPr="00E576F1">
        <w:rPr>
          <w:b/>
          <w:bCs/>
        </w:rPr>
        <w:t>Státní fond dopravní infrastruktury</w:t>
      </w:r>
    </w:p>
    <w:p w14:paraId="68E9E19F" w14:textId="1F8D0DA6" w:rsidR="00F00A6F" w:rsidRDefault="00F00A6F" w:rsidP="00F00A6F">
      <w:pPr>
        <w:pStyle w:val="Bezmezer"/>
      </w:pPr>
      <w:r>
        <w:t>se sídlem</w:t>
      </w:r>
      <w:r w:rsidR="00F607C7">
        <w:t>:</w:t>
      </w:r>
      <w:r>
        <w:t xml:space="preserve"> Sokolovská 1955/278, 190 00 Praha 9</w:t>
      </w:r>
    </w:p>
    <w:p w14:paraId="6F818E30" w14:textId="77777777" w:rsidR="00F00A6F" w:rsidRDefault="00F00A6F" w:rsidP="00F00A6F">
      <w:pPr>
        <w:pStyle w:val="Bezmezer"/>
      </w:pPr>
      <w:r>
        <w:t>IČO: 70856508</w:t>
      </w:r>
    </w:p>
    <w:p w14:paraId="5838CA30" w14:textId="77777777" w:rsidR="00F00A6F" w:rsidRDefault="00F00A6F" w:rsidP="00F00A6F">
      <w:pPr>
        <w:pStyle w:val="Bezmezer"/>
      </w:pPr>
      <w:r>
        <w:t>zastoupený ředitelem</w:t>
      </w:r>
    </w:p>
    <w:p w14:paraId="0E04090F" w14:textId="77777777" w:rsidR="006E64D6" w:rsidRPr="006E64D6" w:rsidRDefault="006E64D6" w:rsidP="006E64D6">
      <w:pPr>
        <w:rPr>
          <w:b/>
          <w:bCs/>
        </w:rPr>
      </w:pPr>
      <w:r w:rsidRPr="006E64D6">
        <w:rPr>
          <w:b/>
          <w:bCs/>
        </w:rPr>
        <w:t xml:space="preserve">Ing. Zbyňkem </w:t>
      </w:r>
      <w:proofErr w:type="spellStart"/>
      <w:r w:rsidRPr="006E64D6">
        <w:rPr>
          <w:b/>
          <w:bCs/>
        </w:rPr>
        <w:t>Hořelicou</w:t>
      </w:r>
      <w:proofErr w:type="spellEnd"/>
    </w:p>
    <w:p w14:paraId="528650CB" w14:textId="77777777" w:rsidR="00F00A6F" w:rsidRDefault="00F00A6F" w:rsidP="00F00A6F">
      <w:r>
        <w:t>(dále jen „</w:t>
      </w:r>
      <w:r w:rsidRPr="000370DF">
        <w:rPr>
          <w:b/>
          <w:bCs/>
        </w:rPr>
        <w:t>poskytovatel</w:t>
      </w:r>
      <w:r>
        <w:t>“)</w:t>
      </w:r>
    </w:p>
    <w:p w14:paraId="05D65298" w14:textId="77777777" w:rsidR="00F00A6F" w:rsidRDefault="00F00A6F" w:rsidP="00F00A6F">
      <w:r>
        <w:t>a</w:t>
      </w:r>
    </w:p>
    <w:p w14:paraId="0A2B3257" w14:textId="147CD644" w:rsidR="00F00A6F" w:rsidRPr="00C013F4" w:rsidRDefault="006E64D6" w:rsidP="00F00A6F">
      <w:pPr>
        <w:rPr>
          <w:b/>
          <w:bCs/>
        </w:rPr>
      </w:pPr>
      <w:proofErr w:type="spellStart"/>
      <w:r>
        <w:rPr>
          <w:b/>
          <w:bCs/>
        </w:rPr>
        <w:t>Lenzing</w:t>
      </w:r>
      <w:proofErr w:type="spellEnd"/>
      <w:r>
        <w:rPr>
          <w:b/>
          <w:bCs/>
        </w:rPr>
        <w:t xml:space="preserve"> Biocel Paskov a.s.</w:t>
      </w:r>
    </w:p>
    <w:p w14:paraId="3636F206" w14:textId="32F6C5A3" w:rsidR="00F00A6F" w:rsidRDefault="00F00A6F" w:rsidP="00F00A6F">
      <w:pPr>
        <w:pStyle w:val="Bezmezer"/>
      </w:pPr>
      <w:r>
        <w:t xml:space="preserve">se sídlem: </w:t>
      </w:r>
      <w:r w:rsidR="00EF0A6E">
        <w:t>Místecká 762, 739 21 Paskov</w:t>
      </w:r>
    </w:p>
    <w:p w14:paraId="74EF8F6B" w14:textId="55EAF90E" w:rsidR="00F00A6F" w:rsidRDefault="00F00A6F" w:rsidP="00F00A6F">
      <w:pPr>
        <w:pStyle w:val="Bezmezer"/>
      </w:pPr>
      <w:r>
        <w:t xml:space="preserve">IČO: </w:t>
      </w:r>
      <w:r w:rsidR="00EF0A6E">
        <w:t>26420317</w:t>
      </w:r>
    </w:p>
    <w:p w14:paraId="255DE167" w14:textId="43DCDE90" w:rsidR="00F00A6F" w:rsidRDefault="00F00A6F" w:rsidP="00F00A6F">
      <w:pPr>
        <w:pStyle w:val="Bezmezer"/>
      </w:pPr>
      <w:r>
        <w:t>zastoupen</w:t>
      </w:r>
      <w:r w:rsidR="00EF0A6E">
        <w:t>á</w:t>
      </w:r>
    </w:p>
    <w:p w14:paraId="1A56D55D" w14:textId="0CADE010" w:rsidR="00EF0A6E" w:rsidRPr="00EF0A6E" w:rsidRDefault="00EF0A6E" w:rsidP="00EF0A6E">
      <w:pPr>
        <w:spacing w:after="0"/>
        <w:rPr>
          <w:b/>
          <w:bCs/>
        </w:rPr>
      </w:pPr>
      <w:r w:rsidRPr="00EF0A6E">
        <w:rPr>
          <w:b/>
          <w:bCs/>
        </w:rPr>
        <w:t xml:space="preserve">Ing. </w:t>
      </w:r>
      <w:r>
        <w:rPr>
          <w:b/>
          <w:bCs/>
        </w:rPr>
        <w:t>Kateřinou</w:t>
      </w:r>
      <w:r w:rsidRPr="00EF0A6E">
        <w:rPr>
          <w:b/>
          <w:bCs/>
        </w:rPr>
        <w:t xml:space="preserve"> </w:t>
      </w:r>
      <w:r>
        <w:rPr>
          <w:b/>
          <w:bCs/>
        </w:rPr>
        <w:t>Kupkovou</w:t>
      </w:r>
      <w:r w:rsidRPr="00EF0A6E">
        <w:rPr>
          <w:b/>
          <w:bCs/>
        </w:rPr>
        <w:t>, předsed</w:t>
      </w:r>
      <w:r>
        <w:rPr>
          <w:b/>
          <w:bCs/>
        </w:rPr>
        <w:t>kyní</w:t>
      </w:r>
      <w:r w:rsidRPr="00EF0A6E">
        <w:rPr>
          <w:b/>
          <w:bCs/>
        </w:rPr>
        <w:t xml:space="preserve"> </w:t>
      </w:r>
      <w:r>
        <w:rPr>
          <w:b/>
          <w:bCs/>
        </w:rPr>
        <w:t>správní rady</w:t>
      </w:r>
    </w:p>
    <w:p w14:paraId="10441798" w14:textId="757B0CFB" w:rsidR="00EF0A6E" w:rsidRPr="00EF0A6E" w:rsidRDefault="00EF0A6E" w:rsidP="00EF0A6E">
      <w:pPr>
        <w:rPr>
          <w:b/>
          <w:bCs/>
        </w:rPr>
      </w:pPr>
      <w:r w:rsidRPr="00EF0A6E">
        <w:rPr>
          <w:b/>
          <w:bCs/>
        </w:rPr>
        <w:t xml:space="preserve">Ing. </w:t>
      </w:r>
      <w:r>
        <w:rPr>
          <w:b/>
          <w:bCs/>
        </w:rPr>
        <w:t>Vojtěch</w:t>
      </w:r>
      <w:r w:rsidRPr="00EF0A6E">
        <w:rPr>
          <w:b/>
          <w:bCs/>
        </w:rPr>
        <w:t xml:space="preserve">em </w:t>
      </w:r>
      <w:proofErr w:type="spellStart"/>
      <w:r>
        <w:rPr>
          <w:b/>
          <w:bCs/>
        </w:rPr>
        <w:t>Podmol</w:t>
      </w:r>
      <w:r w:rsidRPr="00EF0A6E">
        <w:rPr>
          <w:b/>
          <w:bCs/>
        </w:rPr>
        <w:t>íkem</w:t>
      </w:r>
      <w:proofErr w:type="spellEnd"/>
      <w:r w:rsidRPr="00EF0A6E">
        <w:rPr>
          <w:b/>
          <w:bCs/>
        </w:rPr>
        <w:t xml:space="preserve">, </w:t>
      </w:r>
      <w:r>
        <w:rPr>
          <w:b/>
          <w:bCs/>
        </w:rPr>
        <w:t>členem správní rady</w:t>
      </w:r>
    </w:p>
    <w:p w14:paraId="26FE1D97" w14:textId="77777777" w:rsidR="00F00A6F" w:rsidRDefault="00F00A6F" w:rsidP="00F00A6F">
      <w:r>
        <w:t>(dále jen „</w:t>
      </w:r>
      <w:r w:rsidRPr="000370DF">
        <w:rPr>
          <w:b/>
          <w:bCs/>
        </w:rPr>
        <w:t>příjemce</w:t>
      </w:r>
      <w:r>
        <w:t>“)</w:t>
      </w:r>
    </w:p>
    <w:p w14:paraId="7DC1E1AC" w14:textId="77777777" w:rsidR="00F00A6F" w:rsidRDefault="00F00A6F" w:rsidP="00F00A6F"/>
    <w:p w14:paraId="11FB900E" w14:textId="5EBB07A5" w:rsidR="00F00A6F" w:rsidRDefault="00F00A6F" w:rsidP="00F00A6F">
      <w:r w:rsidRPr="009030E1">
        <w:t>uzavřely níže uvedeného dne, měsíce a roku</w:t>
      </w:r>
      <w:r w:rsidR="00A9639A">
        <w:t xml:space="preserve"> v </w:t>
      </w:r>
      <w:r w:rsidRPr="009030E1">
        <w:t>souladu</w:t>
      </w:r>
      <w:r w:rsidR="00A9639A">
        <w:t xml:space="preserve"> s </w:t>
      </w:r>
      <w:r w:rsidRPr="009030E1">
        <w:t>§</w:t>
      </w:r>
      <w:r w:rsidR="006357BF">
        <w:t> </w:t>
      </w:r>
      <w:r w:rsidRPr="009030E1">
        <w:t>3 odst. 2 zákona č.</w:t>
      </w:r>
      <w:r w:rsidR="006357BF">
        <w:t> </w:t>
      </w:r>
      <w:r w:rsidRPr="009030E1">
        <w:t>104/2000 Sb.,</w:t>
      </w:r>
      <w:r w:rsidR="00A9639A">
        <w:t xml:space="preserve"> o </w:t>
      </w:r>
      <w:r w:rsidRPr="009030E1">
        <w:t>Státním fondu dopravní infrastruktury, ve znění pozdějších předpisů (dále jen „zákon č.</w:t>
      </w:r>
      <w:r w:rsidR="006357BF">
        <w:t> </w:t>
      </w:r>
      <w:r w:rsidRPr="009030E1">
        <w:t>104/2000 Sb.“) a podle ustanovení §</w:t>
      </w:r>
      <w:r w:rsidR="006357BF">
        <w:t> </w:t>
      </w:r>
      <w:r w:rsidRPr="009030E1">
        <w:t>1746 odstavce 2 zákona č.</w:t>
      </w:r>
      <w:r w:rsidR="006357BF">
        <w:t> </w:t>
      </w:r>
      <w:r w:rsidRPr="009030E1">
        <w:t xml:space="preserve">89/2012 Sb., občanského zákoníku, ve znění pozdějších předpisů, a na základě </w:t>
      </w:r>
      <w:r>
        <w:t>„</w:t>
      </w:r>
      <w:r w:rsidRPr="009030E1">
        <w:t>Dohody</w:t>
      </w:r>
      <w:r w:rsidR="00A9639A">
        <w:t xml:space="preserve"> o </w:t>
      </w:r>
      <w:r w:rsidRPr="009030E1">
        <w:t>delegování některých pravomocí a činností Řídicího orgánu Operačního programu Doprava 2021-2027 na Zprostředkující subjekt Operačního programu Doprava 2021</w:t>
      </w:r>
      <w:r>
        <w:t>–</w:t>
      </w:r>
      <w:r w:rsidRPr="009030E1">
        <w:t>2027</w:t>
      </w:r>
      <w:r>
        <w:t>“</w:t>
      </w:r>
      <w:r w:rsidRPr="009030E1">
        <w:t xml:space="preserve">, uzavřené </w:t>
      </w:r>
      <w:r w:rsidRPr="009030E1">
        <w:lastRenderedPageBreak/>
        <w:t>16.</w:t>
      </w:r>
      <w:r>
        <w:t> </w:t>
      </w:r>
      <w:r w:rsidRPr="009030E1">
        <w:t xml:space="preserve">listopadu 2021 mezi Ministerstvem dopravy jako Řídicím orgánem </w:t>
      </w:r>
      <w:r>
        <w:t>P</w:t>
      </w:r>
      <w:r w:rsidRPr="009030E1">
        <w:t xml:space="preserve">rogramu Doprava 2021-2027 (dále jen „Řídicí orgán“) a poskytovatelem jako Zprostředkujícím subjektem </w:t>
      </w:r>
      <w:r>
        <w:t>P</w:t>
      </w:r>
      <w:r w:rsidRPr="009030E1">
        <w:t>rogramu Doprava 2021–2027</w:t>
      </w:r>
      <w:r w:rsidR="004A3154">
        <w:t>, ve znění Dodatku č.</w:t>
      </w:r>
      <w:r w:rsidR="00ED5CB1">
        <w:t> </w:t>
      </w:r>
      <w:r w:rsidR="004A3154">
        <w:t>1 ze dne 23. srpna 2024</w:t>
      </w:r>
      <w:r w:rsidRPr="009030E1">
        <w:t xml:space="preserve"> </w:t>
      </w:r>
      <w:r w:rsidR="00AF639D">
        <w:t xml:space="preserve">a </w:t>
      </w:r>
      <w:r w:rsidR="00AF639D" w:rsidRPr="00AF639D">
        <w:t xml:space="preserve">Dodatku č. 2 ze dne 24. září 2025 </w:t>
      </w:r>
      <w:r w:rsidRPr="009030E1">
        <w:t>(dále jen „Dohoda</w:t>
      </w:r>
      <w:r w:rsidR="00A9639A">
        <w:t xml:space="preserve"> o </w:t>
      </w:r>
      <w:r w:rsidRPr="009030E1">
        <w:t xml:space="preserve">delegování“) a na základě Schvalovacího protokolu č.j.: </w:t>
      </w:r>
      <w:r w:rsidR="00EF0A6E" w:rsidRPr="00EF0A6E">
        <w:t>MD-599</w:t>
      </w:r>
      <w:r w:rsidR="00EF0A6E">
        <w:t>40</w:t>
      </w:r>
      <w:r w:rsidR="00EF0A6E" w:rsidRPr="00EF0A6E">
        <w:t>/2025-430/1</w:t>
      </w:r>
      <w:r w:rsidRPr="009030E1">
        <w:t xml:space="preserve"> ze dne </w:t>
      </w:r>
      <w:r w:rsidR="003534F1">
        <w:t>5</w:t>
      </w:r>
      <w:r w:rsidR="00EF0A6E">
        <w:t>. listopadu 2025</w:t>
      </w:r>
      <w:r w:rsidRPr="009030E1">
        <w:t xml:space="preserve"> vydaného Řídicím orgánem a</w:t>
      </w:r>
      <w:r w:rsidR="006357BF">
        <w:t> </w:t>
      </w:r>
      <w:r w:rsidRPr="009030E1">
        <w:t>Specifikace ke Schvalovacímu protokolu č.j.</w:t>
      </w:r>
      <w:r w:rsidR="00EF0A6E" w:rsidRPr="00EF0A6E">
        <w:t xml:space="preserve"> MD-59938/2025-430/1</w:t>
      </w:r>
      <w:r w:rsidRPr="009030E1">
        <w:t xml:space="preserve"> ze dne</w:t>
      </w:r>
      <w:r w:rsidR="00135293">
        <w:t xml:space="preserve"> 12. listopadu 2025</w:t>
      </w:r>
    </w:p>
    <w:p w14:paraId="7AD21344" w14:textId="2491C9E6" w:rsidR="00F00A6F" w:rsidRDefault="00F00A6F" w:rsidP="00F00A6F">
      <w:pPr>
        <w:pStyle w:val="Zvraznn"/>
      </w:pPr>
      <w:r w:rsidRPr="009030E1">
        <w:t>tuto Rámcovou smlouvu</w:t>
      </w:r>
      <w:r w:rsidR="00A9639A">
        <w:t xml:space="preserve"> o </w:t>
      </w:r>
      <w:r w:rsidRPr="009030E1">
        <w:t>financování projektu spolufinancovaného</w:t>
      </w:r>
      <w:r w:rsidR="00A9639A">
        <w:t xml:space="preserve"> z </w:t>
      </w:r>
      <w:r w:rsidRPr="009030E1">
        <w:t>fondů EU</w:t>
      </w:r>
      <w:r w:rsidR="00A9639A">
        <w:t xml:space="preserve"> v </w:t>
      </w:r>
      <w:r w:rsidRPr="009030E1">
        <w:t xml:space="preserve">rámci </w:t>
      </w:r>
      <w:r>
        <w:t>P</w:t>
      </w:r>
      <w:r w:rsidRPr="009030E1">
        <w:t>rogramu Doprava 2021–2027,</w:t>
      </w:r>
      <w:r w:rsidR="00A9639A">
        <w:t xml:space="preserve"> z </w:t>
      </w:r>
      <w:r w:rsidRPr="009030E1">
        <w:t>rozpočtu Státního fondu dopravní infrastruktury (dále jen „Smlouva“):</w:t>
      </w:r>
    </w:p>
    <w:p w14:paraId="683A2205" w14:textId="77777777" w:rsidR="00F00A6F" w:rsidRDefault="00F00A6F" w:rsidP="007D780F">
      <w:pPr>
        <w:pStyle w:val="lnku"/>
      </w:pPr>
    </w:p>
    <w:p w14:paraId="1937FFA6" w14:textId="77777777" w:rsidR="00F00A6F" w:rsidRDefault="00F00A6F" w:rsidP="00F00A6F">
      <w:pPr>
        <w:pStyle w:val="Nzevlnku"/>
      </w:pPr>
      <w:r>
        <w:t>Účel Smlouvy</w:t>
      </w:r>
    </w:p>
    <w:p w14:paraId="14573104" w14:textId="77777777" w:rsidR="00F00A6F" w:rsidRPr="009030E1" w:rsidRDefault="00F00A6F" w:rsidP="00F00A6F">
      <w:r w:rsidRPr="009030E1">
        <w:t>Účelem této Smlouvy je:</w:t>
      </w:r>
    </w:p>
    <w:p w14:paraId="70001249" w14:textId="15FBD728" w:rsidR="00F00A6F" w:rsidRPr="00382EF0" w:rsidRDefault="00F00A6F" w:rsidP="00F00A6F">
      <w:pPr>
        <w:pStyle w:val="Odrky"/>
        <w:ind w:left="1021" w:hanging="341"/>
      </w:pPr>
      <w:r w:rsidRPr="006F107F">
        <w:t>vytvořit podmínky</w:t>
      </w:r>
      <w:r w:rsidR="00A9639A">
        <w:t xml:space="preserve"> k </w:t>
      </w:r>
      <w:r w:rsidRPr="006F107F">
        <w:t>zajištění včasných a plynulých plateb administrovaných prostřednictvím poskytovatele pro projekt</w:t>
      </w:r>
      <w:r w:rsidR="00A9639A">
        <w:t xml:space="preserve"> v </w:t>
      </w:r>
      <w:r w:rsidRPr="006F107F">
        <w:t>sektoru dopravy schválený Řídicím orgánem</w:t>
      </w:r>
      <w:r w:rsidRPr="00382EF0">
        <w:t xml:space="preserve"> ke spolufinancování</w:t>
      </w:r>
      <w:r w:rsidR="00A9639A">
        <w:t xml:space="preserve"> z </w:t>
      </w:r>
      <w:r w:rsidRPr="00382EF0">
        <w:t>Programu Doprava 2021–2027 (dále jen „OPD2021+“)</w:t>
      </w:r>
      <w:r w:rsidR="00A9639A">
        <w:t xml:space="preserve"> v </w:t>
      </w:r>
      <w:r w:rsidRPr="00382EF0">
        <w:t>rozsahu výdajů, které mají být kryty prostředky</w:t>
      </w:r>
      <w:r w:rsidR="00A9639A">
        <w:t xml:space="preserve"> z </w:t>
      </w:r>
      <w:r w:rsidRPr="00382EF0">
        <w:t>fondů Evropské unie a zajistit plnění podmínek, za kterých jsou příspěvky</w:t>
      </w:r>
      <w:r w:rsidR="00A9639A">
        <w:t xml:space="preserve"> z </w:t>
      </w:r>
      <w:r w:rsidRPr="00382EF0">
        <w:t>OPD2021+ pro spolufinancovaný projekt poskytnuty;</w:t>
      </w:r>
    </w:p>
    <w:p w14:paraId="4DCA5E53" w14:textId="418C7771" w:rsidR="00F00A6F" w:rsidRPr="00382EF0" w:rsidRDefault="00F00A6F" w:rsidP="00F00A6F">
      <w:pPr>
        <w:pStyle w:val="Odrky"/>
      </w:pPr>
      <w:r w:rsidRPr="00382EF0">
        <w:t>zajistit provedení ust. §</w:t>
      </w:r>
      <w:r w:rsidR="006357BF">
        <w:t> </w:t>
      </w:r>
      <w:r w:rsidRPr="00382EF0">
        <w:t>2 a §</w:t>
      </w:r>
      <w:r w:rsidR="006357BF">
        <w:t> </w:t>
      </w:r>
      <w:r w:rsidRPr="00382EF0">
        <w:t>3 zákona č.</w:t>
      </w:r>
      <w:r w:rsidR="006357BF">
        <w:t> </w:t>
      </w:r>
      <w:r w:rsidRPr="00382EF0">
        <w:t>104/2000 Sb.;</w:t>
      </w:r>
    </w:p>
    <w:p w14:paraId="67916DE4" w14:textId="77777777" w:rsidR="00F00A6F" w:rsidRPr="00382EF0" w:rsidRDefault="00F00A6F" w:rsidP="00F00A6F">
      <w:pPr>
        <w:pStyle w:val="Odrky"/>
      </w:pPr>
      <w:r w:rsidRPr="00382EF0">
        <w:t>právně a věcně vymezit mezi smluvními stranami podmínky pro výkon kontroly poskytovatele vůči příjemci při realizaci financování dle této Smlouvy;</w:t>
      </w:r>
    </w:p>
    <w:p w14:paraId="5131B891" w14:textId="4FCEE201" w:rsidR="00F00A6F" w:rsidRPr="00382EF0" w:rsidRDefault="00F00A6F" w:rsidP="00F00A6F">
      <w:pPr>
        <w:pStyle w:val="Odrky"/>
      </w:pPr>
      <w:r w:rsidRPr="00382EF0">
        <w:t>realizovat schválený rozpočet poskytovatele ve vztahu</w:t>
      </w:r>
      <w:r w:rsidR="00A9639A">
        <w:t xml:space="preserve"> k </w:t>
      </w:r>
      <w:r w:rsidRPr="00382EF0">
        <w:t>projektu</w:t>
      </w:r>
      <w:r w:rsidR="00A9639A">
        <w:t xml:space="preserve"> v </w:t>
      </w:r>
      <w:r w:rsidRPr="00382EF0">
        <w:t>sektoru dopravy schválenému Řídicím orgánem ke spolufinancování</w:t>
      </w:r>
      <w:r w:rsidR="00A9639A">
        <w:t xml:space="preserve"> v </w:t>
      </w:r>
      <w:r w:rsidRPr="00382EF0">
        <w:t>rámci OPD2021+.</w:t>
      </w:r>
    </w:p>
    <w:p w14:paraId="7B826C5D" w14:textId="77777777" w:rsidR="00F00A6F" w:rsidRDefault="00F00A6F" w:rsidP="007D780F">
      <w:pPr>
        <w:pStyle w:val="lnku"/>
      </w:pPr>
    </w:p>
    <w:p w14:paraId="558415E2" w14:textId="77777777" w:rsidR="00F00A6F" w:rsidRDefault="00F00A6F" w:rsidP="00F00A6F">
      <w:pPr>
        <w:pStyle w:val="Nzevlnku"/>
      </w:pPr>
      <w:r>
        <w:t>Předmět Smlouvy</w:t>
      </w:r>
    </w:p>
    <w:p w14:paraId="474860BC" w14:textId="44CEFFB2" w:rsidR="00F00A6F" w:rsidRDefault="00F00A6F" w:rsidP="00F00A6F">
      <w:r>
        <w:t>Smlouva</w:t>
      </w:r>
      <w:r w:rsidR="00A9639A">
        <w:t xml:space="preserve"> v </w:t>
      </w:r>
      <w:r>
        <w:t>souladu se zákonem č.</w:t>
      </w:r>
      <w:r w:rsidR="006357BF">
        <w:t> </w:t>
      </w:r>
      <w:r>
        <w:t>104/2000 Sb. a Dohodou</w:t>
      </w:r>
      <w:r w:rsidR="00A9639A">
        <w:t xml:space="preserve"> o </w:t>
      </w:r>
      <w:r>
        <w:t>delegování upravuje práva a povinnosti mezi poskytovatelem finančních prostředků a jejich příjemcem:</w:t>
      </w:r>
    </w:p>
    <w:p w14:paraId="3EB3D9C6" w14:textId="02CC8949" w:rsidR="00F00A6F" w:rsidRPr="006F107F" w:rsidRDefault="00F00A6F" w:rsidP="00F00A6F">
      <w:pPr>
        <w:pStyle w:val="Odrky"/>
        <w:ind w:left="1021" w:hanging="341"/>
      </w:pPr>
      <w:r w:rsidRPr="006F107F">
        <w:t>při poskytování finančních prostředků</w:t>
      </w:r>
      <w:r w:rsidR="00A9639A">
        <w:t xml:space="preserve"> k </w:t>
      </w:r>
      <w:r w:rsidRPr="006F107F">
        <w:t>účelu vymezenému touto Smlouvou</w:t>
      </w:r>
      <w:r w:rsidR="00A9639A">
        <w:t xml:space="preserve"> v </w:t>
      </w:r>
      <w:r w:rsidRPr="006F107F">
        <w:t xml:space="preserve">návaznosti na Schvalovací protokol vydaný Řídicím orgánem dne </w:t>
      </w:r>
      <w:r w:rsidR="003534F1">
        <w:t>5</w:t>
      </w:r>
      <w:r w:rsidR="00135293">
        <w:t>. listopadu 2025</w:t>
      </w:r>
      <w:r w:rsidRPr="006F107F">
        <w:t>, č.j</w:t>
      </w:r>
      <w:r w:rsidR="00124CEF">
        <w:t>.:</w:t>
      </w:r>
      <w:r w:rsidRPr="006F107F">
        <w:t xml:space="preserve"> </w:t>
      </w:r>
      <w:r w:rsidR="00135293" w:rsidRPr="00EF0A6E">
        <w:t>MD-59938/2025-430/1</w:t>
      </w:r>
      <w:r w:rsidRPr="006F107F">
        <w:t>, který tvoří Přílohu č.</w:t>
      </w:r>
      <w:r w:rsidR="006357BF">
        <w:t> </w:t>
      </w:r>
      <w:r w:rsidRPr="006F107F">
        <w:t>1 této Smlouvy a je její nedílnou součástí (dále jen „Schvalovací protokol“) a Specifikaci ke Schvalovacímu protokolu č.j.</w:t>
      </w:r>
      <w:r w:rsidR="00135293" w:rsidRPr="00135293">
        <w:t xml:space="preserve"> </w:t>
      </w:r>
      <w:r w:rsidR="00135293" w:rsidRPr="00EF0A6E">
        <w:t>MD-59938/2025-430/1</w:t>
      </w:r>
      <w:r w:rsidRPr="006F107F">
        <w:t xml:space="preserve"> ze dne</w:t>
      </w:r>
      <w:r w:rsidR="00135293">
        <w:t xml:space="preserve"> 12. listopadu 2025</w:t>
      </w:r>
      <w:r w:rsidRPr="006F107F">
        <w:t>, která tvoří Přílohu č.</w:t>
      </w:r>
      <w:r w:rsidR="006357BF">
        <w:t> </w:t>
      </w:r>
      <w:r w:rsidRPr="006F107F">
        <w:t>2 této Smlouvy a je její nedílnou součástí (dále jen „Specifikace“);</w:t>
      </w:r>
    </w:p>
    <w:p w14:paraId="14B653BA" w14:textId="77777777" w:rsidR="00F00A6F" w:rsidRPr="006F107F" w:rsidRDefault="00F00A6F" w:rsidP="00F00A6F">
      <w:pPr>
        <w:pStyle w:val="Odrky"/>
      </w:pPr>
      <w:r w:rsidRPr="006F107F">
        <w:t>při čerpání finančních prostředků;</w:t>
      </w:r>
    </w:p>
    <w:p w14:paraId="31B6D565" w14:textId="57CF33D1" w:rsidR="00F00A6F" w:rsidRPr="006F107F" w:rsidRDefault="00F00A6F" w:rsidP="00F00A6F">
      <w:pPr>
        <w:pStyle w:val="Odrky"/>
      </w:pPr>
      <w:r w:rsidRPr="006F107F">
        <w:t>při kontrolní činnosti poskytovatele vůči příjemci při nakládání</w:t>
      </w:r>
      <w:r w:rsidR="00A9639A">
        <w:t xml:space="preserve"> s </w:t>
      </w:r>
      <w:r w:rsidRPr="006F107F">
        <w:t>poskytnutými finančními prostředky.</w:t>
      </w:r>
    </w:p>
    <w:p w14:paraId="4E2560D4" w14:textId="2F2C38F4" w:rsidR="00F00A6F" w:rsidRDefault="00F00A6F" w:rsidP="00F00A6F">
      <w:r>
        <w:t>Smlouva dále upravuje práva a povinnosti příjemce ve vztahu</w:t>
      </w:r>
      <w:r w:rsidR="00A9639A">
        <w:t xml:space="preserve"> k </w:t>
      </w:r>
      <w:r>
        <w:t>Řídicímu orgánu a případně i</w:t>
      </w:r>
      <w:r w:rsidR="00A9639A">
        <w:t xml:space="preserve"> k </w:t>
      </w:r>
      <w:r>
        <w:t>dalším subjektům</w:t>
      </w:r>
      <w:r w:rsidR="00A9639A">
        <w:t xml:space="preserve"> v </w:t>
      </w:r>
      <w:r>
        <w:t>souvislosti se správou a řízením prostředků OPD2021+, které příjemce obdrží na základě této Smlouvy.</w:t>
      </w:r>
    </w:p>
    <w:p w14:paraId="0B007664" w14:textId="77777777" w:rsidR="00F00A6F" w:rsidRDefault="00F00A6F" w:rsidP="007D780F">
      <w:pPr>
        <w:pStyle w:val="lnku"/>
      </w:pPr>
    </w:p>
    <w:p w14:paraId="2BCA97D9" w14:textId="77777777" w:rsidR="00F00A6F" w:rsidRDefault="00F00A6F" w:rsidP="00F00A6F">
      <w:pPr>
        <w:pStyle w:val="Nzevlnku"/>
      </w:pPr>
      <w:r>
        <w:t>Účel a výše poskytnutí finančních prostředků</w:t>
      </w:r>
    </w:p>
    <w:p w14:paraId="1630182E" w14:textId="77777777" w:rsidR="00F00A6F" w:rsidRDefault="00F00A6F" w:rsidP="007D780F">
      <w:pPr>
        <w:pStyle w:val="st"/>
      </w:pPr>
      <w:r>
        <w:t xml:space="preserve">Specifikace </w:t>
      </w:r>
      <w:r w:rsidRPr="007751B3">
        <w:t>účelu</w:t>
      </w:r>
      <w:r>
        <w:t>:</w:t>
      </w:r>
    </w:p>
    <w:p w14:paraId="4E1C66F7" w14:textId="77777777" w:rsidR="00F00A6F" w:rsidRDefault="00F00A6F" w:rsidP="007D780F">
      <w:pPr>
        <w:pStyle w:val="ABCodstavec"/>
      </w:pPr>
      <w:r w:rsidRPr="009030E1">
        <w:t>Poskytovatel poskytuje na základě této Smlouvy finanční prostředky výlučně na financování dále uvedeného projektu:</w:t>
      </w:r>
    </w:p>
    <w:p w14:paraId="32A6EBCC" w14:textId="36DE045F" w:rsidR="00F00A6F" w:rsidRDefault="00F00A6F" w:rsidP="007751B3">
      <w:pPr>
        <w:pStyle w:val="Odsazen"/>
      </w:pPr>
      <w:r w:rsidRPr="00B47252">
        <w:t>název projektu:</w:t>
      </w:r>
      <w:r>
        <w:t xml:space="preserve"> </w:t>
      </w:r>
      <w:r w:rsidR="00135293" w:rsidRPr="00135293">
        <w:rPr>
          <w:b/>
          <w:bCs/>
        </w:rPr>
        <w:t xml:space="preserve">Modernizace zabezpečovacího zařízení vlečky </w:t>
      </w:r>
      <w:proofErr w:type="spellStart"/>
      <w:r w:rsidR="00135293">
        <w:rPr>
          <w:b/>
          <w:bCs/>
        </w:rPr>
        <w:t>Lenzing</w:t>
      </w:r>
      <w:proofErr w:type="spellEnd"/>
      <w:r w:rsidR="00135293">
        <w:rPr>
          <w:b/>
          <w:bCs/>
        </w:rPr>
        <w:t xml:space="preserve"> Biocel Paskov</w:t>
      </w:r>
    </w:p>
    <w:p w14:paraId="48B0B153" w14:textId="7446B880" w:rsidR="00F00A6F" w:rsidRDefault="00F00A6F" w:rsidP="007751B3">
      <w:pPr>
        <w:pStyle w:val="Odsazen"/>
      </w:pPr>
      <w:r>
        <w:t>registrační</w:t>
      </w:r>
      <w:r w:rsidRPr="001362A0">
        <w:t xml:space="preserve"> číslo projektu</w:t>
      </w:r>
      <w:r w:rsidR="00A9639A">
        <w:t xml:space="preserve"> v </w:t>
      </w:r>
      <w:r w:rsidRPr="001362A0">
        <w:t>MS2021+:</w:t>
      </w:r>
      <w:r>
        <w:t xml:space="preserve"> </w:t>
      </w:r>
      <w:r w:rsidRPr="004A3459">
        <w:rPr>
          <w:b/>
          <w:bCs/>
        </w:rPr>
        <w:t>CZ</w:t>
      </w:r>
      <w:r w:rsidR="00135293" w:rsidRPr="00135293">
        <w:rPr>
          <w:b/>
          <w:bCs/>
        </w:rPr>
        <w:t>.04.01.02/03/24_035/000031</w:t>
      </w:r>
      <w:r w:rsidR="00135293">
        <w:rPr>
          <w:b/>
          <w:bCs/>
        </w:rPr>
        <w:t>6</w:t>
      </w:r>
    </w:p>
    <w:p w14:paraId="3D8F8A2E" w14:textId="482CD26F" w:rsidR="00F00A6F" w:rsidRDefault="00F00A6F" w:rsidP="007751B3">
      <w:pPr>
        <w:pStyle w:val="Odsazen"/>
      </w:pPr>
      <w:r>
        <w:t>opatření</w:t>
      </w:r>
      <w:r w:rsidRPr="004D4318">
        <w:t>:</w:t>
      </w:r>
      <w:r w:rsidR="00DE76CB">
        <w:t xml:space="preserve"> </w:t>
      </w:r>
      <w:r w:rsidR="00135293" w:rsidRPr="00135293">
        <w:rPr>
          <w:b/>
          <w:bCs/>
        </w:rPr>
        <w:t>03 - Infrastruktura pro multimodální dopravu</w:t>
      </w:r>
    </w:p>
    <w:p w14:paraId="46B4D60F" w14:textId="1995353E" w:rsidR="00F00A6F" w:rsidRDefault="00F00A6F" w:rsidP="007751B3">
      <w:pPr>
        <w:pStyle w:val="Odsazen"/>
      </w:pPr>
      <w:r w:rsidRPr="009030E1">
        <w:t>který byl schválen</w:t>
      </w:r>
      <w:r w:rsidR="00A9639A">
        <w:t xml:space="preserve"> k </w:t>
      </w:r>
      <w:r w:rsidRPr="009030E1">
        <w:t>financování</w:t>
      </w:r>
      <w:r w:rsidR="00A9639A">
        <w:t xml:space="preserve"> v </w:t>
      </w:r>
      <w:r w:rsidRPr="009030E1">
        <w:t>rámci OPD2021+</w:t>
      </w:r>
      <w:r w:rsidR="00A9639A">
        <w:t xml:space="preserve"> v </w:t>
      </w:r>
      <w:r w:rsidRPr="009030E1">
        <w:t>souladu</w:t>
      </w:r>
      <w:r w:rsidR="00A9639A">
        <w:t xml:space="preserve"> s </w:t>
      </w:r>
      <w:r w:rsidRPr="009030E1">
        <w:t>žádostí</w:t>
      </w:r>
      <w:r w:rsidR="00A9639A">
        <w:t xml:space="preserve"> o </w:t>
      </w:r>
      <w:r w:rsidRPr="009030E1">
        <w:t>podporu</w:t>
      </w:r>
      <w:r w:rsidR="00A9639A">
        <w:t xml:space="preserve"> z </w:t>
      </w:r>
      <w:r w:rsidRPr="009030E1">
        <w:t>fondů Evropské unie</w:t>
      </w:r>
      <w:r w:rsidR="00A9639A">
        <w:t xml:space="preserve"> v </w:t>
      </w:r>
      <w:r w:rsidRPr="009030E1">
        <w:t>rámci OPD2021+ (dále jen „žádost</w:t>
      </w:r>
      <w:r w:rsidR="00A9639A">
        <w:t xml:space="preserve"> o </w:t>
      </w:r>
      <w:r w:rsidRPr="009030E1">
        <w:t>podporu“) a</w:t>
      </w:r>
      <w:r w:rsidR="006357BF">
        <w:t> </w:t>
      </w:r>
      <w:r w:rsidR="00A9639A">
        <w:t>s </w:t>
      </w:r>
      <w:r w:rsidRPr="009030E1">
        <w:t>případnými doplňujícími podmínkami uvedenými ve Schvalovacím protokolu a</w:t>
      </w:r>
      <w:r w:rsidR="006357BF">
        <w:t> </w:t>
      </w:r>
      <w:r w:rsidRPr="009030E1">
        <w:t>ve Specifikaci (dále jen „Projekt“).</w:t>
      </w:r>
    </w:p>
    <w:p w14:paraId="2284E501" w14:textId="45692B53" w:rsidR="00F00A6F" w:rsidRDefault="00F00A6F" w:rsidP="007D780F">
      <w:pPr>
        <w:pStyle w:val="ABCodstavec"/>
      </w:pPr>
      <w:r w:rsidRPr="009030E1">
        <w:t>Finanční prostředky jsou poskytovány příjemci na Projekt na základě této Smlouvy</w:t>
      </w:r>
      <w:r w:rsidR="00A9639A">
        <w:t xml:space="preserve"> v </w:t>
      </w:r>
      <w:r w:rsidRPr="009030E1">
        <w:t>návaznosti na Schvalovací protokol,</w:t>
      </w:r>
      <w:r w:rsidR="00A9639A">
        <w:t xml:space="preserve"> v </w:t>
      </w:r>
      <w:r w:rsidRPr="009030E1">
        <w:t>souladu</w:t>
      </w:r>
      <w:r w:rsidR="00A9639A">
        <w:t xml:space="preserve"> s </w:t>
      </w:r>
      <w:r w:rsidRPr="009030E1">
        <w:t>rozpočtem poskytovatele schváleným vždy pro příslušný rok realizace Projektu.</w:t>
      </w:r>
    </w:p>
    <w:p w14:paraId="5F520BE3" w14:textId="77777777" w:rsidR="00F00A6F" w:rsidRDefault="00F00A6F" w:rsidP="007D780F">
      <w:pPr>
        <w:pStyle w:val="st"/>
      </w:pPr>
      <w:r w:rsidRPr="007751B3">
        <w:t>Specifikace</w:t>
      </w:r>
      <w:r>
        <w:t xml:space="preserve"> výše poskytovaných prostředků:</w:t>
      </w:r>
    </w:p>
    <w:p w14:paraId="699EE9F7" w14:textId="1A88C5FF" w:rsidR="00F00A6F" w:rsidRDefault="00F00A6F" w:rsidP="007D780F">
      <w:pPr>
        <w:pStyle w:val="ABCodstavec"/>
      </w:pPr>
      <w:r w:rsidRPr="009030E1">
        <w:t>Poskytovatel poskytne na základě této Smlouvy příjemci</w:t>
      </w:r>
      <w:r w:rsidR="00A9639A">
        <w:t xml:space="preserve"> k </w:t>
      </w:r>
      <w:r w:rsidRPr="009030E1">
        <w:t>financování Projektu specifikovaného</w:t>
      </w:r>
      <w:r w:rsidR="00A9639A">
        <w:t xml:space="preserve"> v </w:t>
      </w:r>
      <w:r w:rsidRPr="009030E1">
        <w:t xml:space="preserve">odst. </w:t>
      </w:r>
      <w:r>
        <w:t>4.</w:t>
      </w:r>
      <w:r w:rsidRPr="009030E1">
        <w:t>A.1. po celou dobu jeho realizace (tj. od skutečného data zahájení realizace Projektu uvedeného ve Schvalovacím protokolu do ukončení financování Projektu) ze svého rozpočtu finanční prostředky</w:t>
      </w:r>
      <w:r w:rsidR="00A9639A">
        <w:t xml:space="preserve"> v </w:t>
      </w:r>
      <w:r w:rsidRPr="009030E1">
        <w:t>rozsahu potřebném pro financování Projektu maximálně do výše:</w:t>
      </w:r>
    </w:p>
    <w:p w14:paraId="10829528" w14:textId="53E07952" w:rsidR="00F00A6F" w:rsidRPr="00681A85" w:rsidRDefault="00135293" w:rsidP="00F00A6F">
      <w:pPr>
        <w:pStyle w:val="Odsazen"/>
        <w:jc w:val="center"/>
        <w:rPr>
          <w:b/>
          <w:bCs/>
        </w:rPr>
      </w:pPr>
      <w:r>
        <w:rPr>
          <w:b/>
          <w:bCs/>
        </w:rPr>
        <w:t>56 709 131,29</w:t>
      </w:r>
      <w:r w:rsidR="00F00A6F">
        <w:rPr>
          <w:b/>
          <w:bCs/>
        </w:rPr>
        <w:t> </w:t>
      </w:r>
      <w:r w:rsidR="00F00A6F" w:rsidRPr="00681A85">
        <w:rPr>
          <w:b/>
          <w:bCs/>
        </w:rPr>
        <w:t>Kč</w:t>
      </w:r>
    </w:p>
    <w:p w14:paraId="7CA0CCA2" w14:textId="12975AC8" w:rsidR="00F00A6F" w:rsidRDefault="00F00A6F" w:rsidP="00F00A6F">
      <w:pPr>
        <w:pStyle w:val="Odsazen"/>
        <w:jc w:val="center"/>
        <w:rPr>
          <w:b/>
          <w:bCs/>
        </w:rPr>
      </w:pPr>
      <w:r w:rsidRPr="00681A85">
        <w:rPr>
          <w:b/>
          <w:bCs/>
        </w:rPr>
        <w:t>(slovy:</w:t>
      </w:r>
      <w:r>
        <w:rPr>
          <w:b/>
          <w:bCs/>
        </w:rPr>
        <w:t xml:space="preserve"> </w:t>
      </w:r>
      <w:r w:rsidR="00135293">
        <w:rPr>
          <w:b/>
          <w:bCs/>
        </w:rPr>
        <w:t>padesát šest milionů</w:t>
      </w:r>
      <w:r>
        <w:rPr>
          <w:b/>
          <w:bCs/>
        </w:rPr>
        <w:t xml:space="preserve"> </w:t>
      </w:r>
      <w:r w:rsidR="00135293">
        <w:rPr>
          <w:b/>
          <w:bCs/>
        </w:rPr>
        <w:t xml:space="preserve">sedm set devět tisíc jedno sto třicet jedna </w:t>
      </w:r>
      <w:r>
        <w:rPr>
          <w:b/>
          <w:bCs/>
        </w:rPr>
        <w:t>korun českých</w:t>
      </w:r>
      <w:r w:rsidR="00135293">
        <w:rPr>
          <w:b/>
          <w:bCs/>
        </w:rPr>
        <w:t xml:space="preserve"> dvacet devět haléřů</w:t>
      </w:r>
      <w:r w:rsidRPr="00681A85">
        <w:rPr>
          <w:b/>
          <w:bCs/>
        </w:rPr>
        <w:t>)</w:t>
      </w:r>
    </w:p>
    <w:p w14:paraId="3FD77064" w14:textId="06B89FF9" w:rsidR="00F00A6F" w:rsidRPr="009030E1" w:rsidRDefault="00F00A6F" w:rsidP="00F00A6F">
      <w:pPr>
        <w:pStyle w:val="Odsazen"/>
        <w:rPr>
          <w:b/>
          <w:bCs/>
        </w:rPr>
      </w:pPr>
      <w:r w:rsidRPr="009030E1">
        <w:rPr>
          <w:b/>
          <w:bCs/>
        </w:rPr>
        <w:t>určené na předfinancování způsobilých výdajů Projektu, které mají být kryty schváleným příspěvkem</w:t>
      </w:r>
      <w:r w:rsidR="00A9639A">
        <w:rPr>
          <w:b/>
          <w:bCs/>
        </w:rPr>
        <w:t xml:space="preserve"> z </w:t>
      </w:r>
      <w:r w:rsidRPr="009030E1">
        <w:rPr>
          <w:b/>
          <w:bCs/>
        </w:rPr>
        <w:t>fondů Evropské unie, což představuje</w:t>
      </w:r>
    </w:p>
    <w:p w14:paraId="46FF8AD0" w14:textId="7A0D9536" w:rsidR="00F00A6F" w:rsidRPr="009030E1" w:rsidRDefault="00F00A6F" w:rsidP="00F00A6F">
      <w:pPr>
        <w:pStyle w:val="Odsazen"/>
      </w:pPr>
      <w:r w:rsidRPr="009030E1">
        <w:t xml:space="preserve">podíl na financování (míra podpory) </w:t>
      </w:r>
      <w:r w:rsidR="00135293">
        <w:t>49,00</w:t>
      </w:r>
      <w:r w:rsidR="006357BF">
        <w:t> </w:t>
      </w:r>
      <w:r w:rsidRPr="009030E1">
        <w:t>% ve vztahu ke způsobilým výdajům Projektu.</w:t>
      </w:r>
    </w:p>
    <w:p w14:paraId="547D2946" w14:textId="3BA9D3D6" w:rsidR="00F00A6F" w:rsidRPr="009030E1" w:rsidRDefault="00F00A6F" w:rsidP="00F00A6F">
      <w:pPr>
        <w:pStyle w:val="Odsazen"/>
      </w:pPr>
      <w:r w:rsidRPr="009030E1">
        <w:t xml:space="preserve">Úhradu národního podílu na financování Projektu ve výši </w:t>
      </w:r>
      <w:r w:rsidR="00135293">
        <w:t>51,00</w:t>
      </w:r>
      <w:r w:rsidR="006357BF">
        <w:t> </w:t>
      </w:r>
      <w:r w:rsidRPr="009030E1">
        <w:t>% ve vztahu ke způsobilým výdajům Projektu, tj. minimálně</w:t>
      </w:r>
      <w:r>
        <w:rPr>
          <w:rStyle w:val="Znakapoznpodarou"/>
          <w:rFonts w:eastAsiaTheme="majorEastAsia"/>
        </w:rPr>
        <w:footnoteReference w:id="1"/>
      </w:r>
      <w:r w:rsidRPr="009030E1">
        <w:t xml:space="preserve"> </w:t>
      </w:r>
      <w:r w:rsidR="007928BF">
        <w:t>59 023 789,71</w:t>
      </w:r>
      <w:r w:rsidRPr="009030E1">
        <w:t xml:space="preserve"> Kč i úhradu nezpůsobilých výdajů Projektu je příjemce povinen zajistit</w:t>
      </w:r>
      <w:r w:rsidR="00A9639A">
        <w:t xml:space="preserve"> z </w:t>
      </w:r>
      <w:r w:rsidRPr="009030E1">
        <w:t>vlastních (jiných) zdrojů. Pokud výdaje Projektu, které mají být kryty schváleným příspěvkem</w:t>
      </w:r>
      <w:r w:rsidR="00A9639A">
        <w:t xml:space="preserve"> z </w:t>
      </w:r>
      <w:r w:rsidRPr="009030E1">
        <w:t>fondů Evropské unie, nebudou proplaceny</w:t>
      </w:r>
      <w:r w:rsidR="00A9639A">
        <w:t xml:space="preserve"> z </w:t>
      </w:r>
      <w:r w:rsidRPr="009030E1">
        <w:t>prostředků Evropské unie</w:t>
      </w:r>
      <w:r w:rsidR="00A9639A">
        <w:t xml:space="preserve"> v </w:t>
      </w:r>
      <w:r w:rsidRPr="009030E1">
        <w:t xml:space="preserve">plné </w:t>
      </w:r>
      <w:r w:rsidRPr="009030E1">
        <w:lastRenderedPageBreak/>
        <w:t>výši, je příjemce povinen zajistit dofinancování Projektu</w:t>
      </w:r>
      <w:r w:rsidR="00A9639A">
        <w:t xml:space="preserve"> z </w:t>
      </w:r>
      <w:r w:rsidRPr="009030E1">
        <w:t>vlastních (jiných) zdrojů.</w:t>
      </w:r>
    </w:p>
    <w:p w14:paraId="60A548DB" w14:textId="5E86FA61" w:rsidR="00F00A6F" w:rsidRDefault="00F00A6F" w:rsidP="007D780F">
      <w:pPr>
        <w:pStyle w:val="ABCodstavec"/>
      </w:pPr>
      <w:r w:rsidRPr="009030E1">
        <w:t xml:space="preserve">V roce </w:t>
      </w:r>
      <w:r w:rsidR="007928BF">
        <w:t>202</w:t>
      </w:r>
      <w:r w:rsidR="003D4AFC">
        <w:t>5</w:t>
      </w:r>
      <w:r w:rsidRPr="009030E1">
        <w:t xml:space="preserve"> poskytne poskytovatel</w:t>
      </w:r>
      <w:r w:rsidR="00A9639A">
        <w:t xml:space="preserve"> v </w:t>
      </w:r>
      <w:r w:rsidRPr="009030E1">
        <w:t xml:space="preserve">souladu se svým rozpočtem pro rok </w:t>
      </w:r>
      <w:r w:rsidR="007928BF">
        <w:t>202</w:t>
      </w:r>
      <w:r w:rsidR="003D4AFC">
        <w:t>5</w:t>
      </w:r>
      <w:r w:rsidRPr="009030E1">
        <w:t xml:space="preserve"> příjemci</w:t>
      </w:r>
      <w:r w:rsidR="00A9639A">
        <w:t xml:space="preserve"> k </w:t>
      </w:r>
      <w:r w:rsidRPr="009030E1">
        <w:t>financování Projektu specifikovaného</w:t>
      </w:r>
      <w:r w:rsidR="00A9639A">
        <w:t xml:space="preserve"> v </w:t>
      </w:r>
      <w:r w:rsidRPr="009030E1">
        <w:t xml:space="preserve">odst. </w:t>
      </w:r>
      <w:r>
        <w:t>4.</w:t>
      </w:r>
      <w:r w:rsidRPr="009030E1">
        <w:t>A.1. finanční prostředky</w:t>
      </w:r>
      <w:r w:rsidR="00A9639A">
        <w:t xml:space="preserve"> k </w:t>
      </w:r>
      <w:r w:rsidRPr="009030E1">
        <w:t>financování způsobilých výdajů Projektu, které mají být kryty schváleným příspěvkem</w:t>
      </w:r>
      <w:r w:rsidR="00A9639A">
        <w:t xml:space="preserve"> z </w:t>
      </w:r>
      <w:r w:rsidRPr="009030E1">
        <w:t xml:space="preserve">fondů Evropské unie, maximálně do výše: </w:t>
      </w:r>
      <w:r w:rsidR="007928BF">
        <w:rPr>
          <w:b/>
          <w:bCs/>
        </w:rPr>
        <w:t>0</w:t>
      </w:r>
      <w:r>
        <w:rPr>
          <w:b/>
          <w:bCs/>
        </w:rPr>
        <w:t> </w:t>
      </w:r>
      <w:r w:rsidRPr="009030E1">
        <w:rPr>
          <w:b/>
          <w:bCs/>
        </w:rPr>
        <w:t xml:space="preserve">Kč (slovy: </w:t>
      </w:r>
      <w:r w:rsidR="007928BF">
        <w:rPr>
          <w:b/>
          <w:bCs/>
        </w:rPr>
        <w:t>nula</w:t>
      </w:r>
      <w:r w:rsidRPr="009030E1">
        <w:rPr>
          <w:b/>
          <w:bCs/>
        </w:rPr>
        <w:t xml:space="preserve"> korun českých)</w:t>
      </w:r>
      <w:r w:rsidRPr="009030E1">
        <w:t>.</w:t>
      </w:r>
    </w:p>
    <w:p w14:paraId="3FE8DF03" w14:textId="77777777" w:rsidR="00F00A6F" w:rsidRPr="009030E1" w:rsidRDefault="00F00A6F" w:rsidP="007D780F">
      <w:pPr>
        <w:pStyle w:val="ABCodstavec"/>
      </w:pPr>
      <w:r w:rsidRPr="009030E1">
        <w:t>Pro účely financování Projektu dle této Smlouvy se výdaje Projektu člení na:</w:t>
      </w:r>
    </w:p>
    <w:p w14:paraId="63C04DAE" w14:textId="53FA2B2E" w:rsidR="00F00A6F" w:rsidRPr="00283F6C" w:rsidRDefault="00F00A6F" w:rsidP="00F00A6F">
      <w:pPr>
        <w:pStyle w:val="Odrky"/>
        <w:ind w:left="1021" w:hanging="341"/>
      </w:pPr>
      <w:r w:rsidRPr="00283F6C">
        <w:rPr>
          <w:b/>
          <w:bCs/>
        </w:rPr>
        <w:t>způsobilé výdaje</w:t>
      </w:r>
      <w:r w:rsidRPr="00283F6C">
        <w:t>, tj. výdaje přímo a výhradně spojené</w:t>
      </w:r>
      <w:r w:rsidR="00A9639A">
        <w:t xml:space="preserve"> s </w:t>
      </w:r>
      <w:r w:rsidRPr="00283F6C">
        <w:t>realizací Projektu, které jsou vynaložené na stanovený účel a</w:t>
      </w:r>
      <w:r w:rsidR="00A9639A">
        <w:t xml:space="preserve"> v </w:t>
      </w:r>
      <w:r w:rsidRPr="00283F6C">
        <w:t>rámci období stanoveného Schvalovacím protokolem, jsou přiměřené (jejich výše odpovídá cenám</w:t>
      </w:r>
      <w:r w:rsidR="00A9639A">
        <w:t xml:space="preserve"> v </w:t>
      </w:r>
      <w:r w:rsidRPr="00283F6C">
        <w:t>místě a čase obvyklým) a jsou vynaloženy</w:t>
      </w:r>
      <w:r w:rsidR="00A9639A">
        <w:t xml:space="preserve"> v </w:t>
      </w:r>
      <w:r w:rsidRPr="00283F6C">
        <w:t>souladu</w:t>
      </w:r>
      <w:r w:rsidR="00A9639A">
        <w:t xml:space="preserve"> s </w:t>
      </w:r>
      <w:r w:rsidRPr="00283F6C">
        <w:t>3E (dle §</w:t>
      </w:r>
      <w:r w:rsidR="006357BF">
        <w:t> </w:t>
      </w:r>
      <w:r w:rsidRPr="00283F6C">
        <w:t>2 zákona č.</w:t>
      </w:r>
      <w:r w:rsidR="006357BF">
        <w:t> </w:t>
      </w:r>
      <w:r w:rsidRPr="00283F6C">
        <w:t>320/2001 Sb.,</w:t>
      </w:r>
      <w:r w:rsidR="00A9639A">
        <w:t xml:space="preserve"> o </w:t>
      </w:r>
      <w:r w:rsidRPr="00283F6C">
        <w:t>finanční kontrole), jsou identifikovatelné, prokazatelné a doložitelné, jsou</w:t>
      </w:r>
      <w:r w:rsidR="00A9639A">
        <w:t xml:space="preserve"> v </w:t>
      </w:r>
      <w:r w:rsidRPr="00283F6C">
        <w:t>souladu</w:t>
      </w:r>
      <w:r w:rsidR="00A9639A">
        <w:t xml:space="preserve"> s </w:t>
      </w:r>
      <w:r w:rsidRPr="00283F6C">
        <w:t>právními předpisy České republiky a</w:t>
      </w:r>
      <w:r w:rsidR="00A9639A">
        <w:t xml:space="preserve"> s </w:t>
      </w:r>
      <w:r w:rsidRPr="00283F6C">
        <w:t>příslušnými předpisy Evropské unie, příslušným metodickým pokynem Národního orgánu pro koordinaci (Metodický pokyn pro způsobilost výdajů a jejich vykazování</w:t>
      </w:r>
      <w:r w:rsidR="00A9639A">
        <w:t xml:space="preserve"> v </w:t>
      </w:r>
      <w:r w:rsidRPr="00283F6C">
        <w:t>programovém období 2021–2027) a dalšími pravidly stanovenými</w:t>
      </w:r>
      <w:r w:rsidR="00A9639A">
        <w:t xml:space="preserve"> v </w:t>
      </w:r>
      <w:r w:rsidRPr="00283F6C">
        <w:t>metodických pokynech Řídicího orgánu, zejména</w:t>
      </w:r>
      <w:r w:rsidR="00A9639A">
        <w:t xml:space="preserve"> s </w:t>
      </w:r>
      <w:r w:rsidRPr="00283F6C">
        <w:t xml:space="preserve">platnými Pravidly pro žadatele a příjemce Program Doprava 2021-2027 (dále jen „Pravidla pro žadatele a příjemce OPD2021+“) zveřejňovanými na </w:t>
      </w:r>
      <w:hyperlink r:id="rId10" w:history="1">
        <w:r w:rsidR="007C197A" w:rsidRPr="005F6718">
          <w:rPr>
            <w:rStyle w:val="Hypertextovodkaz"/>
            <w:rFonts w:ascii="Verdana" w:hAnsi="Verdana" w:cs="Times New Roman"/>
            <w:szCs w:val="24"/>
          </w:rPr>
          <w:t>https://opd3.opd.cz/</w:t>
        </w:r>
      </w:hyperlink>
      <w:r w:rsidRPr="00283F6C">
        <w:t xml:space="preserve"> a specifikovanými ve Výzvě</w:t>
      </w:r>
      <w:r w:rsidR="00A9639A">
        <w:t xml:space="preserve"> k </w:t>
      </w:r>
      <w:r w:rsidRPr="00283F6C">
        <w:t>předkládání žádostí</w:t>
      </w:r>
      <w:r w:rsidR="00A9639A">
        <w:t xml:space="preserve"> o </w:t>
      </w:r>
      <w:r w:rsidRPr="00283F6C">
        <w:t>podporu a</w:t>
      </w:r>
      <w:r w:rsidR="00A9639A">
        <w:t xml:space="preserve"> v </w:t>
      </w:r>
      <w:r w:rsidRPr="00283F6C">
        <w:t>souvisejících dokumentech (dále jen „Výzva“);</w:t>
      </w:r>
    </w:p>
    <w:p w14:paraId="6370F303" w14:textId="503BDE08" w:rsidR="00F00A6F" w:rsidRPr="00283F6C" w:rsidRDefault="00F00A6F" w:rsidP="00F00A6F">
      <w:pPr>
        <w:pStyle w:val="Odrky"/>
      </w:pPr>
      <w:r w:rsidRPr="00283F6C">
        <w:rPr>
          <w:b/>
          <w:bCs/>
        </w:rPr>
        <w:t>nezpůsobilé výdaje</w:t>
      </w:r>
      <w:r w:rsidRPr="00283F6C">
        <w:t>, tj. výdaje Projektu, které nemohou být spolufinancovány</w:t>
      </w:r>
      <w:r w:rsidR="00A9639A">
        <w:t xml:space="preserve"> z </w:t>
      </w:r>
      <w:r w:rsidRPr="00283F6C">
        <w:t>příspěvku</w:t>
      </w:r>
      <w:r w:rsidR="00A9639A">
        <w:t xml:space="preserve"> z </w:t>
      </w:r>
      <w:r w:rsidRPr="00283F6C">
        <w:t>Evropských fondů ve specifikaci uvedené</w:t>
      </w:r>
      <w:r w:rsidR="00A9639A">
        <w:t xml:space="preserve"> v </w:t>
      </w:r>
      <w:r w:rsidRPr="00283F6C">
        <w:t>Pravidlech pro žadatele a příjemce OPD2021+, ve Výzvě a ve finančním rozpočtu Projektu, který tvoří přílohu žádosti</w:t>
      </w:r>
      <w:r w:rsidR="00A9639A">
        <w:t xml:space="preserve"> o </w:t>
      </w:r>
      <w:r w:rsidRPr="00283F6C">
        <w:t>podporu.</w:t>
      </w:r>
    </w:p>
    <w:p w14:paraId="7F279C05" w14:textId="6A0B3F75" w:rsidR="00F00A6F" w:rsidRDefault="00F00A6F" w:rsidP="007D780F">
      <w:pPr>
        <w:pStyle w:val="ABCodstavec"/>
      </w:pPr>
      <w:r w:rsidRPr="009030E1">
        <w:t>Poskytování finančních prostředků</w:t>
      </w:r>
      <w:r w:rsidR="00A9639A">
        <w:t xml:space="preserve"> z </w:t>
      </w:r>
      <w:r w:rsidRPr="009030E1">
        <w:t>rozpočtu poskytovatele pro financování Projektu upravené touto Smlouvou bude</w:t>
      </w:r>
      <w:r w:rsidR="00A9639A">
        <w:t xml:space="preserve"> v </w:t>
      </w:r>
      <w:r w:rsidRPr="009030E1">
        <w:t>jednotlivých letech jeho realizace upraveno dodatkem</w:t>
      </w:r>
      <w:r w:rsidR="00A9639A">
        <w:t xml:space="preserve"> k </w:t>
      </w:r>
      <w:r w:rsidRPr="009030E1">
        <w:t>této Smlouvě</w:t>
      </w:r>
      <w:r w:rsidR="00A9639A">
        <w:t xml:space="preserve"> v </w:t>
      </w:r>
      <w:r w:rsidRPr="009030E1">
        <w:t>souladu</w:t>
      </w:r>
      <w:r w:rsidR="00A9639A">
        <w:t xml:space="preserve"> s </w:t>
      </w:r>
      <w:r w:rsidRPr="009030E1">
        <w:t>rozpočtem poskytovatele schváleným pro příslušný rok realizace Projektu.</w:t>
      </w:r>
      <w:r w:rsidR="00A9639A">
        <w:t xml:space="preserve"> V </w:t>
      </w:r>
      <w:r w:rsidRPr="009030E1">
        <w:t>dodatku bude obsažena specifikace výše finančních prostředků poskytovaných</w:t>
      </w:r>
      <w:r w:rsidR="00A9639A">
        <w:t xml:space="preserve"> v </w:t>
      </w:r>
      <w:r w:rsidRPr="009030E1">
        <w:t>daném roce pro financování Projektu, které mají být kryty schváleným příspěvkem</w:t>
      </w:r>
      <w:r w:rsidR="00A9639A">
        <w:t xml:space="preserve"> z </w:t>
      </w:r>
      <w:r w:rsidRPr="009030E1">
        <w:t>fondů Evropské unie,</w:t>
      </w:r>
      <w:r w:rsidR="00A9639A">
        <w:t xml:space="preserve"> v </w:t>
      </w:r>
      <w:r w:rsidRPr="009030E1">
        <w:t>návaznosti na schválený rozpočet poskytovatele pro daný rozpočtový rok nebo</w:t>
      </w:r>
      <w:r w:rsidR="00A9639A">
        <w:t xml:space="preserve"> v </w:t>
      </w:r>
      <w:r w:rsidRPr="009030E1">
        <w:t>návaznosti na interní rozpočtové opatření (změnové řízení) poskytovatele provedené</w:t>
      </w:r>
      <w:r w:rsidR="00A9639A">
        <w:t xml:space="preserve"> s </w:t>
      </w:r>
      <w:r w:rsidRPr="009030E1">
        <w:t>ohledem na případné změny</w:t>
      </w:r>
      <w:r w:rsidR="00A9639A">
        <w:t xml:space="preserve"> v </w:t>
      </w:r>
      <w:r w:rsidRPr="009030E1">
        <w:t>Projektu nebo</w:t>
      </w:r>
      <w:r w:rsidR="00A9639A">
        <w:t xml:space="preserve"> s </w:t>
      </w:r>
      <w:r w:rsidRPr="009030E1">
        <w:t>ohledem na aktuální finanční potřeby Projektu ve vazbě na vlastní provádění Projektu ve vztahu</w:t>
      </w:r>
      <w:r w:rsidR="00A9639A">
        <w:t xml:space="preserve"> k </w:t>
      </w:r>
      <w:r w:rsidRPr="009030E1">
        <w:t>uzavřeným smlouvám se zhotoviteli Projektu.</w:t>
      </w:r>
      <w:r w:rsidR="00A9639A">
        <w:t xml:space="preserve"> V </w:t>
      </w:r>
      <w:r w:rsidRPr="009030E1">
        <w:t>dodatku budou upraveny i případné další podmínky financování Projektu, jejichž úprava bude aktuální a nezbytná pro financování Projektu.</w:t>
      </w:r>
    </w:p>
    <w:p w14:paraId="2D99552B" w14:textId="77777777" w:rsidR="00F00A6F" w:rsidRDefault="00F00A6F" w:rsidP="007D780F">
      <w:pPr>
        <w:pStyle w:val="lnku"/>
      </w:pPr>
    </w:p>
    <w:p w14:paraId="6E651514" w14:textId="77777777" w:rsidR="00F00A6F" w:rsidRDefault="00F00A6F" w:rsidP="00F00A6F">
      <w:pPr>
        <w:pStyle w:val="Nzevlnku"/>
      </w:pPr>
      <w:r w:rsidRPr="00BF2893">
        <w:t>Harmonogram realizace Projektu</w:t>
      </w:r>
    </w:p>
    <w:p w14:paraId="36E6A4E4" w14:textId="23EECDCD" w:rsidR="00F00A6F" w:rsidRDefault="00F00A6F" w:rsidP="007D780F">
      <w:pPr>
        <w:pStyle w:val="123odstavec"/>
      </w:pPr>
      <w:r>
        <w:t>Financování Projektu dle této Smlouvy bude zajišťováno po celou dobu realizace Projektu, přičemž se dobou realizace Projektu rozumí doba od skutečného data zahájení Projektu do konečného data způsobilosti výdajů realizovaného Projektu, stanoveného</w:t>
      </w:r>
      <w:r w:rsidR="00A9639A">
        <w:t xml:space="preserve"> v </w:t>
      </w:r>
      <w:r>
        <w:t>souladu</w:t>
      </w:r>
      <w:r w:rsidR="00A9639A">
        <w:t xml:space="preserve"> s </w:t>
      </w:r>
      <w:r>
        <w:t>úpravou uvedenou</w:t>
      </w:r>
      <w:r w:rsidR="00A9639A">
        <w:t xml:space="preserve"> v </w:t>
      </w:r>
      <w:r>
        <w:t>Pravidlech pro žadatele a příjemce OPD2021+ a ve Výzvě. Tato data jsou stanovena ve Schvalovacím protokolu.</w:t>
      </w:r>
    </w:p>
    <w:p w14:paraId="495085C9" w14:textId="0162AFA0" w:rsidR="00F00A6F" w:rsidRPr="00BF2893" w:rsidRDefault="00F00A6F" w:rsidP="007D780F">
      <w:pPr>
        <w:pStyle w:val="123odstavec"/>
        <w:rPr>
          <w:sz w:val="22"/>
        </w:rPr>
      </w:pPr>
      <w:r>
        <w:lastRenderedPageBreak/>
        <w:t>Realizace Projektu bude probíhat na základě harmonogramu uvedeného ve Specifikaci. Data</w:t>
      </w:r>
      <w:r w:rsidR="00A9639A">
        <w:t xml:space="preserve"> v </w:t>
      </w:r>
      <w:r>
        <w:t>harmonogramu odpovídají údajům ze schválené žádosti</w:t>
      </w:r>
      <w:r w:rsidR="00A9639A">
        <w:t xml:space="preserve"> o </w:t>
      </w:r>
      <w:r>
        <w:t>podporu. Data harmonogramu mohou být aktualizována bez vydání změnové specifikace pouze</w:t>
      </w:r>
      <w:r w:rsidR="00A9639A">
        <w:t xml:space="preserve"> v </w:t>
      </w:r>
      <w:r>
        <w:t>MS2021+ na základě žádosti</w:t>
      </w:r>
      <w:r w:rsidR="00A9639A">
        <w:t xml:space="preserve"> o </w:t>
      </w:r>
      <w:r>
        <w:t>změnu předloženou příjemcem Řídicímu orgánu prostřednictvím informačního systému konečného příjemce (dále jen „IS KP21+“).</w:t>
      </w:r>
    </w:p>
    <w:p w14:paraId="31294A62" w14:textId="77777777" w:rsidR="00F00A6F" w:rsidRDefault="00F00A6F" w:rsidP="007D780F">
      <w:pPr>
        <w:pStyle w:val="lnku"/>
      </w:pPr>
    </w:p>
    <w:p w14:paraId="18176DB1" w14:textId="77777777" w:rsidR="00F00A6F" w:rsidRDefault="00F00A6F" w:rsidP="00F00A6F">
      <w:pPr>
        <w:pStyle w:val="Nzevlnku"/>
      </w:pPr>
      <w:r w:rsidRPr="00BF2893">
        <w:t>Prohlášení příjemce</w:t>
      </w:r>
    </w:p>
    <w:p w14:paraId="55D7DBD8" w14:textId="77777777" w:rsidR="00F00A6F" w:rsidRDefault="00F00A6F" w:rsidP="00F00A6F">
      <w:r>
        <w:t>Příjemce prohlašuje, že:</w:t>
      </w:r>
    </w:p>
    <w:p w14:paraId="5519BE51" w14:textId="3A774174" w:rsidR="00F00A6F" w:rsidRPr="0027622D" w:rsidRDefault="00F00A6F" w:rsidP="00F00A6F">
      <w:pPr>
        <w:pStyle w:val="Odrky"/>
        <w:ind w:left="1021" w:hanging="341"/>
      </w:pPr>
      <w:r w:rsidRPr="0027622D">
        <w:t>si zřídil a má</w:t>
      </w:r>
      <w:r w:rsidR="00A9639A">
        <w:t xml:space="preserve"> u </w:t>
      </w:r>
      <w:r w:rsidR="00054A9B">
        <w:t xml:space="preserve">Československé obchodní </w:t>
      </w:r>
      <w:r w:rsidR="007928BF">
        <w:t>banky</w:t>
      </w:r>
      <w:r w:rsidR="00054A9B">
        <w:t>, a.</w:t>
      </w:r>
      <w:r w:rsidR="0035400B">
        <w:t xml:space="preserve"> </w:t>
      </w:r>
      <w:r w:rsidR="00054A9B">
        <w:t>s.</w:t>
      </w:r>
      <w:r>
        <w:t xml:space="preserve"> </w:t>
      </w:r>
      <w:r w:rsidRPr="0027622D">
        <w:t xml:space="preserve">otevřen </w:t>
      </w:r>
      <w:r w:rsidRPr="0027622D">
        <w:rPr>
          <w:b/>
          <w:bCs/>
        </w:rPr>
        <w:t>účet č.</w:t>
      </w:r>
      <w:r w:rsidR="00054A9B">
        <w:rPr>
          <w:b/>
          <w:bCs/>
        </w:rPr>
        <w:t> </w:t>
      </w:r>
      <w:r w:rsidR="00954A39">
        <w:rPr>
          <w:b/>
          <w:bCs/>
        </w:rPr>
        <w:t>xxxxxxxxx</w:t>
      </w:r>
      <w:r w:rsidR="007928BF" w:rsidRPr="007928BF">
        <w:rPr>
          <w:b/>
          <w:bCs/>
        </w:rPr>
        <w:t>/</w:t>
      </w:r>
      <w:r w:rsidR="009900AA">
        <w:rPr>
          <w:b/>
          <w:bCs/>
        </w:rPr>
        <w:t>xxxx</w:t>
      </w:r>
      <w:r w:rsidR="007928BF">
        <w:rPr>
          <w:b/>
          <w:bCs/>
        </w:rPr>
        <w:t xml:space="preserve"> </w:t>
      </w:r>
      <w:r w:rsidRPr="0027622D">
        <w:t>vedený</w:t>
      </w:r>
      <w:r w:rsidR="00A9639A">
        <w:t xml:space="preserve"> v </w:t>
      </w:r>
      <w:r w:rsidRPr="0027622D">
        <w:t xml:space="preserve">Kč, </w:t>
      </w:r>
      <w:bookmarkStart w:id="2" w:name="_Hlk184258393"/>
      <w:r w:rsidR="009712E8">
        <w:t xml:space="preserve">na který budou příjemci převáděné prostředky ze SFDI poskytované podle této Smlouvy, </w:t>
      </w:r>
      <w:bookmarkEnd w:id="2"/>
      <w:r w:rsidRPr="0027622D">
        <w:t xml:space="preserve">a </w:t>
      </w:r>
      <w:bookmarkStart w:id="3" w:name="_Hlk184258423"/>
      <w:r w:rsidR="009712E8">
        <w:t xml:space="preserve">v případě kombinovaných plateb </w:t>
      </w:r>
      <w:bookmarkEnd w:id="3"/>
      <w:r w:rsidR="009712E8">
        <w:t>bude</w:t>
      </w:r>
      <w:r w:rsidRPr="0027622D">
        <w:t xml:space="preserve"> veškeré způsobilé výdaje související</w:t>
      </w:r>
      <w:r w:rsidR="00A9639A">
        <w:t xml:space="preserve"> s </w:t>
      </w:r>
      <w:r w:rsidRPr="0027622D">
        <w:t>realizací Projektu financované</w:t>
      </w:r>
      <w:r w:rsidR="00A9639A">
        <w:t xml:space="preserve"> z </w:t>
      </w:r>
      <w:r w:rsidRPr="0027622D">
        <w:t>finančních prostředků poskytnutých podle této Smlouvy i</w:t>
      </w:r>
      <w:r w:rsidR="00A9639A">
        <w:t xml:space="preserve"> z </w:t>
      </w:r>
      <w:r w:rsidRPr="0027622D">
        <w:t>vlastních (jiných) zdrojů výlučně hradit prostřednictvím tohoto účtu</w:t>
      </w:r>
      <w:r w:rsidRPr="00760829">
        <w:rPr>
          <w:rStyle w:val="Znakapoznpodarou"/>
        </w:rPr>
        <w:footnoteReference w:id="2"/>
      </w:r>
      <w:r w:rsidRPr="0027622D">
        <w:t>, pokud nebude dohodnuto jinak;</w:t>
      </w:r>
    </w:p>
    <w:p w14:paraId="57A702E4" w14:textId="12BAD9AD" w:rsidR="00F00A6F" w:rsidRDefault="00F00A6F" w:rsidP="00F00A6F">
      <w:pPr>
        <w:pStyle w:val="Odrky"/>
      </w:pPr>
      <w:r w:rsidRPr="0027622D">
        <w:t>má zajištěné</w:t>
      </w:r>
      <w:r w:rsidR="00A9639A">
        <w:t xml:space="preserve"> z </w:t>
      </w:r>
      <w:r w:rsidRPr="0027622D">
        <w:t>vlastních (jiných) zdrojů finanční prostředky</w:t>
      </w:r>
      <w:r w:rsidR="00A9639A">
        <w:t xml:space="preserve"> k </w:t>
      </w:r>
      <w:r w:rsidRPr="0027622D">
        <w:t>úhradě národního podílu na financování Projektu ve vztahu ke způsobilým výdajům Projektu i na úhradu nezpůsobilých výdajů Projektu.</w:t>
      </w:r>
    </w:p>
    <w:p w14:paraId="3D26BA06" w14:textId="77777777" w:rsidR="00F00A6F" w:rsidRPr="0027622D" w:rsidRDefault="00F00A6F" w:rsidP="00F00A6F">
      <w:pPr>
        <w:pStyle w:val="Odrky"/>
        <w:numPr>
          <w:ilvl w:val="0"/>
          <w:numId w:val="0"/>
        </w:numPr>
        <w:ind w:left="1020"/>
      </w:pPr>
    </w:p>
    <w:p w14:paraId="11BB3FD0" w14:textId="77777777" w:rsidR="00F00A6F" w:rsidRDefault="00F00A6F" w:rsidP="007D780F">
      <w:pPr>
        <w:pStyle w:val="lnku"/>
      </w:pPr>
    </w:p>
    <w:p w14:paraId="578BDAEA" w14:textId="77777777" w:rsidR="00F00A6F" w:rsidRDefault="00F00A6F" w:rsidP="00F00A6F">
      <w:pPr>
        <w:pStyle w:val="Nzevlnku"/>
      </w:pPr>
      <w:r>
        <w:t>Uvolňování finančních prostředků</w:t>
      </w:r>
    </w:p>
    <w:p w14:paraId="2B5A205F" w14:textId="75E1DC70" w:rsidR="00F00A6F" w:rsidRDefault="00F00A6F" w:rsidP="007D780F">
      <w:pPr>
        <w:pStyle w:val="123odstavec"/>
      </w:pPr>
      <w:r w:rsidRPr="009030E1">
        <w:t>Finanční prostředky určené na financování Projektu</w:t>
      </w:r>
      <w:r w:rsidR="00A9639A">
        <w:t xml:space="preserve"> v </w:t>
      </w:r>
      <w:r w:rsidRPr="009030E1">
        <w:t>souladu</w:t>
      </w:r>
      <w:r w:rsidR="00A9639A">
        <w:t xml:space="preserve"> s </w:t>
      </w:r>
      <w:r w:rsidRPr="009030E1">
        <w:t>touto Smlouvou převádí poskytovatel ze svého účtu výhradně na účet příjemce specifikovaný</w:t>
      </w:r>
      <w:r w:rsidR="00A9639A">
        <w:t xml:space="preserve"> v </w:t>
      </w:r>
      <w:r w:rsidRPr="009030E1">
        <w:t>článku 6 této Smlouvy na základě žádosti</w:t>
      </w:r>
      <w:r w:rsidR="00A9639A">
        <w:t xml:space="preserve"> o </w:t>
      </w:r>
      <w:r w:rsidRPr="009030E1">
        <w:t>platbu předloženou příjemcem</w:t>
      </w:r>
      <w:r w:rsidR="00A9639A">
        <w:t xml:space="preserve"> v </w:t>
      </w:r>
      <w:r w:rsidRPr="009030E1">
        <w:t>souladu</w:t>
      </w:r>
      <w:r w:rsidR="00A9639A">
        <w:t xml:space="preserve"> s </w:t>
      </w:r>
      <w:r w:rsidRPr="009030E1">
        <w:t>platným Metodickým pokynem pro finanční toky programů spolufinancovaných</w:t>
      </w:r>
      <w:r w:rsidR="00A9639A">
        <w:t xml:space="preserve"> z </w:t>
      </w:r>
      <w:r w:rsidRPr="009030E1">
        <w:t>Evropského fondu pro regionální rozvoj, Evropského sociálního fondu, Fondu soudržnosti, Fondu pro spravedlivou transformaci a</w:t>
      </w:r>
      <w:r w:rsidR="006357BF">
        <w:t> </w:t>
      </w:r>
      <w:r w:rsidRPr="009030E1">
        <w:t>Evropského námořního, rybářského a akvakulturního fondu 2021–2027 (dále jen „MPFT“) a</w:t>
      </w:r>
      <w:r w:rsidR="00A9639A">
        <w:t xml:space="preserve"> v </w:t>
      </w:r>
      <w:r w:rsidRPr="009030E1">
        <w:t>souladu</w:t>
      </w:r>
      <w:r w:rsidR="00A9639A">
        <w:t xml:space="preserve"> s </w:t>
      </w:r>
      <w:r w:rsidRPr="009030E1">
        <w:t xml:space="preserve">platnými Pravidly pro žadatele a příjemce </w:t>
      </w:r>
      <w:r>
        <w:t xml:space="preserve">OPD2021+ </w:t>
      </w:r>
      <w:r w:rsidRPr="009030E1">
        <w:t>a</w:t>
      </w:r>
      <w:r w:rsidR="006357BF">
        <w:t> </w:t>
      </w:r>
      <w:r w:rsidRPr="009030E1">
        <w:t>Pravidly pro financování z</w:t>
      </w:r>
      <w:r>
        <w:t>e</w:t>
      </w:r>
      <w:r w:rsidRPr="009030E1">
        <w:t xml:space="preserve"> Státního fondu dopravní infrastruktury zveřejněnými na </w:t>
      </w:r>
      <w:hyperlink r:id="rId11" w:history="1">
        <w:r w:rsidR="00675A96" w:rsidRPr="00675A96">
          <w:rPr>
            <w:rStyle w:val="Hypertextovodkaz"/>
          </w:rPr>
          <w:t>sfdi.gov.cz</w:t>
        </w:r>
      </w:hyperlink>
      <w:r w:rsidRPr="009030E1">
        <w:t>, formou ex-post nebo kombinovaných plateb. Žádosti</w:t>
      </w:r>
      <w:r w:rsidR="00A9639A">
        <w:t xml:space="preserve"> o </w:t>
      </w:r>
      <w:r w:rsidRPr="009030E1">
        <w:t>platbu jsou předkládány příjemcem ve lhůtách uvedených ve finančním plánu Projektu. Žádost</w:t>
      </w:r>
      <w:r w:rsidR="00A9639A">
        <w:t xml:space="preserve"> o </w:t>
      </w:r>
      <w:r w:rsidRPr="009030E1">
        <w:t xml:space="preserve">platbu musí být opatřena </w:t>
      </w:r>
      <w:r>
        <w:t>odpovídajícím</w:t>
      </w:r>
      <w:r>
        <w:rPr>
          <w:rStyle w:val="Znakapoznpodarou"/>
        </w:rPr>
        <w:footnoteReference w:id="3"/>
      </w:r>
      <w:r>
        <w:t xml:space="preserve"> </w:t>
      </w:r>
      <w:r w:rsidRPr="009030E1">
        <w:t>elektronickým podpisem osoby oprávněné za příjemce ve věci žádosti</w:t>
      </w:r>
      <w:r w:rsidR="00A9639A">
        <w:t xml:space="preserve"> o </w:t>
      </w:r>
      <w:r w:rsidRPr="009030E1">
        <w:t>platbu jednat a musí být doložena potřebnými podklady. Podklady jsou vloženy do informačního systému IS KP21+ formou elektronických souborů</w:t>
      </w:r>
      <w:r w:rsidR="00A9639A">
        <w:t xml:space="preserve"> k </w:t>
      </w:r>
      <w:r w:rsidRPr="009030E1">
        <w:t>žádosti</w:t>
      </w:r>
      <w:r w:rsidR="00A9639A">
        <w:t xml:space="preserve"> o </w:t>
      </w:r>
      <w:r w:rsidRPr="009030E1">
        <w:t>platbu. Společně</w:t>
      </w:r>
      <w:r w:rsidR="00A9639A">
        <w:t xml:space="preserve"> s </w:t>
      </w:r>
      <w:r w:rsidRPr="009030E1">
        <w:t>každou žádostí</w:t>
      </w:r>
      <w:r w:rsidR="00A9639A">
        <w:t xml:space="preserve"> </w:t>
      </w:r>
      <w:r w:rsidR="00A9639A">
        <w:lastRenderedPageBreak/>
        <w:t>o </w:t>
      </w:r>
      <w:r w:rsidRPr="009030E1">
        <w:t>platbu předkládá příjemce zprávu</w:t>
      </w:r>
      <w:r w:rsidR="00A9639A">
        <w:t xml:space="preserve"> o </w:t>
      </w:r>
      <w:r w:rsidRPr="009030E1">
        <w:t xml:space="preserve">realizaci Projektu prostřednictvím IS KP21+, jejíž schválení Řídicím orgánem je podmínkou pro provedení platby. </w:t>
      </w:r>
      <w:r w:rsidRPr="003C1134">
        <w:t>Závěrečnou žádost</w:t>
      </w:r>
      <w:r w:rsidR="00A9639A">
        <w:t xml:space="preserve"> o </w:t>
      </w:r>
      <w:r w:rsidRPr="003C1134">
        <w:t>platbu je příjemce povinen předložit poskytovateli prostřednictvím IS</w:t>
      </w:r>
      <w:r w:rsidR="006357BF">
        <w:t> </w:t>
      </w:r>
      <w:r w:rsidRPr="003C1134">
        <w:t>KP21+ dle schváleného finančního plánu Projektu a společně</w:t>
      </w:r>
      <w:r w:rsidR="00A9639A">
        <w:t xml:space="preserve"> s </w:t>
      </w:r>
      <w:r>
        <w:t>ní</w:t>
      </w:r>
      <w:r w:rsidRPr="003C1134">
        <w:t xml:space="preserve"> předkládá Závěrečnou zprávu</w:t>
      </w:r>
      <w:r w:rsidR="00A9639A">
        <w:t xml:space="preserve"> o </w:t>
      </w:r>
      <w:r w:rsidRPr="003C1134">
        <w:t>realizaci</w:t>
      </w:r>
      <w:r>
        <w:t xml:space="preserve"> projektu</w:t>
      </w:r>
      <w:r w:rsidRPr="009030E1">
        <w:t>, pokud</w:t>
      </w:r>
      <w:r w:rsidR="00A9639A">
        <w:t xml:space="preserve"> v </w:t>
      </w:r>
      <w:r w:rsidRPr="009030E1">
        <w:t>případě potřeby nebude</w:t>
      </w:r>
      <w:r w:rsidR="00A9639A">
        <w:t xml:space="preserve"> s </w:t>
      </w:r>
      <w:r w:rsidRPr="009030E1">
        <w:t>příjemcem dohodnuto jinak.</w:t>
      </w:r>
    </w:p>
    <w:p w14:paraId="3B989C6D" w14:textId="2273836F" w:rsidR="00F00A6F" w:rsidRDefault="00F00A6F" w:rsidP="007D780F">
      <w:pPr>
        <w:pStyle w:val="123odstavec"/>
      </w:pPr>
      <w:r w:rsidRPr="00A01F1C">
        <w:t>Do doby předložení žádosti</w:t>
      </w:r>
      <w:r w:rsidR="00A9639A">
        <w:t xml:space="preserve"> o </w:t>
      </w:r>
      <w:r w:rsidRPr="00A01F1C">
        <w:t xml:space="preserve">platbu hradí příjemce </w:t>
      </w:r>
      <w:r w:rsidR="00FC51E5">
        <w:t xml:space="preserve">v případě ex-post plateb </w:t>
      </w:r>
      <w:r w:rsidRPr="00A01F1C">
        <w:t>výdaje Projektu</w:t>
      </w:r>
      <w:r w:rsidR="00A9639A">
        <w:t xml:space="preserve"> v </w:t>
      </w:r>
      <w:r w:rsidRPr="00A01F1C">
        <w:t>souladu</w:t>
      </w:r>
      <w:r w:rsidR="00A9639A">
        <w:t xml:space="preserve"> s </w:t>
      </w:r>
      <w:r w:rsidRPr="00A01F1C">
        <w:t>platebními podmínkami sjednanými ve smlouvě se zhotovitelem Projektu</w:t>
      </w:r>
      <w:r w:rsidR="00A9639A">
        <w:t xml:space="preserve"> z </w:t>
      </w:r>
      <w:r w:rsidRPr="00A01F1C">
        <w:t>vlastních (jiných) zdrojů včetně podílu způsobilých výdajů Projektu, které mají být kryty schváleným příspěvkem</w:t>
      </w:r>
      <w:r w:rsidR="00A9639A">
        <w:t xml:space="preserve"> z </w:t>
      </w:r>
      <w:r w:rsidRPr="00A01F1C">
        <w:t>fondu Evropské unie, a</w:t>
      </w:r>
      <w:r w:rsidR="003534F1">
        <w:t> </w:t>
      </w:r>
      <w:r w:rsidRPr="00A01F1C">
        <w:t>které budou</w:t>
      </w:r>
      <w:r w:rsidR="00A9639A">
        <w:t xml:space="preserve"> v </w:t>
      </w:r>
      <w:r w:rsidRPr="00A01F1C">
        <w:t>návaznosti na předloženou žádost</w:t>
      </w:r>
      <w:r w:rsidR="00A9639A">
        <w:t xml:space="preserve"> o </w:t>
      </w:r>
      <w:r w:rsidRPr="00A01F1C">
        <w:t>platbu zpětně proplaceny</w:t>
      </w:r>
      <w:r w:rsidR="00A9639A">
        <w:t xml:space="preserve"> z </w:t>
      </w:r>
      <w:r w:rsidRPr="00A01F1C">
        <w:t>finančních prostředků poskytovaných dle této Smlouvy.</w:t>
      </w:r>
    </w:p>
    <w:p w14:paraId="68B5D91D" w14:textId="762ABA67" w:rsidR="00F00A6F" w:rsidRDefault="00F00A6F" w:rsidP="007D780F">
      <w:pPr>
        <w:pStyle w:val="123odstavec"/>
      </w:pPr>
      <w:r w:rsidRPr="00A01F1C">
        <w:t>Poskytovatel vždy provede kontrolu věcné a finanční správnosti žádosti</w:t>
      </w:r>
      <w:r w:rsidR="00A9639A">
        <w:t xml:space="preserve"> o </w:t>
      </w:r>
      <w:r w:rsidRPr="00A01F1C">
        <w:t>platbu a</w:t>
      </w:r>
      <w:r w:rsidR="006357BF">
        <w:t> </w:t>
      </w:r>
      <w:r w:rsidRPr="00A01F1C">
        <w:t>kontrolu oprávněnosti fakturace. Veškeré faktury a účetní doklady, na základě, kterých se platba bude realizovat, musí být dodavatelem označeny názvem Projektu a jeho číslem uvedeným</w:t>
      </w:r>
      <w:r w:rsidR="00A9639A">
        <w:t xml:space="preserve"> v </w:t>
      </w:r>
      <w:r w:rsidRPr="00A01F1C">
        <w:t>MS2021+.</w:t>
      </w:r>
      <w:r w:rsidR="00A9639A">
        <w:t xml:space="preserve"> V </w:t>
      </w:r>
      <w:r w:rsidRPr="00A01F1C">
        <w:t>odůvodněných případech je příjemci umožněno, aby doklady označil názvem a číslem Projektu sám před jejich uplatněním</w:t>
      </w:r>
      <w:r w:rsidR="00A9639A">
        <w:t xml:space="preserve"> v </w:t>
      </w:r>
      <w:r w:rsidRPr="00A01F1C">
        <w:t>žádosti</w:t>
      </w:r>
      <w:r w:rsidR="00A9639A">
        <w:t xml:space="preserve"> o </w:t>
      </w:r>
      <w:r w:rsidRPr="00A01F1C">
        <w:t xml:space="preserve">platbu. </w:t>
      </w:r>
      <w:r>
        <w:t>Veškeré předložené faktury a účetní doklady musí být správné, úplné, průkazné a srozumitelné.</w:t>
      </w:r>
      <w:r w:rsidRPr="00EA27B3">
        <w:t xml:space="preserve"> </w:t>
      </w:r>
      <w:r w:rsidRPr="00A01F1C">
        <w:t>Celková doba administrace žádosti</w:t>
      </w:r>
      <w:r w:rsidR="00A9639A">
        <w:t xml:space="preserve"> o </w:t>
      </w:r>
      <w:r w:rsidRPr="00A01F1C">
        <w:t>platbu od data jejího obdržení poskytovatelem do data jejího schválení nepřekročí 40 pracovních dnů.</w:t>
      </w:r>
      <w:r w:rsidR="00A9639A">
        <w:t xml:space="preserve"> V </w:t>
      </w:r>
      <w:r w:rsidRPr="00A01F1C">
        <w:t>případě zjištění, že žádost</w:t>
      </w:r>
      <w:r w:rsidR="00A9639A">
        <w:t xml:space="preserve"> o </w:t>
      </w:r>
      <w:r w:rsidRPr="00A01F1C">
        <w:t xml:space="preserve">platbu má vady nebo je neúplná, poskytovatel ji prostřednictvím MS2021+ vrátí příjemci a lhůta pro schvalování se </w:t>
      </w:r>
      <w:r>
        <w:t xml:space="preserve">přerušuje </w:t>
      </w:r>
      <w:r w:rsidRPr="00A01F1C">
        <w:t>do doby, než je nedostatek odstraněn či jsou předloženy úplné podklady</w:t>
      </w:r>
      <w:r>
        <w:rPr>
          <w:rStyle w:val="Znakapoznpodarou"/>
          <w:rFonts w:eastAsiaTheme="majorEastAsia"/>
        </w:rPr>
        <w:footnoteReference w:id="4"/>
      </w:r>
      <w:r w:rsidRPr="00A01F1C">
        <w:t>. Příjemce žádost</w:t>
      </w:r>
      <w:r w:rsidR="00A9639A">
        <w:t xml:space="preserve"> o </w:t>
      </w:r>
      <w:r w:rsidRPr="00A01F1C">
        <w:t>platbu po opravě předloží poskytovateli znovu.</w:t>
      </w:r>
      <w:r>
        <w:t xml:space="preserve"> </w:t>
      </w:r>
      <w:r w:rsidRPr="00A01F1C">
        <w:t>Po odstranění nedostatků a předložení opravené žádostí</w:t>
      </w:r>
      <w:r w:rsidR="00A9639A">
        <w:t xml:space="preserve"> o </w:t>
      </w:r>
      <w:r w:rsidRPr="00A01F1C">
        <w:t>platbu poskytovateli prostřednictvím IS KP21+ běží lhůta pro administraci žádosti</w:t>
      </w:r>
      <w:r w:rsidR="00A9639A">
        <w:t xml:space="preserve"> o </w:t>
      </w:r>
      <w:r w:rsidRPr="00A01F1C">
        <w:t>platbu od data předložení opravené žádosti</w:t>
      </w:r>
      <w:r w:rsidR="00A9639A">
        <w:t xml:space="preserve"> o </w:t>
      </w:r>
      <w:r w:rsidRPr="00A01F1C">
        <w:t>platbu od začátku</w:t>
      </w:r>
      <w:r>
        <w:t>.</w:t>
      </w:r>
      <w:r w:rsidRPr="00A01F1C">
        <w:t xml:space="preserve"> Lhůta pro administraci žádosti</w:t>
      </w:r>
      <w:r w:rsidR="00A9639A">
        <w:t xml:space="preserve"> o </w:t>
      </w:r>
      <w:r w:rsidRPr="00A01F1C">
        <w:t>platbu se staví</w:t>
      </w:r>
      <w:r>
        <w:rPr>
          <w:rStyle w:val="Znakapoznpodarou"/>
          <w:rFonts w:eastAsiaTheme="majorEastAsia"/>
        </w:rPr>
        <w:footnoteReference w:id="5"/>
      </w:r>
      <w:r w:rsidRPr="00A01F1C">
        <w:t xml:space="preserve"> po dobu běhu zákonné lhůty pro podání námitek (tj. ode dne doručení protokolu</w:t>
      </w:r>
      <w:r w:rsidR="00A9639A">
        <w:t xml:space="preserve"> o </w:t>
      </w:r>
      <w:r w:rsidRPr="00A01F1C">
        <w:t>kontrole do marného uplynutí této lhůty), a došlo-li</w:t>
      </w:r>
      <w:r w:rsidR="00A9639A">
        <w:t xml:space="preserve"> v </w:t>
      </w:r>
      <w:r w:rsidRPr="00A01F1C">
        <w:t>této lhůtě</w:t>
      </w:r>
      <w:r w:rsidR="00A9639A">
        <w:t xml:space="preserve"> k </w:t>
      </w:r>
      <w:r w:rsidRPr="00A01F1C">
        <w:t>podání námitek ze strany kontrolované osoby, staví se lhůta pro administraci žádosti</w:t>
      </w:r>
      <w:r w:rsidR="00A9639A">
        <w:t xml:space="preserve"> o </w:t>
      </w:r>
      <w:r w:rsidRPr="00A01F1C">
        <w:t>platbu až do data jejich vyřízení. Na základě provedených kontrol</w:t>
      </w:r>
      <w:r>
        <w:t>,</w:t>
      </w:r>
      <w:r w:rsidRPr="00A01F1C">
        <w:t xml:space="preserve"> případně po provedení úprav dle čl. 10 této Smlouvy</w:t>
      </w:r>
      <w:r w:rsidR="00A9639A">
        <w:t xml:space="preserve"> v </w:t>
      </w:r>
      <w:r w:rsidRPr="00A01F1C">
        <w:t>návaznosti na kontrolní zjištění,</w:t>
      </w:r>
      <w:r>
        <w:t xml:space="preserve"> a po schválení Zprávy</w:t>
      </w:r>
      <w:r w:rsidR="00A9639A">
        <w:t xml:space="preserve"> o </w:t>
      </w:r>
      <w:r>
        <w:t>realizaci Projektu Řídicím orgánem,</w:t>
      </w:r>
      <w:r w:rsidRPr="00A01F1C">
        <w:t xml:space="preserve"> schválí poskytovatel žádost</w:t>
      </w:r>
      <w:r w:rsidR="00A9639A">
        <w:t xml:space="preserve"> o </w:t>
      </w:r>
      <w:r w:rsidRPr="00A01F1C">
        <w:t>platbu a</w:t>
      </w:r>
      <w:r w:rsidR="00A9639A">
        <w:t xml:space="preserve"> v </w:t>
      </w:r>
      <w:r w:rsidRPr="00A01F1C">
        <w:t>návaznosti na to uvolní finanční prostředky na účet příjemce uvedený</w:t>
      </w:r>
      <w:r w:rsidR="00A9639A">
        <w:t xml:space="preserve"> v </w:t>
      </w:r>
      <w:r w:rsidRPr="00A01F1C">
        <w:t>článku 6. Uvolnění finančních prostředků na účet příjemce při dodržení výše uvedeného postupu bude uskutečněno nejpozději do 10 pracovních dnů od data schválení žádosti</w:t>
      </w:r>
      <w:r w:rsidR="00A9639A">
        <w:t xml:space="preserve"> o </w:t>
      </w:r>
      <w:r w:rsidRPr="00A01F1C">
        <w:t>platbu.</w:t>
      </w:r>
    </w:p>
    <w:p w14:paraId="23570D5F" w14:textId="5FB2DC51" w:rsidR="00F00A6F" w:rsidRDefault="00F00A6F" w:rsidP="007D780F">
      <w:pPr>
        <w:pStyle w:val="123odstavec"/>
      </w:pPr>
      <w:r w:rsidRPr="00A01F1C">
        <w:t>Poskytovatel si vyhrazuje právo</w:t>
      </w:r>
      <w:r w:rsidR="00A9639A">
        <w:t xml:space="preserve"> v </w:t>
      </w:r>
      <w:r w:rsidRPr="00A01F1C">
        <w:t>mimořádných případech platby požadované příjemcem pozastavit nebo upravit jejich výši.</w:t>
      </w:r>
      <w:r w:rsidR="00A9639A">
        <w:t xml:space="preserve"> O </w:t>
      </w:r>
      <w:r w:rsidRPr="00A01F1C">
        <w:t>pozastavení plateb nebo úpravě jejich výše a důvodech jejich pozastavení nebo úpravy jejich výše poskytovatel písemně informuje příjemce a Řídicí orgán, který</w:t>
      </w:r>
      <w:r w:rsidR="00A9639A">
        <w:t xml:space="preserve"> v </w:t>
      </w:r>
      <w:r w:rsidRPr="00A01F1C">
        <w:t>případě potřeby rozhodne</w:t>
      </w:r>
      <w:r w:rsidR="00A9639A">
        <w:t xml:space="preserve"> o </w:t>
      </w:r>
      <w:r w:rsidRPr="00A01F1C">
        <w:t>délce pozastavení plateb a/nebo jejich obnovení či úpravě jejich výše.</w:t>
      </w:r>
    </w:p>
    <w:p w14:paraId="45CCF08E" w14:textId="77777777" w:rsidR="00915D4B" w:rsidRDefault="00915D4B" w:rsidP="00915D4B">
      <w:pPr>
        <w:pStyle w:val="123odstavec"/>
        <w:numPr>
          <w:ilvl w:val="0"/>
          <w:numId w:val="0"/>
        </w:numPr>
        <w:ind w:left="851"/>
      </w:pPr>
    </w:p>
    <w:p w14:paraId="323F773F" w14:textId="77777777" w:rsidR="00915D4B" w:rsidRDefault="00915D4B" w:rsidP="00915D4B">
      <w:pPr>
        <w:pStyle w:val="123odstavec"/>
        <w:numPr>
          <w:ilvl w:val="0"/>
          <w:numId w:val="0"/>
        </w:numPr>
        <w:ind w:left="851"/>
      </w:pPr>
    </w:p>
    <w:p w14:paraId="55D0C610" w14:textId="77777777" w:rsidR="00915D4B" w:rsidRDefault="00915D4B" w:rsidP="00915D4B">
      <w:pPr>
        <w:pStyle w:val="123odstavec"/>
        <w:numPr>
          <w:ilvl w:val="0"/>
          <w:numId w:val="0"/>
        </w:numPr>
        <w:ind w:left="851"/>
      </w:pPr>
    </w:p>
    <w:p w14:paraId="5DA8B533" w14:textId="77777777" w:rsidR="00F00A6F" w:rsidRDefault="00F00A6F" w:rsidP="007D780F">
      <w:pPr>
        <w:pStyle w:val="lnku"/>
      </w:pPr>
    </w:p>
    <w:p w14:paraId="2C3C4E81" w14:textId="77777777" w:rsidR="00F00A6F" w:rsidRDefault="00F00A6F" w:rsidP="00F00A6F">
      <w:pPr>
        <w:pStyle w:val="Nzevlnku"/>
      </w:pPr>
      <w:r>
        <w:t>Podmínky čerpání finančních prostředků</w:t>
      </w:r>
    </w:p>
    <w:p w14:paraId="209C70B3" w14:textId="77777777" w:rsidR="00F00A6F" w:rsidRDefault="00F00A6F" w:rsidP="007D780F">
      <w:pPr>
        <w:pStyle w:val="st"/>
      </w:pPr>
      <w:r>
        <w:t xml:space="preserve">Práva a </w:t>
      </w:r>
      <w:r w:rsidRPr="007751B3">
        <w:t>povinnosti</w:t>
      </w:r>
      <w:r>
        <w:t xml:space="preserve"> příjemce:</w:t>
      </w:r>
    </w:p>
    <w:p w14:paraId="2C9C4198" w14:textId="1D61AFF7" w:rsidR="00F00A6F" w:rsidRPr="00AE526C" w:rsidRDefault="00F00A6F" w:rsidP="007D780F">
      <w:pPr>
        <w:pStyle w:val="ABCodstavec"/>
      </w:pPr>
      <w:r w:rsidRPr="00AE526C">
        <w:t>Příjemce se zavazuje postupovat při financování Projektu</w:t>
      </w:r>
      <w:r w:rsidR="00A9639A" w:rsidRPr="00AE526C">
        <w:t xml:space="preserve"> s </w:t>
      </w:r>
      <w:r w:rsidRPr="00AE526C">
        <w:t>péčí řádného hospodáře, tj. zejména efektivně a hospodárně</w:t>
      </w:r>
      <w:r w:rsidR="00A9639A" w:rsidRPr="00AE526C">
        <w:t xml:space="preserve"> v </w:t>
      </w:r>
      <w:r w:rsidRPr="00AE526C">
        <w:t>souladu</w:t>
      </w:r>
      <w:r w:rsidR="00A9639A" w:rsidRPr="00AE526C">
        <w:t xml:space="preserve"> s </w:t>
      </w:r>
      <w:r w:rsidRPr="00AE526C">
        <w:t>účelem financovaného Projektu.</w:t>
      </w:r>
    </w:p>
    <w:p w14:paraId="018D3166" w14:textId="209DA91F" w:rsidR="00F00A6F" w:rsidRPr="00AE526C" w:rsidRDefault="00F00A6F" w:rsidP="007D780F">
      <w:pPr>
        <w:pStyle w:val="ABCodstavec"/>
      </w:pPr>
      <w:r w:rsidRPr="00AE526C">
        <w:t>Příjemce je povinen provádět úhradu veškerých způsobilých výdajů Projektu financovaného podle této Smlouvy prostřednictvím účtu uvedeného</w:t>
      </w:r>
      <w:r w:rsidR="00A9639A" w:rsidRPr="00AE526C">
        <w:t xml:space="preserve"> v </w:t>
      </w:r>
      <w:r w:rsidRPr="00AE526C">
        <w:t>článku 6 této Smlouvy</w:t>
      </w:r>
      <w:r w:rsidRPr="00021D74">
        <w:rPr>
          <w:rStyle w:val="Znakapoznpodarou"/>
          <w:rFonts w:eastAsiaTheme="majorEastAsia"/>
        </w:rPr>
        <w:footnoteReference w:id="6"/>
      </w:r>
      <w:r w:rsidRPr="00AE526C">
        <w:t>.</w:t>
      </w:r>
    </w:p>
    <w:p w14:paraId="20ACCCFB" w14:textId="583E3CD9" w:rsidR="00F00A6F" w:rsidRPr="00AE526C" w:rsidRDefault="00F00A6F" w:rsidP="007D780F">
      <w:pPr>
        <w:pStyle w:val="ABCodstavec"/>
      </w:pPr>
      <w:r w:rsidRPr="00AE526C">
        <w:t>Příjemce se zavazuje čerpat</w:t>
      </w:r>
      <w:r w:rsidR="00A9639A" w:rsidRPr="00AE526C">
        <w:t xml:space="preserve"> z </w:t>
      </w:r>
      <w:r w:rsidRPr="00AE526C">
        <w:t>účtu uvedeného</w:t>
      </w:r>
      <w:r w:rsidR="00A9639A" w:rsidRPr="00AE526C">
        <w:t xml:space="preserve"> v </w:t>
      </w:r>
      <w:r w:rsidRPr="00AE526C">
        <w:t>článku 6 této Smlouvy</w:t>
      </w:r>
      <w:r w:rsidR="00A9639A" w:rsidRPr="00AE526C">
        <w:t xml:space="preserve"> z </w:t>
      </w:r>
      <w:r w:rsidRPr="00AE526C">
        <w:t>převedených finančních prostředků poskytnutých podle této Smlouvy pouze takovou výši finančních prostředků, která odpovídá podílu příspěvku</w:t>
      </w:r>
      <w:r w:rsidR="00A9639A" w:rsidRPr="00AE526C">
        <w:t xml:space="preserve"> z </w:t>
      </w:r>
      <w:r w:rsidRPr="00AE526C">
        <w:t>fondů EU</w:t>
      </w:r>
      <w:r w:rsidR="00A9639A" w:rsidRPr="00AE526C">
        <w:t xml:space="preserve"> u </w:t>
      </w:r>
      <w:r w:rsidRPr="00AE526C">
        <w:t>realizované platby a souhlasí</w:t>
      </w:r>
      <w:r w:rsidR="00A9639A" w:rsidRPr="00AE526C">
        <w:t xml:space="preserve"> s </w:t>
      </w:r>
      <w:r w:rsidRPr="00AE526C">
        <w:t>výší vyfakturovaných nezbytně nutných nákladů, které byly účelně vynaložené při realizaci Projektu.</w:t>
      </w:r>
      <w:bookmarkStart w:id="4" w:name="_Ref181607257"/>
      <w:r w:rsidR="007A12C3">
        <w:rPr>
          <w:rStyle w:val="Znakapoznpodarou"/>
        </w:rPr>
        <w:footnoteReference w:id="7"/>
      </w:r>
      <w:bookmarkEnd w:id="4"/>
    </w:p>
    <w:p w14:paraId="20407222" w14:textId="75BBB830" w:rsidR="00F00A6F" w:rsidRPr="00AE526C" w:rsidRDefault="00F00A6F" w:rsidP="007D780F">
      <w:pPr>
        <w:pStyle w:val="ABCodstavec"/>
      </w:pPr>
      <w:r w:rsidRPr="00AE526C">
        <w:t>Příjemce nesmí hradit</w:t>
      </w:r>
      <w:r w:rsidR="00A9639A" w:rsidRPr="00AE526C">
        <w:t xml:space="preserve"> z </w:t>
      </w:r>
      <w:r w:rsidRPr="00AE526C">
        <w:t>poskytnutých finančních prostředků poplatky za vedení bankovního účtu a poplatky za provedené bankovní služby.</w:t>
      </w:r>
      <w:r w:rsidR="0016458F" w:rsidRPr="00760829">
        <w:rPr>
          <w:vertAlign w:val="superscript"/>
        </w:rPr>
        <w:fldChar w:fldCharType="begin"/>
      </w:r>
      <w:r w:rsidR="0016458F" w:rsidRPr="00760829">
        <w:rPr>
          <w:vertAlign w:val="superscript"/>
        </w:rPr>
        <w:instrText xml:space="preserve"> NOTEREF _Ref181607257 \h </w:instrText>
      </w:r>
      <w:r w:rsidR="0016458F">
        <w:rPr>
          <w:vertAlign w:val="superscript"/>
        </w:rPr>
        <w:instrText xml:space="preserve"> \* MERGEFORMAT </w:instrText>
      </w:r>
      <w:r w:rsidR="0016458F" w:rsidRPr="00760829">
        <w:rPr>
          <w:vertAlign w:val="superscript"/>
        </w:rPr>
      </w:r>
      <w:r w:rsidR="0016458F" w:rsidRPr="00760829">
        <w:rPr>
          <w:vertAlign w:val="superscript"/>
        </w:rPr>
        <w:fldChar w:fldCharType="separate"/>
      </w:r>
      <w:r w:rsidR="0016458F" w:rsidRPr="00760829">
        <w:rPr>
          <w:vertAlign w:val="superscript"/>
        </w:rPr>
        <w:t>7</w:t>
      </w:r>
      <w:r w:rsidR="0016458F" w:rsidRPr="00760829">
        <w:rPr>
          <w:vertAlign w:val="superscript"/>
        </w:rPr>
        <w:fldChar w:fldCharType="end"/>
      </w:r>
    </w:p>
    <w:p w14:paraId="63674320" w14:textId="6E3B59C7" w:rsidR="00F00A6F" w:rsidRDefault="00F00A6F" w:rsidP="007D780F">
      <w:pPr>
        <w:pStyle w:val="ABCodstavec"/>
      </w:pPr>
      <w:r w:rsidRPr="00AE526C">
        <w:t>Příjemce je povinen vést</w:t>
      </w:r>
      <w:r w:rsidR="00A9639A" w:rsidRPr="00AE526C">
        <w:t xml:space="preserve"> o </w:t>
      </w:r>
      <w:r w:rsidRPr="00AE526C">
        <w:t>čerpání a užití finančních prostředků poskytnutých dle této Smlouvy průkaznou účetní evidenci</w:t>
      </w:r>
      <w:r w:rsidR="00A9639A" w:rsidRPr="00AE526C">
        <w:t xml:space="preserve"> s </w:t>
      </w:r>
      <w:r w:rsidRPr="00AE526C">
        <w:t>vazbou</w:t>
      </w:r>
      <w:r w:rsidR="00A9639A" w:rsidRPr="00AE526C">
        <w:t xml:space="preserve"> k </w:t>
      </w:r>
      <w:r w:rsidRPr="00AE526C">
        <w:t>financovanému Projektu tak, aby bylo zřejmé čerpání a užití finančních prostředků</w:t>
      </w:r>
      <w:r w:rsidR="00A9639A">
        <w:t xml:space="preserve"> v </w:t>
      </w:r>
      <w:r>
        <w:t>souladu</w:t>
      </w:r>
      <w:r w:rsidR="00A9639A">
        <w:t xml:space="preserve"> s </w:t>
      </w:r>
      <w:r>
        <w:t>touto Smlouvou a</w:t>
      </w:r>
      <w:r w:rsidR="00A9639A">
        <w:t xml:space="preserve"> s </w:t>
      </w:r>
      <w:r>
        <w:t>účelem, ke kterému jsou poskytovány, a aby bylo možné vykázat zaúčtování účetních případů souvisejících</w:t>
      </w:r>
      <w:r w:rsidR="00A9639A">
        <w:t xml:space="preserve"> s </w:t>
      </w:r>
      <w:r>
        <w:t>financováním Projektu ve vztahu ke všem zdrojům podílejícím se na financování Projektu. Příjemce musí být schopen průkazně dokladovat dle relevantních nařízení Evropské unie při následných kontrolách a</w:t>
      </w:r>
      <w:r w:rsidR="006357BF">
        <w:t> </w:t>
      </w:r>
      <w:r>
        <w:t>auditech všechny účetní operace související</w:t>
      </w:r>
      <w:r w:rsidR="00A9639A">
        <w:t xml:space="preserve"> s </w:t>
      </w:r>
      <w:r>
        <w:t>financováním Projektu</w:t>
      </w:r>
      <w:r w:rsidR="00A9639A">
        <w:t xml:space="preserve"> z </w:t>
      </w:r>
      <w:r>
        <w:t>prostředků fondů Evropské unie a zajistit jednoznačné přiřazení všech účetních položek</w:t>
      </w:r>
      <w:r w:rsidR="00A9639A">
        <w:t xml:space="preserve"> k </w:t>
      </w:r>
      <w:r>
        <w:t>Projektu, tj. zejména výnosů a nákladů a zařazení do evidence majetku. Při vedení účetní evidence je příjemce povinen postupovat</w:t>
      </w:r>
      <w:r w:rsidR="00A9639A">
        <w:t xml:space="preserve"> v </w:t>
      </w:r>
      <w:r>
        <w:t>souladu</w:t>
      </w:r>
      <w:r w:rsidR="00A9639A">
        <w:t xml:space="preserve"> s </w:t>
      </w:r>
      <w:r>
        <w:t>platnými předpisy České republiky zejména podle zákona č.</w:t>
      </w:r>
      <w:r w:rsidR="006357BF">
        <w:t> </w:t>
      </w:r>
      <w:r>
        <w:t>563/1991 Sb.,</w:t>
      </w:r>
      <w:r w:rsidR="00A9639A">
        <w:t xml:space="preserve"> o </w:t>
      </w:r>
      <w:r>
        <w:t>účetnictví, ve znění pozdějších předpisů.</w:t>
      </w:r>
    </w:p>
    <w:p w14:paraId="0B8710BC" w14:textId="086F7562" w:rsidR="00F00A6F" w:rsidRPr="00AE526C" w:rsidRDefault="00F00A6F" w:rsidP="007D780F">
      <w:pPr>
        <w:pStyle w:val="ABCodstavec"/>
      </w:pPr>
      <w:r w:rsidRPr="00A01F1C">
        <w:t>Příjemce je povinen uchovávat všechny dokumenty související</w:t>
      </w:r>
      <w:r w:rsidR="00A9639A">
        <w:t xml:space="preserve"> s </w:t>
      </w:r>
      <w:r w:rsidRPr="00A01F1C">
        <w:t>realizací Projektu</w:t>
      </w:r>
      <w:r>
        <w:rPr>
          <w:rStyle w:val="Znakapoznpodarou"/>
          <w:rFonts w:eastAsiaTheme="majorEastAsia"/>
        </w:rPr>
        <w:footnoteReference w:id="8"/>
      </w:r>
      <w:r w:rsidRPr="00A01F1C">
        <w:t xml:space="preserve"> a</w:t>
      </w:r>
      <w:r w:rsidR="00A9639A">
        <w:t xml:space="preserve"> k </w:t>
      </w:r>
      <w:r w:rsidRPr="00A01F1C">
        <w:t>nesrovnalostem alespoň po dobu deseti let od 1.</w:t>
      </w:r>
      <w:r>
        <w:t xml:space="preserve"> ledna</w:t>
      </w:r>
      <w:r w:rsidRPr="00A01F1C">
        <w:t xml:space="preserve"> roku následujícího po roce, ve kterém uplyne lhůta pro splnění poslední podmínky pro realizaci Projektu či jeho udržitelnost, pokud</w:t>
      </w:r>
      <w:r w:rsidR="00A9639A">
        <w:t xml:space="preserve"> v </w:t>
      </w:r>
      <w:r w:rsidRPr="00A01F1C">
        <w:t xml:space="preserve">předpisech České republiky není stanovena pro konkrétní dokumenty lhůta pro archivaci delší. Lhůta se staví po dobu správního </w:t>
      </w:r>
      <w:r w:rsidRPr="00A01F1C">
        <w:lastRenderedPageBreak/>
        <w:t xml:space="preserve">nebo soudního </w:t>
      </w:r>
      <w:r w:rsidRPr="00AE526C">
        <w:t>řízení nebo na žádost Komise.</w:t>
      </w:r>
      <w:r w:rsidR="00A9639A" w:rsidRPr="00AE526C">
        <w:t xml:space="preserve"> V </w:t>
      </w:r>
      <w:r w:rsidRPr="00AE526C">
        <w:t>souladu</w:t>
      </w:r>
      <w:r w:rsidR="00A9639A" w:rsidRPr="00AE526C">
        <w:t xml:space="preserve"> s </w:t>
      </w:r>
      <w:r w:rsidRPr="00AE526C">
        <w:t>Pravidly pro žadatele a</w:t>
      </w:r>
      <w:r w:rsidR="006357BF">
        <w:t> </w:t>
      </w:r>
      <w:r w:rsidRPr="00AE526C">
        <w:t>příjemce OPD2021+ bude Řídicí orgán informovat příjemce po dokončení Projektu</w:t>
      </w:r>
      <w:r w:rsidR="00A9639A" w:rsidRPr="00AE526C">
        <w:t xml:space="preserve"> o </w:t>
      </w:r>
      <w:r w:rsidRPr="00AE526C">
        <w:t>datu, kdy začíná běžet lhůta pro archivaci dokumentů.</w:t>
      </w:r>
    </w:p>
    <w:p w14:paraId="5799BFE2" w14:textId="1FB68651" w:rsidR="00F00A6F" w:rsidRDefault="00F00A6F" w:rsidP="007D780F">
      <w:pPr>
        <w:pStyle w:val="ABCodstavec"/>
      </w:pPr>
      <w:r w:rsidRPr="00AE526C">
        <w:t>Příjemce je povinen zajistit</w:t>
      </w:r>
      <w:r>
        <w:t xml:space="preserve"> realizaci Projektu tak, aby byly naplněny ukazatele a</w:t>
      </w:r>
      <w:r w:rsidR="006357BF">
        <w:t> </w:t>
      </w:r>
      <w:r>
        <w:t>indikátory Projektu,</w:t>
      </w:r>
      <w:r w:rsidR="00A9639A">
        <w:t xml:space="preserve"> k </w:t>
      </w:r>
      <w:r>
        <w:t>jejichž splnění se příjemce zavázal jejich uvedením a</w:t>
      </w:r>
      <w:r w:rsidR="006357BF">
        <w:t> </w:t>
      </w:r>
      <w:r>
        <w:t>vyčíslením</w:t>
      </w:r>
      <w:r w:rsidR="00A9639A">
        <w:t xml:space="preserve"> v </w:t>
      </w:r>
      <w:r>
        <w:t>žádosti</w:t>
      </w:r>
      <w:r w:rsidR="00A9639A">
        <w:t xml:space="preserve"> o </w:t>
      </w:r>
      <w:r>
        <w:t>podporu (zejm. indikátory výstupu), a které jsou uvedeny ve Specifikaci jako povinné</w:t>
      </w:r>
      <w:r w:rsidR="00A9639A">
        <w:t xml:space="preserve"> k </w:t>
      </w:r>
      <w:r>
        <w:t>naplnění.</w:t>
      </w:r>
    </w:p>
    <w:p w14:paraId="406314CC" w14:textId="39F6670C" w:rsidR="00F00A6F" w:rsidRDefault="00F00A6F" w:rsidP="007D780F">
      <w:pPr>
        <w:pStyle w:val="ABCodstavec"/>
      </w:pPr>
      <w:r>
        <w:t>Příjemce je povinen při zadávání veřejných zakázek na realizaci Projektu,</w:t>
      </w:r>
      <w:r w:rsidR="00A9639A">
        <w:t xml:space="preserve"> u </w:t>
      </w:r>
      <w:r>
        <w:t>nichž je finanční plnění zcela nebo zčásti hrazeno</w:t>
      </w:r>
      <w:r w:rsidR="00A9639A">
        <w:t xml:space="preserve"> z </w:t>
      </w:r>
      <w:r>
        <w:t>finančních prostředků poskytovaných dle této Smlouvy, postupovat</w:t>
      </w:r>
      <w:r w:rsidR="00A9639A">
        <w:t xml:space="preserve"> v </w:t>
      </w:r>
      <w:r>
        <w:t>souladu se zákonem č.</w:t>
      </w:r>
      <w:r w:rsidR="006357BF">
        <w:t> </w:t>
      </w:r>
      <w:r>
        <w:t>134/2016 Sb.,</w:t>
      </w:r>
      <w:r w:rsidR="00A9639A">
        <w:t xml:space="preserve"> o </w:t>
      </w:r>
      <w:r>
        <w:t>zadávání veřejných zakázek, ve znění pozdějších předpisů (dále jen „ZZVZ“); zákonem č. 340/2015 Sb.,</w:t>
      </w:r>
      <w:r w:rsidR="00A9639A">
        <w:t xml:space="preserve"> o </w:t>
      </w:r>
      <w:r>
        <w:t>zvláštních podmínkách účinnosti některých smluv, uveřejňování těchto smluv a registru smluv, ve znění pozdějších předpisů (zákon</w:t>
      </w:r>
      <w:r w:rsidR="00A9639A">
        <w:t xml:space="preserve"> o </w:t>
      </w:r>
      <w:r>
        <w:t>registru smluv); zákonem č.</w:t>
      </w:r>
      <w:r w:rsidR="006357BF">
        <w:t> </w:t>
      </w:r>
      <w:r>
        <w:t>159/2006 Sb.,</w:t>
      </w:r>
      <w:r w:rsidR="00A9639A">
        <w:t xml:space="preserve"> o </w:t>
      </w:r>
      <w:r>
        <w:t>střetu zájmů,</w:t>
      </w:r>
      <w:r w:rsidR="00A9639A">
        <w:t xml:space="preserve"> v </w:t>
      </w:r>
      <w:r>
        <w:t>platném znění a</w:t>
      </w:r>
      <w:r w:rsidR="006357BF">
        <w:t> </w:t>
      </w:r>
      <w:r>
        <w:t>zákonem č.</w:t>
      </w:r>
      <w:r w:rsidR="006357BF">
        <w:t> </w:t>
      </w:r>
      <w:r>
        <w:t>37/2021 Sb.,</w:t>
      </w:r>
      <w:r w:rsidR="00A9639A">
        <w:t xml:space="preserve"> o </w:t>
      </w:r>
      <w:r>
        <w:t>evidenci skutečných majitelů,</w:t>
      </w:r>
      <w:r w:rsidR="00A9639A">
        <w:t xml:space="preserve"> v </w:t>
      </w:r>
      <w:r>
        <w:t>platném znění, Pravidly pro žadatele a příjemce OPD2021+ a</w:t>
      </w:r>
      <w:r w:rsidR="00A9639A">
        <w:t xml:space="preserve"> s </w:t>
      </w:r>
      <w:r>
        <w:t>Metodickým pokynem pro oblast zadávání zakázek pro programové období 2021-2027. Při zadávání těchto veřejných zakázek je příjemce povinen dodržovat předpisy upravující veřejnou podporu, ochranu životního prostředí, rovnost žen a mužů apod. Při zadávání veřejných zakázek na realizaci Projektu je příjemce dále povinen vždy zajistit transparentnost, přiměřenost, nediskriminaci, rovné zacházení a dodržovat zásady sociálně odpovědného zadávání, environmentálně odpovědného zadávání a</w:t>
      </w:r>
      <w:r w:rsidR="006357BF">
        <w:t> </w:t>
      </w:r>
      <w:r>
        <w:t>inovací ve smyslu ZZVZ, je-li to vzhledem</w:t>
      </w:r>
      <w:r w:rsidR="00A9639A">
        <w:t xml:space="preserve"> k </w:t>
      </w:r>
      <w:r>
        <w:t>povaze a smyslu veřejné zakázky možné.</w:t>
      </w:r>
    </w:p>
    <w:p w14:paraId="3421ABD4" w14:textId="77777777" w:rsidR="00F00A6F" w:rsidRDefault="00F00A6F" w:rsidP="00F00A6F">
      <w:pPr>
        <w:pStyle w:val="Odsazen"/>
      </w:pPr>
      <w:r>
        <w:t xml:space="preserve">Při zadávání veřejných zakázek nespadajících pod působnost ZZVZ, je příjemce povinen se při zadávání zakázek </w:t>
      </w:r>
      <w:r w:rsidRPr="00A01F1C">
        <w:t>řídit</w:t>
      </w:r>
      <w:r>
        <w:t xml:space="preserve"> Pravidly pro žadatele a příjemce OPD2021+ a Metodickým pokynem pro oblast zadávání zakázek pro programové období 2021-2027.</w:t>
      </w:r>
    </w:p>
    <w:p w14:paraId="0AC9B611" w14:textId="31829A34" w:rsidR="00F00A6F" w:rsidRDefault="00F00A6F" w:rsidP="007D780F">
      <w:pPr>
        <w:pStyle w:val="ABCodstavec"/>
      </w:pPr>
      <w:r w:rsidRPr="00AE526C">
        <w:t>Příjemce</w:t>
      </w:r>
      <w:r w:rsidRPr="00A01F1C">
        <w:t xml:space="preserve"> je povinen při zadávání veřejných zakázek</w:t>
      </w:r>
      <w:r>
        <w:t xml:space="preserve"> na realizaci Projektu</w:t>
      </w:r>
      <w:r w:rsidRPr="00A01F1C">
        <w:t>,</w:t>
      </w:r>
      <w:r w:rsidR="00A9639A">
        <w:t xml:space="preserve"> k </w:t>
      </w:r>
      <w:r w:rsidRPr="00A01F1C">
        <w:t>jejichž financování užije poskytované finanční prostředky, zajistit, aby veřejné zakázky nebyly zadány dodavatelům vlastněným osobami uvedenými</w:t>
      </w:r>
      <w:r w:rsidR="00A9639A">
        <w:t xml:space="preserve"> v </w:t>
      </w:r>
      <w:r w:rsidRPr="00A01F1C">
        <w:t>sankčním seznamu zveřejněném na (</w:t>
      </w:r>
      <w:hyperlink r:id="rId12" w:history="1">
        <w:r w:rsidR="00C22485" w:rsidRPr="005F6718">
          <w:rPr>
            <w:rStyle w:val="Hypertextovodkaz"/>
          </w:rPr>
          <w:t>https://www.financnianalytickyurad.cz/blog/rusko-a-belorusko-seznam-sankcionovanych-subjektu</w:t>
        </w:r>
      </w:hyperlink>
      <w:r w:rsidRPr="00A01F1C">
        <w:t xml:space="preserve">). Pro potřeby provedení ověření jsou využívány veřejně přístupné databáze např. </w:t>
      </w:r>
      <w:hyperlink r:id="rId13" w:history="1">
        <w:r w:rsidR="00436553" w:rsidRPr="005F6718">
          <w:rPr>
            <w:rStyle w:val="Hypertextovodkaz"/>
          </w:rPr>
          <w:t>https://www.sanctionsmap.eu/</w:t>
        </w:r>
      </w:hyperlink>
      <w:r w:rsidRPr="00A01F1C">
        <w:t>, případně další veřejně přístupné databáze jako při ověřování střetu zájmů. Podrobnější informace jsou uvedeny</w:t>
      </w:r>
      <w:r w:rsidR="00A9639A">
        <w:t xml:space="preserve"> v </w:t>
      </w:r>
      <w:r w:rsidRPr="00A01F1C">
        <w:t>expertním stanovisku</w:t>
      </w:r>
      <w:r w:rsidR="00A9639A">
        <w:t xml:space="preserve"> k </w:t>
      </w:r>
      <w:r w:rsidRPr="00A01F1C">
        <w:t>dopadu sankcí proti Rusku a Bělorusku</w:t>
      </w:r>
      <w:r w:rsidR="00A9639A">
        <w:t xml:space="preserve"> v </w:t>
      </w:r>
      <w:r w:rsidRPr="00A01F1C">
        <w:t>oblasti veřejných zakázek (</w:t>
      </w:r>
      <w:hyperlink r:id="rId14" w:history="1">
        <w:r w:rsidR="00436553" w:rsidRPr="005F6718">
          <w:rPr>
            <w:rStyle w:val="Hypertextovodkaz"/>
          </w:rPr>
          <w:t>https://portal-vz.cz/wp-content/uploads/2019/12/Dopad-sankcí-proti-Rusku-a-Bělorusku-do-oblasti-veřejných-zakázek.pdf</w:t>
        </w:r>
      </w:hyperlink>
      <w:r w:rsidRPr="00A01F1C">
        <w:t>)</w:t>
      </w:r>
      <w:r>
        <w:t>.</w:t>
      </w:r>
    </w:p>
    <w:p w14:paraId="775A59AD" w14:textId="097F299E" w:rsidR="00F00A6F" w:rsidRDefault="00F00A6F" w:rsidP="007D780F">
      <w:pPr>
        <w:pStyle w:val="ABCodstavec"/>
      </w:pPr>
      <w:r w:rsidRPr="00A01F1C">
        <w:t xml:space="preserve">Příjemce </w:t>
      </w:r>
      <w:r>
        <w:t>je povinen</w:t>
      </w:r>
      <w:r w:rsidRPr="00A01F1C">
        <w:t xml:space="preserve"> se</w:t>
      </w:r>
      <w:r w:rsidR="00A9639A">
        <w:t xml:space="preserve"> v </w:t>
      </w:r>
      <w:r w:rsidRPr="00A01F1C">
        <w:t>souvislosti</w:t>
      </w:r>
      <w:r w:rsidR="00A9639A">
        <w:t xml:space="preserve"> s </w:t>
      </w:r>
      <w:r w:rsidRPr="00A01F1C">
        <w:t>financováním realizace Projektu podrob</w:t>
      </w:r>
      <w:r>
        <w:t>it</w:t>
      </w:r>
      <w:r w:rsidRPr="00A01F1C">
        <w:t xml:space="preserve"> </w:t>
      </w:r>
      <w:r w:rsidRPr="00AE526C">
        <w:t>kontrolám</w:t>
      </w:r>
      <w:r w:rsidRPr="00A01F1C">
        <w:t xml:space="preserve"> ze strany Evropského účetního dvora, Evropské komise, Nejvyššího kontrolního úřadu, Auditního orgánu, finančních orgánů, Řídicího orgánu a</w:t>
      </w:r>
      <w:r w:rsidR="006357BF">
        <w:t> </w:t>
      </w:r>
      <w:r w:rsidRPr="00A01F1C">
        <w:t>poskytovatele a dalších kontrolních orgánů dle předpisů České republiky a</w:t>
      </w:r>
      <w:r w:rsidR="006357BF">
        <w:t> </w:t>
      </w:r>
      <w:r w:rsidRPr="00A01F1C">
        <w:t>předpisů Evropské unie</w:t>
      </w:r>
      <w:r>
        <w:rPr>
          <w:rStyle w:val="Znakapoznpodarou"/>
          <w:rFonts w:eastAsiaTheme="majorEastAsia"/>
        </w:rPr>
        <w:footnoteReference w:id="9"/>
      </w:r>
      <w:r w:rsidRPr="00A01F1C">
        <w:t>.</w:t>
      </w:r>
      <w:r w:rsidR="00A9639A">
        <w:t xml:space="preserve"> V </w:t>
      </w:r>
      <w:r w:rsidRPr="00A01F1C">
        <w:t>souvislosti</w:t>
      </w:r>
      <w:r w:rsidR="00A9639A">
        <w:t xml:space="preserve"> s </w:t>
      </w:r>
      <w:r w:rsidRPr="00A01F1C">
        <w:t>těmito kontrolami je příjemce povinen poskytnout veškerou dokumentaci vztahující se</w:t>
      </w:r>
      <w:r w:rsidR="00A9639A">
        <w:t xml:space="preserve"> k </w:t>
      </w:r>
      <w:r w:rsidRPr="00A01F1C">
        <w:t>Projektu a umožnit</w:t>
      </w:r>
      <w:r w:rsidR="00A9639A">
        <w:t xml:space="preserve"> v </w:t>
      </w:r>
      <w:r w:rsidRPr="00A01F1C">
        <w:t>souvislosti</w:t>
      </w:r>
      <w:r w:rsidR="00A9639A">
        <w:t xml:space="preserve"> s </w:t>
      </w:r>
      <w:r w:rsidRPr="00A01F1C">
        <w:t xml:space="preserve">výkonem této kontrolní činnosti pořizování kopií a výpisů dokladů ze své účetní evidence a rovněž při výkonu kontroly i účinně spolupracovat. Příjemce se </w:t>
      </w:r>
      <w:r w:rsidRPr="00A01F1C">
        <w:lastRenderedPageBreak/>
        <w:t>zavazuje informovat poskytovatele</w:t>
      </w:r>
      <w:r w:rsidR="00A9639A">
        <w:t xml:space="preserve"> o </w:t>
      </w:r>
      <w:r w:rsidRPr="00A01F1C">
        <w:t>kontrolách a auditech provedených</w:t>
      </w:r>
      <w:r w:rsidR="00A9639A">
        <w:t xml:space="preserve"> v </w:t>
      </w:r>
      <w:r w:rsidRPr="00A01F1C">
        <w:t>souvislosti</w:t>
      </w:r>
      <w:r w:rsidR="00A9639A">
        <w:t xml:space="preserve"> s </w:t>
      </w:r>
      <w:r w:rsidRPr="00A01F1C">
        <w:t>financovaným Projektem a zavazuje se na žádost poskytovatele poskytnout veškeré informace</w:t>
      </w:r>
      <w:r w:rsidR="00A9639A">
        <w:t xml:space="preserve"> o </w:t>
      </w:r>
      <w:r w:rsidRPr="00A01F1C">
        <w:t>výsledcích a kontrolní protokoly</w:t>
      </w:r>
      <w:r w:rsidR="00A9639A">
        <w:t xml:space="preserve"> z </w:t>
      </w:r>
      <w:r w:rsidRPr="00A01F1C">
        <w:t>těchto kontrol a auditů.</w:t>
      </w:r>
    </w:p>
    <w:p w14:paraId="602F4831" w14:textId="6D7E24DE" w:rsidR="00F00A6F" w:rsidRDefault="00F00A6F" w:rsidP="007D780F">
      <w:pPr>
        <w:pStyle w:val="ABCodstavec"/>
      </w:pPr>
      <w:r w:rsidRPr="00A01F1C">
        <w:t>Příjemce je povinen zasílat</w:t>
      </w:r>
      <w:r w:rsidR="00A9639A">
        <w:t xml:space="preserve"> v </w:t>
      </w:r>
      <w:r w:rsidRPr="00A01F1C">
        <w:t>průběhu realizace Projektu monitorovací zprávy – průběžné zprávy</w:t>
      </w:r>
      <w:r w:rsidR="00A9639A">
        <w:t xml:space="preserve"> o </w:t>
      </w:r>
      <w:r w:rsidRPr="00A01F1C">
        <w:t>realizaci Projektu předkládané</w:t>
      </w:r>
      <w:r w:rsidR="00A9639A">
        <w:t xml:space="preserve"> s </w:t>
      </w:r>
      <w:r w:rsidRPr="00A01F1C">
        <w:t>každou žádostí</w:t>
      </w:r>
      <w:r w:rsidR="00A9639A">
        <w:t xml:space="preserve"> o </w:t>
      </w:r>
      <w:r w:rsidRPr="00A01F1C">
        <w:t>platbu a</w:t>
      </w:r>
      <w:r w:rsidR="006357BF">
        <w:t> </w:t>
      </w:r>
      <w:r w:rsidRPr="00A01F1C">
        <w:t>informace</w:t>
      </w:r>
      <w:r w:rsidR="00A9639A">
        <w:t xml:space="preserve"> o </w:t>
      </w:r>
      <w:r w:rsidRPr="00A01F1C">
        <w:t>Projektu (pouze ve specifických případech na vyžádání Řídicího orgánu) dle Pravidel pro žadatele a příjemce</w:t>
      </w:r>
      <w:r>
        <w:t xml:space="preserve"> OPD2021+</w:t>
      </w:r>
      <w:r w:rsidRPr="00A01F1C">
        <w:t>, zpracované</w:t>
      </w:r>
      <w:r w:rsidR="00A9639A">
        <w:t xml:space="preserve"> v </w:t>
      </w:r>
      <w:r w:rsidRPr="00A01F1C">
        <w:t>elektronické formě</w:t>
      </w:r>
      <w:r w:rsidR="00A9639A">
        <w:t xml:space="preserve"> v </w:t>
      </w:r>
      <w:r w:rsidRPr="00A01F1C">
        <w:t>IS KP21+, struktura a obsah zpráv je stanovena</w:t>
      </w:r>
      <w:r w:rsidR="00A9639A">
        <w:t xml:space="preserve"> v </w:t>
      </w:r>
      <w:r w:rsidRPr="00A01F1C">
        <w:t>Metodickém pokynu společných procesů implementace fondů EU</w:t>
      </w:r>
      <w:r w:rsidR="00A9639A">
        <w:t xml:space="preserve"> v </w:t>
      </w:r>
      <w:r w:rsidRPr="00A01F1C">
        <w:t xml:space="preserve">programovém období 2021-2027 zveřejněném na </w:t>
      </w:r>
      <w:hyperlink r:id="rId15" w:history="1">
        <w:r w:rsidR="004F38A8" w:rsidRPr="005F6718">
          <w:rPr>
            <w:rStyle w:val="Hypertextovodkaz"/>
          </w:rPr>
          <w:t>https://opd3.opd.cz/</w:t>
        </w:r>
      </w:hyperlink>
      <w:r w:rsidRPr="00A01F1C">
        <w:t>.</w:t>
      </w:r>
      <w:r w:rsidR="00A9639A">
        <w:t xml:space="preserve"> S </w:t>
      </w:r>
      <w:r w:rsidRPr="00A01F1C">
        <w:t xml:space="preserve">poslední </w:t>
      </w:r>
      <w:r>
        <w:t>žádostí</w:t>
      </w:r>
      <w:r w:rsidR="00A9639A">
        <w:t xml:space="preserve"> o </w:t>
      </w:r>
      <w:r w:rsidRPr="00A01F1C">
        <w:t>platb</w:t>
      </w:r>
      <w:r>
        <w:t>u</w:t>
      </w:r>
      <w:r w:rsidRPr="00A01F1C">
        <w:t xml:space="preserve"> je příjemce povinen předložit Závěrečnou zprávu</w:t>
      </w:r>
      <w:r w:rsidR="00A9639A">
        <w:t xml:space="preserve"> o </w:t>
      </w:r>
      <w:r w:rsidRPr="00A01F1C">
        <w:t xml:space="preserve">realizaci </w:t>
      </w:r>
      <w:r>
        <w:t xml:space="preserve">Projektu </w:t>
      </w:r>
      <w:r w:rsidRPr="00A01F1C">
        <w:t>za celé období realizace Projektu.</w:t>
      </w:r>
    </w:p>
    <w:p w14:paraId="10F173DE" w14:textId="3D95F449" w:rsidR="00F00A6F" w:rsidRDefault="00F00A6F" w:rsidP="007D780F">
      <w:pPr>
        <w:pStyle w:val="ABCodstavec"/>
      </w:pPr>
      <w:r w:rsidRPr="00A01F1C">
        <w:t>Příjemce je povinen informovat veřejnost a další subjekty</w:t>
      </w:r>
      <w:r w:rsidR="00A9639A">
        <w:t xml:space="preserve"> o </w:t>
      </w:r>
      <w:r w:rsidRPr="00A01F1C">
        <w:t>příspěvku poskytnutém Evropskou unií způsoby uvedenými</w:t>
      </w:r>
      <w:r w:rsidR="00A9639A">
        <w:t xml:space="preserve"> v </w:t>
      </w:r>
      <w:r w:rsidRPr="00A01F1C">
        <w:t>Pravidlech pro žadatele a</w:t>
      </w:r>
      <w:r w:rsidR="006357BF">
        <w:t> </w:t>
      </w:r>
      <w:r w:rsidRPr="00A01F1C">
        <w:t>příjemce</w:t>
      </w:r>
      <w:r>
        <w:t xml:space="preserve"> OPD2021+</w:t>
      </w:r>
      <w:r w:rsidRPr="00A01F1C">
        <w:t>, vč. Manuálu Jednotného vizuálního stylu fondů EU</w:t>
      </w:r>
      <w:r w:rsidR="00A9639A">
        <w:t xml:space="preserve"> v </w:t>
      </w:r>
      <w:r w:rsidRPr="00A01F1C">
        <w:t xml:space="preserve">programovém období 2021–2027 zveřejněných na </w:t>
      </w:r>
      <w:hyperlink r:id="rId16" w:history="1">
        <w:r w:rsidR="004F38A8" w:rsidRPr="005F6718">
          <w:rPr>
            <w:rStyle w:val="Hypertextovodkaz"/>
          </w:rPr>
          <w:t>https://opd3.opd.cz/</w:t>
        </w:r>
      </w:hyperlink>
      <w:r w:rsidRPr="00A01F1C">
        <w:t xml:space="preserve"> a</w:t>
      </w:r>
      <w:r w:rsidR="003756FC">
        <w:t> </w:t>
      </w:r>
      <w:r w:rsidR="00A9639A">
        <w:t>v </w:t>
      </w:r>
      <w:r w:rsidRPr="00A01F1C">
        <w:t>souladu</w:t>
      </w:r>
      <w:r w:rsidR="00A9639A">
        <w:t xml:space="preserve"> s </w:t>
      </w:r>
      <w:r w:rsidRPr="00A01F1C">
        <w:t>tím je příjemce povinen uvádět na těchto materiálech i logo poskytovatele pro projekty spolufinancované</w:t>
      </w:r>
      <w:r w:rsidR="00A9639A">
        <w:t xml:space="preserve"> z </w:t>
      </w:r>
      <w:r w:rsidRPr="00A01F1C">
        <w:t>OPD</w:t>
      </w:r>
      <w:r>
        <w:t>2021+</w:t>
      </w:r>
      <w:r w:rsidRPr="00A01F1C">
        <w:t>, které je ke stažení</w:t>
      </w:r>
      <w:r w:rsidR="00A9639A">
        <w:t xml:space="preserve"> k </w:t>
      </w:r>
      <w:r w:rsidRPr="00A01F1C">
        <w:t xml:space="preserve">uvedenému účelu na </w:t>
      </w:r>
      <w:hyperlink r:id="rId17" w:history="1">
        <w:r w:rsidR="00675A96" w:rsidRPr="00675A96">
          <w:rPr>
            <w:rStyle w:val="Hypertextovodkaz"/>
          </w:rPr>
          <w:t>sfdi.gov.cz</w:t>
        </w:r>
      </w:hyperlink>
      <w:r w:rsidRPr="00A01F1C">
        <w:t>, a</w:t>
      </w:r>
      <w:r w:rsidR="00A9639A">
        <w:t xml:space="preserve"> k </w:t>
      </w:r>
      <w:r w:rsidRPr="00A01F1C">
        <w:t xml:space="preserve">jehož užití </w:t>
      </w:r>
      <w:r>
        <w:t xml:space="preserve">pro tento účel </w:t>
      </w:r>
      <w:r w:rsidRPr="00A01F1C">
        <w:t>dává poskytovatel tímto souhlas.</w:t>
      </w:r>
    </w:p>
    <w:p w14:paraId="19F6CCFD" w14:textId="3CC96F42" w:rsidR="00F00A6F" w:rsidRDefault="00F00A6F" w:rsidP="007D780F">
      <w:pPr>
        <w:pStyle w:val="ABCodstavec"/>
      </w:pPr>
      <w:r w:rsidRPr="00A01F1C">
        <w:t>Příjemce je povinen u Projektu postupovat</w:t>
      </w:r>
      <w:r w:rsidR="00A9639A">
        <w:t xml:space="preserve"> v </w:t>
      </w:r>
      <w:r w:rsidRPr="00A01F1C">
        <w:t>souladu</w:t>
      </w:r>
      <w:r w:rsidR="00A9639A">
        <w:t xml:space="preserve"> s </w:t>
      </w:r>
      <w:r w:rsidRPr="00A01F1C">
        <w:t>všeobecnými standardy Evropské unie, a dále</w:t>
      </w:r>
      <w:r w:rsidR="00A9639A">
        <w:t xml:space="preserve"> v </w:t>
      </w:r>
      <w:r w:rsidRPr="00A01F1C">
        <w:t>souladu</w:t>
      </w:r>
      <w:r w:rsidR="00A9639A">
        <w:t xml:space="preserve"> s </w:t>
      </w:r>
      <w:r w:rsidRPr="00A01F1C">
        <w:t>dalšími podmínkami stanovenými ve schváleném OPD</w:t>
      </w:r>
      <w:r>
        <w:t>2021+</w:t>
      </w:r>
      <w:r w:rsidRPr="00A01F1C">
        <w:t xml:space="preserve"> a ve Výzvě. Příjemce je dále povinen při realizaci Projektu a při čerpání finančních prostředků pro Projekt poskytnutých na základě této Smlouvy dodržovat zejména platná Pravidla pro žadatele a příjemce </w:t>
      </w:r>
      <w:r>
        <w:t xml:space="preserve">OPD2021+ </w:t>
      </w:r>
      <w:r w:rsidRPr="00A01F1C">
        <w:t>a</w:t>
      </w:r>
      <w:r w:rsidR="00303192">
        <w:t> </w:t>
      </w:r>
      <w:r w:rsidRPr="00A01F1C">
        <w:t>další aktuálně platné metodiky a pokyny vydané Řídicím orgánem pro příjemce prostředků</w:t>
      </w:r>
      <w:r w:rsidR="00A9639A">
        <w:t xml:space="preserve"> z </w:t>
      </w:r>
      <w:r w:rsidRPr="00A01F1C">
        <w:t xml:space="preserve">fondů Evropské unie zveřejněné na </w:t>
      </w:r>
      <w:hyperlink r:id="rId18" w:history="1">
        <w:r w:rsidR="003756FC" w:rsidRPr="005F6718">
          <w:rPr>
            <w:rStyle w:val="Hypertextovodkaz"/>
          </w:rPr>
          <w:t>https://opd3.opd.cz/</w:t>
        </w:r>
      </w:hyperlink>
      <w:r w:rsidRPr="00A01F1C">
        <w:t xml:space="preserve"> a platná Pravidla pro financování z</w:t>
      </w:r>
      <w:r>
        <w:t>e</w:t>
      </w:r>
      <w:r w:rsidRPr="00A01F1C">
        <w:t xml:space="preserve"> Státního fondu dopravní infrastruktury vydaná poskytovatelem a zveřejněná na </w:t>
      </w:r>
      <w:hyperlink r:id="rId19" w:history="1">
        <w:r w:rsidR="00675A96" w:rsidRPr="00675A96">
          <w:rPr>
            <w:rStyle w:val="Hypertextovodkaz"/>
          </w:rPr>
          <w:t>sfdi.gov.cz</w:t>
        </w:r>
      </w:hyperlink>
      <w:r w:rsidRPr="00A01F1C">
        <w:t>.</w:t>
      </w:r>
    </w:p>
    <w:p w14:paraId="2C22C860" w14:textId="75DA312B" w:rsidR="00F00A6F" w:rsidRPr="00AE526C" w:rsidRDefault="00F00A6F" w:rsidP="007D780F">
      <w:pPr>
        <w:pStyle w:val="ABCodstavec"/>
      </w:pPr>
      <w:r>
        <w:t>Příjemce souhlasí</w:t>
      </w:r>
      <w:r w:rsidR="00A9639A">
        <w:t xml:space="preserve"> s </w:t>
      </w:r>
      <w:r>
        <w:t>tím, že identifikační údaje</w:t>
      </w:r>
      <w:r w:rsidR="00A9639A">
        <w:t xml:space="preserve"> o </w:t>
      </w:r>
      <w:r>
        <w:t>něm, jako</w:t>
      </w:r>
      <w:r w:rsidR="00A9639A">
        <w:t xml:space="preserve"> o </w:t>
      </w:r>
      <w:r>
        <w:t>příjemci finančních prostředků poskytovatele, jsou uloženy</w:t>
      </w:r>
      <w:r w:rsidR="00A9639A">
        <w:t xml:space="preserve"> v </w:t>
      </w:r>
      <w:r>
        <w:t>centrální evidenci vedené u </w:t>
      </w:r>
      <w:r w:rsidRPr="00AE526C">
        <w:t>poskytovatele. Příjemce rovněž souhlasí se zveřejněním svého názvu, sídla, IČO, účelu a výše jemu poskytnutých finančních prostředků dle této Smlouvy.</w:t>
      </w:r>
    </w:p>
    <w:p w14:paraId="4D6DC2C5" w14:textId="3172CD01" w:rsidR="00F00A6F" w:rsidRDefault="00F00A6F" w:rsidP="007D780F">
      <w:pPr>
        <w:pStyle w:val="ABCodstavec"/>
      </w:pPr>
      <w:r w:rsidRPr="00AE526C">
        <w:t>Příjemce je povinen provést vypořádání poskytnutých finančních prostředků pro Projekt čerpaných na základě této Smlouvy</w:t>
      </w:r>
      <w:r w:rsidR="00A9639A" w:rsidRPr="00AE526C">
        <w:t xml:space="preserve"> k </w:t>
      </w:r>
      <w:bookmarkStart w:id="5" w:name="_Hlk137755842"/>
      <w:r w:rsidRPr="00AE526C">
        <w:t>31. prosinci rozpočtového roku,</w:t>
      </w:r>
      <w:r w:rsidR="00A9639A" w:rsidRPr="00AE526C">
        <w:t xml:space="preserve"> v </w:t>
      </w:r>
      <w:r w:rsidRPr="00AE526C">
        <w:t>němž</w:t>
      </w:r>
      <w:r w:rsidRPr="00887653">
        <w:t xml:space="preserve"> bylo financování </w:t>
      </w:r>
      <w:r>
        <w:t>Projektu</w:t>
      </w:r>
      <w:r w:rsidRPr="00887653">
        <w:t xml:space="preserve"> ukončeno</w:t>
      </w:r>
      <w:bookmarkEnd w:id="5"/>
      <w:r>
        <w:t>. Toto vypořádání je příjemce povinen předložit poskytovateli</w:t>
      </w:r>
      <w:r w:rsidR="00A9639A">
        <w:t xml:space="preserve"> v </w:t>
      </w:r>
      <w:r>
        <w:t>termínu stanoveném</w:t>
      </w:r>
      <w:r w:rsidR="00A9639A">
        <w:t xml:space="preserve"> v </w:t>
      </w:r>
      <w:r>
        <w:t>metodickém pokynu poskytovatele. Rozsah a forma vypořádání bude stanovena metodickým pokynem</w:t>
      </w:r>
      <w:r w:rsidR="00A9639A">
        <w:t xml:space="preserve"> k </w:t>
      </w:r>
      <w:r>
        <w:t>vypořádání, vydaným poskytovatelem pro kalendářní rok, ve kterém bylo ukončeno financování Projektu, který bude příjemci zaslán.</w:t>
      </w:r>
    </w:p>
    <w:p w14:paraId="06D5ECBE" w14:textId="213406B1" w:rsidR="00F00A6F" w:rsidRPr="00AE526C" w:rsidRDefault="00F00A6F" w:rsidP="007D780F">
      <w:pPr>
        <w:pStyle w:val="ABCodstavec"/>
      </w:pPr>
      <w:r>
        <w:t>V případě, že bude</w:t>
      </w:r>
      <w:r w:rsidR="00A9639A">
        <w:t xml:space="preserve"> z </w:t>
      </w:r>
      <w:r>
        <w:t>jakéhokoli důvodu předčasně ukončena realizace Projektu financovaného</w:t>
      </w:r>
      <w:r w:rsidR="00A9639A">
        <w:t xml:space="preserve"> z </w:t>
      </w:r>
      <w:r>
        <w:t>finančních prostředků poskytovaných dle této Smlouvy před jeho dokončením, tj. před dosažením stanovených cílů, odstoupením příjemce od schváleného Projektu, je příjemce povinen neprodleně, nejpozději do 15</w:t>
      </w:r>
      <w:r w:rsidR="00303192">
        <w:t> </w:t>
      </w:r>
      <w:r>
        <w:t>kalendářních dnů ode dne, kdy došlo</w:t>
      </w:r>
      <w:r w:rsidR="00A9639A">
        <w:t xml:space="preserve"> k </w:t>
      </w:r>
      <w:r>
        <w:t>odstoupení příjemce od schváleného Projektu,</w:t>
      </w:r>
      <w:r w:rsidR="00A9639A">
        <w:t xml:space="preserve"> o </w:t>
      </w:r>
      <w:r>
        <w:t>této skutečnosti poskytovatele písemně informovat a předložit mu zprávu</w:t>
      </w:r>
      <w:r w:rsidR="00A9639A">
        <w:t xml:space="preserve"> o </w:t>
      </w:r>
      <w:r w:rsidRPr="00AE526C">
        <w:t>dosažených výsledcích realizace Projektu, důvodech jeho ukončení a</w:t>
      </w:r>
      <w:r w:rsidR="00303192">
        <w:t> </w:t>
      </w:r>
      <w:r w:rsidRPr="00AE526C">
        <w:t>vrátit poskytovateli finanční prostředky, které již byly na Projekt uvolněny podle této Smlouvy.</w:t>
      </w:r>
    </w:p>
    <w:p w14:paraId="57E7DB16" w14:textId="569D6B69" w:rsidR="00F00A6F" w:rsidRDefault="00F00A6F" w:rsidP="007D780F">
      <w:pPr>
        <w:pStyle w:val="ABCodstavec"/>
      </w:pPr>
      <w:r w:rsidRPr="00AE526C">
        <w:lastRenderedPageBreak/>
        <w:t>Příjemce se zavazuje, že nejméně po dobu 5 let počínaje od data, kdy Projekt</w:t>
      </w:r>
      <w:r w:rsidR="00A9639A" w:rsidRPr="00AE526C">
        <w:t xml:space="preserve"> v </w:t>
      </w:r>
      <w:r w:rsidRPr="00AE526C">
        <w:t>MS2021+</w:t>
      </w:r>
      <w:r>
        <w:t xml:space="preserve"> </w:t>
      </w:r>
      <w:r w:rsidRPr="00A01F1C">
        <w:t>naby</w:t>
      </w:r>
      <w:r>
        <w:t>de</w:t>
      </w:r>
      <w:r w:rsidRPr="00A01F1C">
        <w:t xml:space="preserve"> stav </w:t>
      </w:r>
      <w:r>
        <w:t xml:space="preserve">PP41 </w:t>
      </w:r>
      <w:r w:rsidRPr="00A01F1C">
        <w:t xml:space="preserve">„Projekt finančně ukončen ze strany Řídicího orgánu“ (tj. </w:t>
      </w:r>
      <w:bookmarkStart w:id="6" w:name="_Hlk137756881"/>
      <w:r>
        <w:t>stav, kdy byla příjemci schválena závěrečná zpráva</w:t>
      </w:r>
      <w:r w:rsidR="00A9639A">
        <w:t xml:space="preserve"> o </w:t>
      </w:r>
      <w:r>
        <w:t>realizaci Projektu a závěrečná žádost</w:t>
      </w:r>
      <w:r w:rsidR="00A9639A">
        <w:t xml:space="preserve"> o </w:t>
      </w:r>
      <w:r>
        <w:t>platbu</w:t>
      </w:r>
      <w:bookmarkEnd w:id="6"/>
      <w:r w:rsidRPr="00A01F1C">
        <w:t>), nepřevede majetek nabytý</w:t>
      </w:r>
      <w:r w:rsidR="00A9639A">
        <w:t xml:space="preserve"> z </w:t>
      </w:r>
      <w:r w:rsidRPr="00A01F1C">
        <w:t>poskytnutých finančních prostředků do vlastnictví třetích osob, ani jej jinak nezcizí ani nepředá do úplatného užívání třetím osobám</w:t>
      </w:r>
      <w:r w:rsidR="00A9639A">
        <w:t xml:space="preserve"> s </w:t>
      </w:r>
      <w:r w:rsidRPr="00A01F1C">
        <w:t>výjimkou vyvolaných investic, nebo převodů vyplývajících ze zákonných ustanovení, nebo že</w:t>
      </w:r>
      <w:r w:rsidR="00A9639A">
        <w:t xml:space="preserve"> o </w:t>
      </w:r>
      <w:r w:rsidRPr="00A01F1C">
        <w:t>takovém nakládání</w:t>
      </w:r>
      <w:r w:rsidR="00A9639A">
        <w:t xml:space="preserve"> s </w:t>
      </w:r>
      <w:r w:rsidRPr="00A01F1C">
        <w:t>tímto majetkem rozhodne Řídicí orgán. I</w:t>
      </w:r>
      <w:r w:rsidR="00A9639A">
        <w:t xml:space="preserve"> v </w:t>
      </w:r>
      <w:r w:rsidRPr="00A01F1C">
        <w:t>těchto případech je příjemce povinen zavázat nabyvatele tohoto majetku</w:t>
      </w:r>
      <w:r w:rsidR="00A9639A">
        <w:t xml:space="preserve"> k </w:t>
      </w:r>
      <w:r w:rsidRPr="00A01F1C">
        <w:t>zajištění jeho udržitelnosti ve stejném rozsahu, jak pro příjemce vyplývá</w:t>
      </w:r>
      <w:r w:rsidR="00A9639A">
        <w:t xml:space="preserve"> z </w:t>
      </w:r>
      <w:r w:rsidRPr="00A01F1C">
        <w:t>tohoto ustanovení. Příjemce po uvedenou dobu nezastaví tento majetek, ani jej nezatíží právy třetích osob vyjma případů, kde toto zatížení vyplývá</w:t>
      </w:r>
      <w:r w:rsidR="00A9639A">
        <w:t xml:space="preserve"> z </w:t>
      </w:r>
      <w:r w:rsidRPr="00A01F1C">
        <w:t>platné právní úpravy. Současně je příjemce povinen zajistit řádnou péči</w:t>
      </w:r>
      <w:r w:rsidR="00A9639A">
        <w:t xml:space="preserve"> o </w:t>
      </w:r>
      <w:r w:rsidRPr="00A01F1C">
        <w:t>tento majetek, aby majetek mohl být bezplatně užíván</w:t>
      </w:r>
      <w:r w:rsidR="00A9639A">
        <w:t xml:space="preserve"> k </w:t>
      </w:r>
      <w:r w:rsidRPr="00A01F1C">
        <w:t>účelu, ke kterému je určen,</w:t>
      </w:r>
      <w:r w:rsidR="00A9639A">
        <w:t xml:space="preserve"> s </w:t>
      </w:r>
      <w:r w:rsidRPr="00A01F1C">
        <w:t>výjimkou těch případů, kde možnost úplatného užívání tohoto majetku je upravena příslušným zákonem. Příjemce může tento majetek pronajmout během výše uvedené doby udržitelnosti Projektu pouze</w:t>
      </w:r>
      <w:r w:rsidR="00A9639A">
        <w:t xml:space="preserve"> s </w:t>
      </w:r>
      <w:r w:rsidRPr="00A01F1C">
        <w:t xml:space="preserve">předchozím písemným souhlasem Řídicího orgánu. Po výše uvedenou dobu udržitelnosti Projektu je příjemce povinen předkládat za každý uplynulý rok, vždy </w:t>
      </w:r>
      <w:r>
        <w:t>dle plánu zpráv</w:t>
      </w:r>
      <w:r w:rsidR="00A9639A">
        <w:t xml:space="preserve"> v </w:t>
      </w:r>
      <w:r>
        <w:t>IS KP21+. Zprávy</w:t>
      </w:r>
      <w:r w:rsidR="00A9639A">
        <w:t xml:space="preserve"> o </w:t>
      </w:r>
      <w:r>
        <w:t xml:space="preserve">udržitelnosti Projektu zpracované dle </w:t>
      </w:r>
      <w:r w:rsidRPr="004A3048">
        <w:t>Pravidel pro žadatele a příjemce</w:t>
      </w:r>
      <w:r>
        <w:t xml:space="preserve"> OPD2021+ předkládá příjemce</w:t>
      </w:r>
      <w:r w:rsidR="00A9639A">
        <w:t xml:space="preserve"> v </w:t>
      </w:r>
      <w:r w:rsidRPr="00A01F1C">
        <w:t>elektronické formě zpracované</w:t>
      </w:r>
      <w:r w:rsidR="00A9639A">
        <w:t xml:space="preserve"> v</w:t>
      </w:r>
      <w:r w:rsidR="00303192">
        <w:t> </w:t>
      </w:r>
      <w:r w:rsidRPr="00A01F1C">
        <w:t>IS</w:t>
      </w:r>
      <w:r w:rsidR="00303192">
        <w:t> </w:t>
      </w:r>
      <w:r w:rsidRPr="00A01F1C">
        <w:t>KP21+.</w:t>
      </w:r>
    </w:p>
    <w:p w14:paraId="74CCBF51" w14:textId="702E82EB" w:rsidR="00F00A6F" w:rsidRDefault="00F00A6F" w:rsidP="007D780F">
      <w:pPr>
        <w:pStyle w:val="ABCodstavec"/>
      </w:pPr>
      <w:r w:rsidRPr="00A01F1C">
        <w:t>V souladu</w:t>
      </w:r>
      <w:r w:rsidR="00A9639A">
        <w:t xml:space="preserve"> s </w:t>
      </w:r>
      <w:r w:rsidRPr="00A01F1C">
        <w:t>Nařízením Evropského parlamentu a Rady (EU) č.</w:t>
      </w:r>
      <w:r w:rsidR="00303192">
        <w:t> </w:t>
      </w:r>
      <w:r w:rsidRPr="00A01F1C">
        <w:t>2021/1060 ze dne 24. června 2021 a</w:t>
      </w:r>
      <w:r w:rsidR="00A9639A">
        <w:t xml:space="preserve"> s </w:t>
      </w:r>
      <w:r w:rsidRPr="00A01F1C">
        <w:t>Pravidly pro žadatele a příjemce</w:t>
      </w:r>
      <w:r>
        <w:t xml:space="preserve"> OPD2021+</w:t>
      </w:r>
      <w:r w:rsidRPr="00A01F1C">
        <w:t xml:space="preserve"> může být příjemci poskytovatelem uložena povinnost (na základě výzvy Řídicího orgánu) vrátit část, případně i všechny prostředky poskytnuté na základě</w:t>
      </w:r>
      <w:r>
        <w:t xml:space="preserve"> odst.</w:t>
      </w:r>
      <w:r w:rsidRPr="00A01F1C">
        <w:t xml:space="preserve"> </w:t>
      </w:r>
      <w:r>
        <w:t>4.</w:t>
      </w:r>
      <w:r w:rsidRPr="00A01F1C">
        <w:t>B.</w:t>
      </w:r>
      <w:r>
        <w:t>1</w:t>
      </w:r>
      <w:r w:rsidR="00303192">
        <w:t>.</w:t>
      </w:r>
      <w:r w:rsidRPr="00A01F1C">
        <w:t xml:space="preserve"> této Smlouvy</w:t>
      </w:r>
      <w:r w:rsidR="00A9639A">
        <w:t xml:space="preserve"> v </w:t>
      </w:r>
      <w:r w:rsidRPr="00A01F1C">
        <w:t>případě, že vytvoří příjmy, které nebyly zohledněny</w:t>
      </w:r>
      <w:r w:rsidR="00A9639A">
        <w:t xml:space="preserve"> v </w:t>
      </w:r>
      <w:r w:rsidRPr="00A01F1C">
        <w:t>žádosti</w:t>
      </w:r>
      <w:r w:rsidR="00A9639A">
        <w:t xml:space="preserve"> o </w:t>
      </w:r>
      <w:r w:rsidRPr="00A01F1C">
        <w:t>podporu, resp. při vydání Schvalovacího protokolu.</w:t>
      </w:r>
    </w:p>
    <w:p w14:paraId="6DD48EF1" w14:textId="77777777" w:rsidR="00F00A6F" w:rsidRDefault="00F00A6F" w:rsidP="007D780F">
      <w:pPr>
        <w:pStyle w:val="st"/>
      </w:pPr>
      <w:r>
        <w:t xml:space="preserve">Práva a </w:t>
      </w:r>
      <w:r w:rsidRPr="00AE526C">
        <w:t>povinnosti</w:t>
      </w:r>
      <w:r>
        <w:t xml:space="preserve"> poskytovatele:</w:t>
      </w:r>
    </w:p>
    <w:p w14:paraId="0E7CB1F5" w14:textId="3319CA3F" w:rsidR="00F00A6F" w:rsidRPr="00AE526C" w:rsidRDefault="00F00A6F" w:rsidP="007D780F">
      <w:pPr>
        <w:pStyle w:val="ABCodstavec"/>
      </w:pPr>
      <w:r>
        <w:t xml:space="preserve">Poskytovatel je povinen převádět poskytované finanční prostředky dle této Smlouvy </w:t>
      </w:r>
      <w:r w:rsidRPr="00AE526C">
        <w:t>výlučně na účet příjemce uvedený</w:t>
      </w:r>
      <w:r w:rsidR="00A9639A" w:rsidRPr="00AE526C">
        <w:t xml:space="preserve"> v </w:t>
      </w:r>
      <w:r w:rsidRPr="00AE526C">
        <w:t>článku 6</w:t>
      </w:r>
      <w:r w:rsidR="00A9639A" w:rsidRPr="00AE526C">
        <w:t xml:space="preserve"> v </w:t>
      </w:r>
      <w:r w:rsidRPr="00AE526C">
        <w:t>souladu</w:t>
      </w:r>
      <w:r w:rsidR="00A9639A" w:rsidRPr="00AE526C">
        <w:t xml:space="preserve"> s </w:t>
      </w:r>
      <w:r w:rsidRPr="00AE526C">
        <w:t>účelovým určením poskytovaných finančních prostředků a</w:t>
      </w:r>
      <w:r w:rsidR="00A9639A" w:rsidRPr="00AE526C">
        <w:t xml:space="preserve"> v </w:t>
      </w:r>
      <w:r w:rsidRPr="00AE526C">
        <w:t>termínu stanoveném touto Smlouvou.</w:t>
      </w:r>
    </w:p>
    <w:p w14:paraId="60C3C7F6" w14:textId="73A0AA3C" w:rsidR="00F00A6F" w:rsidRPr="00AE526C" w:rsidRDefault="00F00A6F" w:rsidP="007D780F">
      <w:pPr>
        <w:pStyle w:val="ABCodstavec"/>
      </w:pPr>
      <w:r w:rsidRPr="00AE526C">
        <w:t>Poskytovatel je při poskytování finančních prostředků dle této Smlouvy vázán platnými právními předpisy, Schvalovacím protokolem a Specifikací, podmínkami stanovenými ve schváleném OPD2021+, ve Výzvě,</w:t>
      </w:r>
      <w:r w:rsidR="00A9639A" w:rsidRPr="00AE526C">
        <w:t xml:space="preserve"> v </w:t>
      </w:r>
      <w:r w:rsidRPr="00AE526C">
        <w:t>platném MPFT,</w:t>
      </w:r>
      <w:r w:rsidR="00A9639A" w:rsidRPr="00AE526C">
        <w:t xml:space="preserve"> v </w:t>
      </w:r>
      <w:r w:rsidRPr="00AE526C">
        <w:t>Pravidlech pro žadatele a příjemce OPD2021+,</w:t>
      </w:r>
      <w:r w:rsidR="00A9639A" w:rsidRPr="00AE526C">
        <w:t xml:space="preserve"> v </w:t>
      </w:r>
      <w:r w:rsidRPr="00AE526C">
        <w:t>Pravidlech pro financování ze Státního fondu dopravní infrastruktury a</w:t>
      </w:r>
      <w:r w:rsidR="00A9639A" w:rsidRPr="00AE526C">
        <w:t xml:space="preserve"> v </w:t>
      </w:r>
      <w:r w:rsidRPr="00AE526C">
        <w:t>pokynech stanovených Řídicím orgánem.</w:t>
      </w:r>
    </w:p>
    <w:p w14:paraId="51DB1EE7" w14:textId="636BB187" w:rsidR="00F00A6F" w:rsidRDefault="00F00A6F" w:rsidP="007D780F">
      <w:pPr>
        <w:pStyle w:val="ABCodstavec"/>
      </w:pPr>
      <w:r w:rsidRPr="00AE526C">
        <w:t>Poskytovatel je oprávněn</w:t>
      </w:r>
      <w:r w:rsidR="00A9639A" w:rsidRPr="00AE526C">
        <w:t xml:space="preserve"> v </w:t>
      </w:r>
      <w:r w:rsidRPr="00AE526C">
        <w:t>odůvodněných případech,</w:t>
      </w:r>
      <w:r w:rsidR="00A9639A" w:rsidRPr="00AE526C">
        <w:t xml:space="preserve"> o </w:t>
      </w:r>
      <w:r w:rsidRPr="00AE526C">
        <w:t>kterých písemně informuje příjemce, pozastavit uvolňování finančních prostředků a neposkytnout další finanční prostředky, pokud příjemce závažným způsobem poruší ustanovení této Smlouvy</w:t>
      </w:r>
      <w:r>
        <w:t>, např. použije poskytnuté finanční prostředky</w:t>
      </w:r>
      <w:r w:rsidR="00A9639A">
        <w:t xml:space="preserve"> k </w:t>
      </w:r>
      <w:r>
        <w:t>jinému účelu, než byly podle této Smlouvy poskytnuty.</w:t>
      </w:r>
      <w:r w:rsidR="00A9639A">
        <w:t xml:space="preserve"> V </w:t>
      </w:r>
      <w:r>
        <w:t>případě zjištění porušení Smlouvy nebo podmínek, za kterých byl schválen příspěvek pro Projekt</w:t>
      </w:r>
      <w:r w:rsidR="00A9639A">
        <w:t xml:space="preserve"> z </w:t>
      </w:r>
      <w:r>
        <w:t>fondů Evropské unie, je poskytovatel povinen na tuto skutečnost příjemce upozornit a stanovit mu lhůtu ke zjednání nápravy</w:t>
      </w:r>
      <w:r w:rsidR="00A9639A">
        <w:t xml:space="preserve"> v </w:t>
      </w:r>
      <w:r>
        <w:t>případech, kde je zjednání nápravy možné a kde je porušení povinností postiženo dle článku 10 této Smlouvy nižším odvodem za porušení rozpočtové kázně, či finanční opravou (dále také společně jen „sankce“), než kolik činí celková výše poskytovaných finančních prostředků a současně</w:t>
      </w:r>
      <w:r w:rsidR="00A9639A">
        <w:t xml:space="preserve"> o </w:t>
      </w:r>
      <w:r>
        <w:t xml:space="preserve">tom písemně informuje Řídicí orgán a příslušný finanční úřad. Při porušení povinností stanovených právním předpisem, nebo pokud příjemce nedodržel účel, pro který </w:t>
      </w:r>
      <w:r>
        <w:lastRenderedPageBreak/>
        <w:t>mu byly finanční prostředky poskytnuty, nebo porušil jinou podmínku, za které mu byly finanční prostředky poskytnuty a u které nebylo možné zjednat nápravu, vyzve poskytovatel písemně příjemce, aby ve lhůtě, kterou mu stanoví, vrátil finanční prostředky, kterých se porušení povinností týká, a současně</w:t>
      </w:r>
      <w:r w:rsidR="00A9639A">
        <w:t xml:space="preserve"> o </w:t>
      </w:r>
      <w:r>
        <w:t>tom informuje Řídicí orgán a příslušný finanční úřad.</w:t>
      </w:r>
      <w:r w:rsidR="00A9639A">
        <w:t xml:space="preserve"> O </w:t>
      </w:r>
      <w:r>
        <w:t>zjednání nápravy nebo</w:t>
      </w:r>
      <w:r w:rsidR="00A9639A">
        <w:t xml:space="preserve"> o </w:t>
      </w:r>
      <w:r>
        <w:t>vrácení finančních prostředků tam, kde zjednání nápravy není možné, poskytovatel neprodleně písemně informuje Řídicí orgán a příslušný finanční úřad. Pokud ve stanovené lhůtě nebude náprava zjednána nebo nebudou vráceny finanční prostředky</w:t>
      </w:r>
      <w:r w:rsidR="00A9639A">
        <w:t xml:space="preserve"> v </w:t>
      </w:r>
      <w:r>
        <w:t>případě, kde je vrácení finančních prostředků požadováno, je poskytovatel oprávněn pozastavit příjemci čerpání finančních prostředků a</w:t>
      </w:r>
      <w:r w:rsidR="00303192">
        <w:t> </w:t>
      </w:r>
      <w:r>
        <w:t>neposkytnout další finanční prostředky a současně má poskytovatel právo od této Smlouvy odstoupit.</w:t>
      </w:r>
      <w:r w:rsidR="00A9639A">
        <w:t xml:space="preserve"> V </w:t>
      </w:r>
      <w:r>
        <w:t>případě poskytnutých finančních prostředků, které byly příjemcem prokazatelně neoprávněně vyplacené nebo zadržené, platí postupy uvedené</w:t>
      </w:r>
      <w:r w:rsidR="00A9639A">
        <w:t xml:space="preserve"> v </w:t>
      </w:r>
      <w:r>
        <w:t>článku 10. Následky porušení povinností vyplývajících</w:t>
      </w:r>
      <w:r w:rsidR="00A9639A">
        <w:t xml:space="preserve"> z </w:t>
      </w:r>
      <w:r>
        <w:t>této Smlouvy.</w:t>
      </w:r>
    </w:p>
    <w:p w14:paraId="5E3D6B64" w14:textId="24412DA1" w:rsidR="00F00A6F" w:rsidRPr="00AE526C" w:rsidRDefault="00F00A6F" w:rsidP="007D780F">
      <w:pPr>
        <w:pStyle w:val="ABCodstavec"/>
      </w:pPr>
      <w:r w:rsidRPr="00AE526C">
        <w:t>Poskytovatel je oprávněn odstoupit od této Smlouvy</w:t>
      </w:r>
      <w:r w:rsidR="00A9639A" w:rsidRPr="00AE526C">
        <w:t xml:space="preserve"> v </w:t>
      </w:r>
      <w:r w:rsidRPr="00AE526C">
        <w:t>případě, že se prokáže, že údaje sdělené mu příjemcem a dokladující dodržení podmínek stanovených poskytovatelem ve Smlouvě jsou zkreslené, nepravdivé nebo i přes předchozí upozornění poskytovatele neúplné.</w:t>
      </w:r>
    </w:p>
    <w:p w14:paraId="754DD59C" w14:textId="3264E3BA" w:rsidR="00F00A6F" w:rsidRPr="00AE526C" w:rsidRDefault="00F00A6F" w:rsidP="007D780F">
      <w:pPr>
        <w:pStyle w:val="ABCodstavec"/>
      </w:pPr>
      <w:r w:rsidRPr="00AE526C">
        <w:t>Poskytovatel je oprávněn odstoupit od této Smlouvy také</w:t>
      </w:r>
      <w:r w:rsidR="00A9639A" w:rsidRPr="00AE526C">
        <w:t xml:space="preserve"> v </w:t>
      </w:r>
      <w:r w:rsidRPr="00AE526C">
        <w:t>případě, že Řídicí orgán rozhodne</w:t>
      </w:r>
      <w:r w:rsidR="00A9639A" w:rsidRPr="00AE526C">
        <w:t xml:space="preserve"> o </w:t>
      </w:r>
      <w:r w:rsidRPr="00AE526C">
        <w:t>zrušení Schvalovacího protokolu, pokud se prokáže, že údaje sdělené příjemcem Řídicímu orgánu, které vedly</w:t>
      </w:r>
      <w:r w:rsidR="00A9639A" w:rsidRPr="00AE526C">
        <w:t xml:space="preserve"> k </w:t>
      </w:r>
      <w:r w:rsidRPr="00AE526C">
        <w:t>vystavení Schvalovacího protokolu, byly zkreslené, nepravdivé, neúplné či zavádějící.</w:t>
      </w:r>
    </w:p>
    <w:p w14:paraId="4608AC4B" w14:textId="3EA101D5" w:rsidR="00F00A6F" w:rsidRDefault="00F00A6F" w:rsidP="007D780F">
      <w:pPr>
        <w:pStyle w:val="ABCodstavec"/>
      </w:pPr>
      <w:r w:rsidRPr="00AE526C">
        <w:t>Po</w:t>
      </w:r>
      <w:r>
        <w:t>skytovatel je povinen informovat příjemce</w:t>
      </w:r>
      <w:r w:rsidR="00A9639A">
        <w:t xml:space="preserve"> o </w:t>
      </w:r>
      <w:r>
        <w:t>změnách metodik a pokynů, na které je ve Smlouvě odkazováno, pokud tak neučiní Řídicí orgán.</w:t>
      </w:r>
    </w:p>
    <w:p w14:paraId="55C6A55E" w14:textId="77777777" w:rsidR="00F00A6F" w:rsidRDefault="00F00A6F" w:rsidP="007D780F">
      <w:pPr>
        <w:pStyle w:val="lnku"/>
      </w:pPr>
    </w:p>
    <w:p w14:paraId="40C2E51C" w14:textId="73CC552A" w:rsidR="00F00A6F" w:rsidRDefault="00F00A6F" w:rsidP="00F00A6F">
      <w:pPr>
        <w:pStyle w:val="Nzevlnku"/>
      </w:pPr>
      <w:r>
        <w:t>Kontrola nakládání</w:t>
      </w:r>
      <w:r w:rsidR="00A9639A">
        <w:t xml:space="preserve"> s </w:t>
      </w:r>
      <w:r>
        <w:t>finančními prostředky</w:t>
      </w:r>
    </w:p>
    <w:p w14:paraId="0FDC3479" w14:textId="43E0364B" w:rsidR="00F00A6F" w:rsidRPr="00AE526C" w:rsidRDefault="00F00A6F" w:rsidP="007D780F">
      <w:pPr>
        <w:pStyle w:val="123odstavec"/>
      </w:pPr>
      <w:r>
        <w:t>Příjemce je povinen poskytnout veškerou součinnost poskytovateli a účinně spolupracovat při výkonu kontroly hospodárného, účelného a efektivního nakládání</w:t>
      </w:r>
      <w:r w:rsidR="00A9639A">
        <w:t xml:space="preserve"> s </w:t>
      </w:r>
      <w:r>
        <w:t xml:space="preserve">poskytnutými finančními prostředky, kontroly dodržování právních předpisů a příslušných metodických postupů, kontroly zajištění ochrany poskytnutých finančních prostředků proti rizikům, nesrovnalostem nebo jiným </w:t>
      </w:r>
      <w:r w:rsidRPr="00AE526C">
        <w:t>nedostatkům tak, aby kontrolním pracovníkům poskytovatele bylo umožněno provedení kontroly</w:t>
      </w:r>
      <w:r w:rsidR="00A9639A" w:rsidRPr="00AE526C">
        <w:t xml:space="preserve"> v </w:t>
      </w:r>
      <w:r w:rsidRPr="00AE526C">
        <w:t>souladu</w:t>
      </w:r>
      <w:r w:rsidR="00A9639A" w:rsidRPr="00AE526C">
        <w:t xml:space="preserve"> s </w:t>
      </w:r>
      <w:r w:rsidRPr="00AE526C">
        <w:t>§</w:t>
      </w:r>
      <w:r w:rsidR="00303192">
        <w:t> </w:t>
      </w:r>
      <w:r w:rsidRPr="00AE526C">
        <w:t>3 odst. 7 zákona č.</w:t>
      </w:r>
      <w:r w:rsidR="00303192">
        <w:t> </w:t>
      </w:r>
      <w:r w:rsidRPr="00AE526C">
        <w:t>104/2000 Sb. Provedení kontroly se bude řídit zákonem č. 255/2012 Sb.,</w:t>
      </w:r>
      <w:r w:rsidR="00A9639A" w:rsidRPr="00AE526C">
        <w:t xml:space="preserve"> o </w:t>
      </w:r>
      <w:r w:rsidRPr="00AE526C">
        <w:t>kontrole (kontrolní řád), ve znění pozdějších předpisů, a zákonem č.</w:t>
      </w:r>
      <w:r w:rsidR="00303192">
        <w:t> </w:t>
      </w:r>
      <w:r w:rsidRPr="00AE526C">
        <w:t>320/2001 Sb.,</w:t>
      </w:r>
      <w:r w:rsidR="00A9639A" w:rsidRPr="00AE526C">
        <w:t xml:space="preserve"> o </w:t>
      </w:r>
      <w:r w:rsidRPr="00AE526C">
        <w:t>finanční kontrole ve veřejné správě a</w:t>
      </w:r>
      <w:r w:rsidR="00A9639A" w:rsidRPr="00AE526C">
        <w:t xml:space="preserve"> o </w:t>
      </w:r>
      <w:r w:rsidRPr="00AE526C">
        <w:t>změně některých zákonů (zákon</w:t>
      </w:r>
      <w:r w:rsidR="00A9639A" w:rsidRPr="00AE526C">
        <w:t xml:space="preserve"> o </w:t>
      </w:r>
      <w:r w:rsidRPr="00AE526C">
        <w:t>finanční kontrole), ve znění pozdějších předpisů, MPFT a Manuálem pracovních postupů poskytovatele.</w:t>
      </w:r>
    </w:p>
    <w:p w14:paraId="0DD5BC82" w14:textId="78FE4D1D" w:rsidR="00F00A6F" w:rsidRDefault="00F00A6F" w:rsidP="007D780F">
      <w:pPr>
        <w:pStyle w:val="123odstavec"/>
      </w:pPr>
      <w:r w:rsidRPr="00AE526C">
        <w:t>Při zjištění podezření na nesrovnalost (ve smyslu příslušných právních předpisů EU) při</w:t>
      </w:r>
      <w:r>
        <w:t xml:space="preserve"> čerpání finančních prostředků poskytovaných na základě této Smlouvy, neprodleně informuje poskytovatel</w:t>
      </w:r>
      <w:r w:rsidR="00A9639A">
        <w:t xml:space="preserve"> o </w:t>
      </w:r>
      <w:r>
        <w:t>této skutečnosti Řídicí orgán, který</w:t>
      </w:r>
      <w:r w:rsidR="00A9639A">
        <w:t xml:space="preserve"> s </w:t>
      </w:r>
      <w:r>
        <w:t>ohledem na charakter zjištěných nesrovnalostí rozhodne</w:t>
      </w:r>
      <w:r w:rsidR="00A9639A">
        <w:t xml:space="preserve"> o </w:t>
      </w:r>
      <w:r>
        <w:t>dalším postupu. Současně je poskytovatel oprávněn při zjištění nesrovnalostí ve vztahu</w:t>
      </w:r>
      <w:r w:rsidR="00A9639A">
        <w:t xml:space="preserve"> k </w:t>
      </w:r>
      <w:r>
        <w:t>finančním prostředkům poskytnutým na financování Projektu žádat vrácení poskytnutých finančních prostředků, pozastavit jejich čerpání a činit další nezbytná opatření</w:t>
      </w:r>
      <w:r w:rsidR="00A9639A">
        <w:t xml:space="preserve"> k </w:t>
      </w:r>
      <w:r>
        <w:t>zabezpečení předpokládané efektivnosti a souladu financovaných činností</w:t>
      </w:r>
      <w:r w:rsidR="00A9639A">
        <w:t xml:space="preserve"> s </w:t>
      </w:r>
      <w:r>
        <w:t>platnými předpisy a mezinárodními závazky.</w:t>
      </w:r>
    </w:p>
    <w:p w14:paraId="5BAD83B1" w14:textId="491DA51B" w:rsidR="00F00A6F" w:rsidRDefault="00F00A6F" w:rsidP="007D780F">
      <w:pPr>
        <w:pStyle w:val="123odstavec"/>
      </w:pPr>
      <w:r w:rsidRPr="009A49B3">
        <w:lastRenderedPageBreak/>
        <w:t>Poskytovatel (a rovněž i ostatní subjekty uvedené</w:t>
      </w:r>
      <w:r w:rsidR="00A9639A">
        <w:t xml:space="preserve"> v </w:t>
      </w:r>
      <w:r w:rsidRPr="009A49B3">
        <w:t xml:space="preserve">odst. </w:t>
      </w:r>
      <w:r>
        <w:t>8.</w:t>
      </w:r>
      <w:r w:rsidRPr="009A49B3">
        <w:t>A.10. této Smlouvy) je oprávněn</w:t>
      </w:r>
      <w:r w:rsidR="00A9639A">
        <w:t xml:space="preserve"> v </w:t>
      </w:r>
      <w:r w:rsidRPr="009A49B3">
        <w:t>souvislosti</w:t>
      </w:r>
      <w:r w:rsidR="00A9639A">
        <w:t xml:space="preserve"> s </w:t>
      </w:r>
      <w:r w:rsidRPr="009A49B3">
        <w:t>prováděnou kontrolou zjišťovat u</w:t>
      </w:r>
      <w:r>
        <w:t> </w:t>
      </w:r>
      <w:r w:rsidRPr="009A49B3">
        <w:t>příjemce</w:t>
      </w:r>
      <w:r>
        <w:t>, u partnerů Projektu</w:t>
      </w:r>
      <w:r w:rsidRPr="009A49B3">
        <w:t xml:space="preserve"> a u </w:t>
      </w:r>
      <w:r>
        <w:t xml:space="preserve">dalších </w:t>
      </w:r>
      <w:r w:rsidRPr="009A49B3">
        <w:t>osob se smluvními závazky vůči příjemci veškeré údaje nezbytné pro tuto kontrolu. Příjemce se zavazuje písemně deklarovat právo poskytovatele na zjišťování veškerých podkladů a údajů nutných pro tuto kontrolu u</w:t>
      </w:r>
      <w:r>
        <w:t xml:space="preserve"> partnerů Projektu a u dalších</w:t>
      </w:r>
      <w:r w:rsidRPr="009A49B3">
        <w:t xml:space="preserve"> osob se smluvními závazky vůči příjemci ve smluvní</w:t>
      </w:r>
      <w:r>
        <w:t>ch</w:t>
      </w:r>
      <w:r w:rsidRPr="009A49B3">
        <w:t xml:space="preserve"> vzta</w:t>
      </w:r>
      <w:r>
        <w:t>zích</w:t>
      </w:r>
      <w:r w:rsidRPr="009A49B3">
        <w:t xml:space="preserve"> mezi příjemcem a </w:t>
      </w:r>
      <w:r>
        <w:t xml:space="preserve">dalšími </w:t>
      </w:r>
      <w:r w:rsidRPr="009A49B3">
        <w:t>osob</w:t>
      </w:r>
      <w:r>
        <w:t>ami</w:t>
      </w:r>
      <w:r w:rsidR="00A9639A">
        <w:t xml:space="preserve"> v </w:t>
      </w:r>
      <w:r w:rsidRPr="009A49B3">
        <w:t>případech, kde smluvní vztah je financován či spolufinancován</w:t>
      </w:r>
      <w:r w:rsidR="00A9639A">
        <w:t xml:space="preserve"> z </w:t>
      </w:r>
      <w:r w:rsidRPr="009A49B3">
        <w:t>finančních prostředků poskytovaných na základě této Smlouvy</w:t>
      </w:r>
      <w:r>
        <w:t>, a je povinen zavázat tyto partnery Projektu a osoby podrobit se těmto kontrolám</w:t>
      </w:r>
      <w:r w:rsidRPr="009A49B3">
        <w:t>. Toto oprávnění</w:t>
      </w:r>
      <w:r w:rsidR="00A9639A">
        <w:t xml:space="preserve"> k </w:t>
      </w:r>
      <w:r>
        <w:t>výkonu kontroly či</w:t>
      </w:r>
      <w:r w:rsidR="00A9639A">
        <w:t xml:space="preserve"> k </w:t>
      </w:r>
      <w:r>
        <w:t xml:space="preserve">provedení auditu </w:t>
      </w:r>
      <w:r w:rsidRPr="009A49B3">
        <w:t>je příjemce povinen zajistit stejným způsobem i pro ostatní subjekty uvedené</w:t>
      </w:r>
      <w:r w:rsidR="00A9639A">
        <w:t xml:space="preserve"> v </w:t>
      </w:r>
      <w:r w:rsidRPr="009A49B3">
        <w:t xml:space="preserve">odst. </w:t>
      </w:r>
      <w:r>
        <w:t>8.</w:t>
      </w:r>
      <w:r w:rsidRPr="009A49B3">
        <w:t>A.10. této Smlouvy.</w:t>
      </w:r>
    </w:p>
    <w:p w14:paraId="2AA20D8C" w14:textId="77777777" w:rsidR="00F00A6F" w:rsidRDefault="00F00A6F" w:rsidP="007D780F">
      <w:pPr>
        <w:pStyle w:val="lnku"/>
      </w:pPr>
    </w:p>
    <w:p w14:paraId="25EE6B15" w14:textId="7193DC1C" w:rsidR="00F00A6F" w:rsidRPr="00643F3C" w:rsidRDefault="00F00A6F" w:rsidP="00F00A6F">
      <w:pPr>
        <w:pStyle w:val="Nzevlnku"/>
      </w:pPr>
      <w:r w:rsidRPr="00643F3C">
        <w:t>Následky porušení povinností vyplývajících</w:t>
      </w:r>
      <w:r w:rsidR="00A9639A">
        <w:t xml:space="preserve"> z </w:t>
      </w:r>
      <w:r w:rsidRPr="00643F3C">
        <w:t>této Smlouvy</w:t>
      </w:r>
    </w:p>
    <w:p w14:paraId="468ED973" w14:textId="605B27CF" w:rsidR="00F00A6F" w:rsidRPr="00AE526C" w:rsidRDefault="00F00A6F" w:rsidP="007D780F">
      <w:pPr>
        <w:pStyle w:val="123odstavec"/>
      </w:pPr>
      <w:r w:rsidRPr="009A49B3">
        <w:t>V případě, že finanční prostředky poskytnuté dle této Smlouvy nebudou užity na účel, na který byly určeny, nebo příjemce poruší ve vztahu</w:t>
      </w:r>
      <w:r w:rsidR="00A9639A">
        <w:t xml:space="preserve"> k </w:t>
      </w:r>
      <w:r w:rsidRPr="009A49B3">
        <w:t xml:space="preserve">poskytovaným </w:t>
      </w:r>
      <w:r w:rsidRPr="00AE526C">
        <w:t>finančním prostředkům povinnosti stanovené právními předpisy, pravidly a</w:t>
      </w:r>
      <w:r w:rsidR="00303192">
        <w:t> </w:t>
      </w:r>
      <w:r w:rsidRPr="00AE526C">
        <w:t>metodikami, kterými se financování Projektu řídí, nebo příjemce poruší jiné povinnosti vyplývající pro něj</w:t>
      </w:r>
      <w:r w:rsidR="00A9639A" w:rsidRPr="00AE526C">
        <w:t xml:space="preserve"> z </w:t>
      </w:r>
      <w:r w:rsidRPr="00AE526C">
        <w:t>této Smlouvy a na straně poskytovatele vznikne podezření na nesrovnalost při čerpání finančních prostředků příjemcem spočívající</w:t>
      </w:r>
      <w:r w:rsidR="00A9639A" w:rsidRPr="00AE526C">
        <w:t xml:space="preserve"> v </w:t>
      </w:r>
      <w:r w:rsidRPr="00AE526C">
        <w:t>podezření na porušení rozpočtové kázně, a nebude zjednána náprava nebo vrácené nesrovnalostí dotčené poskytnuté finanční prostředky ve smyslu odst. 8.B.3., upozorní poskytovatel na tuto skutečnost Řídicí orgán, který rozhodne</w:t>
      </w:r>
      <w:r w:rsidR="00A9639A" w:rsidRPr="00AE526C">
        <w:t xml:space="preserve"> o </w:t>
      </w:r>
      <w:r w:rsidRPr="00AE526C">
        <w:t>dalším postupu.</w:t>
      </w:r>
    </w:p>
    <w:p w14:paraId="7138DBEE" w14:textId="3443835E" w:rsidR="00F00A6F" w:rsidRPr="00AE526C" w:rsidRDefault="00F00A6F" w:rsidP="007D780F">
      <w:pPr>
        <w:pStyle w:val="123odstavec"/>
      </w:pPr>
      <w:r w:rsidRPr="00AE526C">
        <w:t>Pokud se při podezření na nesrovnalost nebude postupovat podle odst. 8.B.3. a</w:t>
      </w:r>
      <w:r w:rsidR="00303192">
        <w:t> </w:t>
      </w:r>
      <w:r w:rsidRPr="00AE526C">
        <w:t>šetřením se dojde</w:t>
      </w:r>
      <w:r w:rsidR="00A9639A" w:rsidRPr="00AE526C">
        <w:t xml:space="preserve"> k </w:t>
      </w:r>
      <w:r w:rsidRPr="00AE526C">
        <w:t>závěru, že došlo</w:t>
      </w:r>
      <w:r w:rsidR="00A9639A" w:rsidRPr="00AE526C">
        <w:t xml:space="preserve"> k </w:t>
      </w:r>
      <w:r w:rsidRPr="00AE526C">
        <w:t>porušení rozpočtové kázně, je příjemce povinen odvést veškeré prokazatelně neoprávněně vyplacené nebo zadržované finanční prostředky poskytnuté dle této Smlouvy, a to včetně penále ve smyslu § 44a zákona č.</w:t>
      </w:r>
      <w:r w:rsidR="00303192">
        <w:t> </w:t>
      </w:r>
      <w:r w:rsidRPr="00AE526C">
        <w:t>218/2000 Sb.,</w:t>
      </w:r>
      <w:r w:rsidR="00A9639A" w:rsidRPr="00AE526C">
        <w:t xml:space="preserve"> o </w:t>
      </w:r>
      <w:r w:rsidRPr="00AE526C">
        <w:t>rozpočtových pravidlech a</w:t>
      </w:r>
      <w:r w:rsidR="00A9639A" w:rsidRPr="00AE526C">
        <w:t xml:space="preserve"> o </w:t>
      </w:r>
      <w:r w:rsidRPr="00AE526C">
        <w:t>změně některých souvisejících zákonů (rozpočtová pravidla), ve znění pozdějších předpisů (dále jen „zákon č.</w:t>
      </w:r>
      <w:r w:rsidR="00303192">
        <w:t> </w:t>
      </w:r>
      <w:r w:rsidRPr="00AE526C">
        <w:t>218/2000 Sb.“),</w:t>
      </w:r>
      <w:r w:rsidR="00A9639A" w:rsidRPr="00AE526C">
        <w:t xml:space="preserve"> v </w:t>
      </w:r>
      <w:r w:rsidRPr="00AE526C">
        <w:t>termínu stanoveném příslušným finančním úřadem prostřednictvím tohoto finančního úřadu. Toto neplatí pro případy porušení rozpočtové kázně</w:t>
      </w:r>
      <w:r w:rsidR="00A9639A" w:rsidRPr="00AE526C">
        <w:t xml:space="preserve"> z </w:t>
      </w:r>
      <w:r w:rsidRPr="00AE526C">
        <w:t>důvodů uvedených</w:t>
      </w:r>
      <w:r w:rsidR="00A9639A" w:rsidRPr="00AE526C">
        <w:t xml:space="preserve"> v </w:t>
      </w:r>
      <w:r w:rsidRPr="00AE526C">
        <w:t>odst. 10.4. až 10.7., ve kterých je</w:t>
      </w:r>
      <w:r w:rsidR="00A9639A" w:rsidRPr="00AE526C">
        <w:t xml:space="preserve"> v </w:t>
      </w:r>
      <w:r w:rsidRPr="00AE526C">
        <w:t>souladu</w:t>
      </w:r>
      <w:r w:rsidR="00A9639A" w:rsidRPr="00AE526C">
        <w:t xml:space="preserve"> s </w:t>
      </w:r>
      <w:r w:rsidRPr="00AE526C">
        <w:t>§</w:t>
      </w:r>
      <w:r w:rsidR="00303192">
        <w:t> </w:t>
      </w:r>
      <w:r w:rsidRPr="00AE526C">
        <w:t>14 odst. 5 zákona č.</w:t>
      </w:r>
      <w:r w:rsidR="00303192">
        <w:t> </w:t>
      </w:r>
      <w:r w:rsidRPr="00AE526C">
        <w:t>218/2000 Sb. stanoven odvod za porušení rozpočtové kázně (sankce) nižší, než je celková částka poskytovaných finančních prostředků na Projekt dle této Smlouvy.</w:t>
      </w:r>
    </w:p>
    <w:p w14:paraId="2D5A1A6B" w14:textId="527A0813" w:rsidR="00F00A6F" w:rsidRDefault="00F00A6F" w:rsidP="007D780F">
      <w:pPr>
        <w:pStyle w:val="123odstavec"/>
      </w:pPr>
      <w:r w:rsidRPr="00AE526C">
        <w:t>Méně závažná porušení povinností vyplývajících pro příjemce</w:t>
      </w:r>
      <w:r w:rsidR="00A9639A" w:rsidRPr="00AE526C">
        <w:t xml:space="preserve"> z </w:t>
      </w:r>
      <w:r w:rsidRPr="00AE526C">
        <w:t>této Smlouvy ve smyslu §</w:t>
      </w:r>
      <w:r w:rsidR="00303192">
        <w:t> </w:t>
      </w:r>
      <w:r w:rsidRPr="00AE526C">
        <w:t>14 odst. 5 zákona č.</w:t>
      </w:r>
      <w:r w:rsidR="00303192">
        <w:t> </w:t>
      </w:r>
      <w:r w:rsidRPr="00AE526C">
        <w:t>218/2000 Sb., budou (pokud nebude ve lhůtě stanovené Řídicím orgánem či poskytovatelem zjednána náprava nebo vráceny finanční</w:t>
      </w:r>
      <w:r w:rsidRPr="009A49B3">
        <w:t xml:space="preserve"> prostředky tam, kde zjednání nápravy není možné) postižena nižším odvodem za porušení rozpočtové kázně (sankcí), než kolik činí celková výše finančních prostředků poskytovaných pro Projekt. Řídicí orgán</w:t>
      </w:r>
      <w:r w:rsidR="00A9639A">
        <w:t xml:space="preserve"> v </w:t>
      </w:r>
      <w:r w:rsidRPr="009A49B3">
        <w:t>těchto případech společně</w:t>
      </w:r>
      <w:r w:rsidR="00A9639A">
        <w:t xml:space="preserve"> s </w:t>
      </w:r>
      <w:r w:rsidRPr="009A49B3">
        <w:t>rozhodnutím</w:t>
      </w:r>
      <w:r w:rsidR="00A9639A">
        <w:t xml:space="preserve"> o </w:t>
      </w:r>
      <w:r w:rsidRPr="009A49B3">
        <w:t xml:space="preserve">dalším postupu stanoví i případnou výši odvodu za porušení rozpočtové kázně (sankci) </w:t>
      </w:r>
      <w:r>
        <w:t>podle sankcí</w:t>
      </w:r>
      <w:r w:rsidRPr="009A49B3">
        <w:t xml:space="preserve"> uvedených</w:t>
      </w:r>
      <w:r w:rsidR="00A9639A">
        <w:t xml:space="preserve"> v </w:t>
      </w:r>
      <w:r w:rsidRPr="009A49B3">
        <w:t>odst. 10.4. až 10.</w:t>
      </w:r>
      <w:r>
        <w:t>7</w:t>
      </w:r>
      <w:r w:rsidRPr="009A49B3">
        <w:t xml:space="preserve">. Pokud se podle charakteru šetřením zjištěných porušení povinností stanoví odvod za porušení rozpočtové kázně (sankce) </w:t>
      </w:r>
      <w:r>
        <w:t>podle</w:t>
      </w:r>
      <w:r w:rsidRPr="009A49B3">
        <w:t xml:space="preserve"> procentních rozpětí, bude při stanovení konkrétní výše přihlédnuto zejména</w:t>
      </w:r>
      <w:r w:rsidR="00A9639A">
        <w:t xml:space="preserve"> k </w:t>
      </w:r>
      <w:r w:rsidRPr="009A49B3">
        <w:t>závažnosti porušení povinností.</w:t>
      </w:r>
    </w:p>
    <w:p w14:paraId="74B45681" w14:textId="332F0128" w:rsidR="00F00A6F" w:rsidRPr="00AE526C" w:rsidRDefault="00F00A6F" w:rsidP="007D780F">
      <w:pPr>
        <w:pStyle w:val="123odstavec"/>
      </w:pPr>
      <w:r w:rsidRPr="009A49B3">
        <w:lastRenderedPageBreak/>
        <w:t>Nižší sankce za porušení povinností stanovených touto Smlouvou bude</w:t>
      </w:r>
      <w:r w:rsidR="00A9639A">
        <w:t xml:space="preserve"> v </w:t>
      </w:r>
      <w:r w:rsidRPr="009A49B3">
        <w:t>případě nedodržení ustanovení</w:t>
      </w:r>
      <w:r>
        <w:t xml:space="preserve"> </w:t>
      </w:r>
      <w:r w:rsidRPr="00FC77CF">
        <w:t>8.A.17</w:t>
      </w:r>
      <w:r w:rsidR="00303192">
        <w:t>.</w:t>
      </w:r>
      <w:r w:rsidRPr="00FC77CF">
        <w:t xml:space="preserve"> </w:t>
      </w:r>
      <w:r>
        <w:t>(</w:t>
      </w:r>
      <w:r w:rsidRPr="00FC77CF">
        <w:t>povinnost zasílání zpráv</w:t>
      </w:r>
      <w:r w:rsidR="00A9639A">
        <w:t xml:space="preserve"> o </w:t>
      </w:r>
      <w:r w:rsidRPr="00FC77CF">
        <w:t>udržitelnosti projektu), a odst. 9.3</w:t>
      </w:r>
      <w:r w:rsidR="00303192">
        <w:t>.</w:t>
      </w:r>
      <w:r w:rsidRPr="00FC77CF">
        <w:t xml:space="preserve"> </w:t>
      </w:r>
      <w:r w:rsidRPr="00AE526C">
        <w:t>věta druhá Smlouvy (povinnost zajistit součinnost třetích subjektů při výkonu kontroly poskytovatelem a jinými kontrolními orgány) činit 5 000,00 Kč za každé zjištěné porušení povinnosti. Pokud příjemce odstraní zjištěné nedostatky ve lhůtě stanovené poskytovatelem/jiným kontrolním subjektem, nebude mu uložena žádná sankce</w:t>
      </w:r>
    </w:p>
    <w:p w14:paraId="456798AF" w14:textId="572392CA" w:rsidR="00F00A6F" w:rsidRDefault="00F00A6F" w:rsidP="007D780F">
      <w:pPr>
        <w:pStyle w:val="123odstavec"/>
      </w:pPr>
      <w:r w:rsidRPr="00AE526C">
        <w:t>Příjemce je povinen zajistit publicitu Projektu</w:t>
      </w:r>
      <w:r w:rsidR="00A9639A" w:rsidRPr="00AE526C">
        <w:t xml:space="preserve"> v </w:t>
      </w:r>
      <w:r w:rsidRPr="00AE526C">
        <w:t>souladu</w:t>
      </w:r>
      <w:r w:rsidR="00A9639A" w:rsidRPr="00AE526C">
        <w:t xml:space="preserve"> s </w:t>
      </w:r>
      <w:r w:rsidRPr="00AE526C">
        <w:t>Pravidly pro žadatele a</w:t>
      </w:r>
      <w:r w:rsidR="00FF477D">
        <w:t> </w:t>
      </w:r>
      <w:r w:rsidRPr="00AE526C">
        <w:t>příjemce OPD2021+ a Metodickým pokynem pro oblast indikátorů, evaluací a</w:t>
      </w:r>
      <w:r w:rsidR="00FF477D">
        <w:t> </w:t>
      </w:r>
      <w:r w:rsidRPr="00AE526C">
        <w:t>publicity pro programové období 2021-2027. Sankce za porušení povinností</w:t>
      </w:r>
      <w:r w:rsidR="00A9639A" w:rsidRPr="00AE526C">
        <w:t xml:space="preserve"> v </w:t>
      </w:r>
      <w:r w:rsidRPr="00AE526C">
        <w:t>oblasti</w:t>
      </w:r>
      <w:r w:rsidRPr="009A49B3">
        <w:t xml:space="preserve"> publicity je vyměřena procentem</w:t>
      </w:r>
      <w:r w:rsidR="00A9639A">
        <w:t xml:space="preserve"> z </w:t>
      </w:r>
      <w:r w:rsidRPr="009A49B3">
        <w:t>celkové částky podpory uvedené ve Schvalovacím protokolu, a to ve výši 0,01</w:t>
      </w:r>
      <w:r w:rsidR="00FF477D">
        <w:t> </w:t>
      </w:r>
      <w:r w:rsidRPr="009A49B3">
        <w:t>%, až 1</w:t>
      </w:r>
      <w:r w:rsidR="00FF477D">
        <w:t> </w:t>
      </w:r>
      <w:r w:rsidRPr="009A49B3">
        <w:t>% podle zjištěného druhu pochybení, jak je uvedeno</w:t>
      </w:r>
      <w:r w:rsidR="00A9639A">
        <w:t xml:space="preserve"> v </w:t>
      </w:r>
      <w:r w:rsidRPr="009A49B3">
        <w:t xml:space="preserve">Pravidlech pro žadatele a příjemce </w:t>
      </w:r>
      <w:r>
        <w:t xml:space="preserve">OPD2021+ </w:t>
      </w:r>
      <w:r w:rsidRPr="009A49B3">
        <w:t>a</w:t>
      </w:r>
      <w:r w:rsidR="00FF477D">
        <w:t> </w:t>
      </w:r>
      <w:r w:rsidRPr="009A49B3">
        <w:t>Metodickém pokynu pro oblast indikátorů, evaluací a publicity pro programové období 2021-2027. Pokud příjemce odstraní zjištěné nedostatky ve lhůtě stanovené poskytovatelem/jiným kontrolním subjektem, nebude mu uložena žádná sankce.</w:t>
      </w:r>
      <w:r w:rsidR="00A9639A">
        <w:t xml:space="preserve"> V </w:t>
      </w:r>
      <w:r w:rsidRPr="009A49B3">
        <w:t>případě porušení výše uvedených předpisů se výše sankce řídí následujícími tabulkami:</w:t>
      </w:r>
    </w:p>
    <w:tbl>
      <w:tblPr>
        <w:tblStyle w:val="Mkatabulky"/>
        <w:tblW w:w="9138" w:type="dxa"/>
        <w:tblLook w:val="0420" w:firstRow="1" w:lastRow="0" w:firstColumn="0" w:lastColumn="0" w:noHBand="0" w:noVBand="1"/>
      </w:tblPr>
      <w:tblGrid>
        <w:gridCol w:w="709"/>
        <w:gridCol w:w="2268"/>
        <w:gridCol w:w="3967"/>
        <w:gridCol w:w="2194"/>
      </w:tblGrid>
      <w:tr w:rsidR="00F00A6F" w:rsidRPr="003445F5" w14:paraId="3804E077" w14:textId="77777777" w:rsidTr="007176DE">
        <w:trPr>
          <w:cnfStyle w:val="100000000000" w:firstRow="1" w:lastRow="0" w:firstColumn="0" w:lastColumn="0" w:oddVBand="0" w:evenVBand="0" w:oddHBand="0" w:evenHBand="0" w:firstRowFirstColumn="0" w:firstRowLastColumn="0" w:lastRowFirstColumn="0" w:lastRowLastColumn="0"/>
          <w:trHeight w:val="772"/>
          <w:tblHeader/>
        </w:trPr>
        <w:tc>
          <w:tcPr>
            <w:tcW w:w="709" w:type="dxa"/>
          </w:tcPr>
          <w:p w14:paraId="32595B4D" w14:textId="77777777" w:rsidR="00F00A6F" w:rsidRPr="00613A50" w:rsidRDefault="00F00A6F" w:rsidP="007176DE">
            <w:r w:rsidRPr="00613A50">
              <w:t>č.</w:t>
            </w:r>
          </w:p>
        </w:tc>
        <w:tc>
          <w:tcPr>
            <w:tcW w:w="2268" w:type="dxa"/>
          </w:tcPr>
          <w:p w14:paraId="291057C4" w14:textId="77777777" w:rsidR="00F00A6F" w:rsidRPr="00613A50" w:rsidRDefault="00F00A6F" w:rsidP="007176DE">
            <w:r w:rsidRPr="00613A50">
              <w:t>Nástroj publicity</w:t>
            </w:r>
          </w:p>
        </w:tc>
        <w:tc>
          <w:tcPr>
            <w:tcW w:w="3967" w:type="dxa"/>
          </w:tcPr>
          <w:p w14:paraId="7303B5EB" w14:textId="77777777" w:rsidR="00F00A6F" w:rsidRPr="00613A50" w:rsidRDefault="00F00A6F" w:rsidP="007176DE">
            <w:r w:rsidRPr="00613A50">
              <w:t>Pochybení</w:t>
            </w:r>
          </w:p>
        </w:tc>
        <w:tc>
          <w:tcPr>
            <w:tcW w:w="2194" w:type="dxa"/>
          </w:tcPr>
          <w:p w14:paraId="7066EFA8" w14:textId="77777777" w:rsidR="00F00A6F" w:rsidRPr="00613A50" w:rsidRDefault="00F00A6F" w:rsidP="007176DE">
            <w:r w:rsidRPr="00613A50">
              <w:t>Sazba sankce</w:t>
            </w:r>
          </w:p>
        </w:tc>
      </w:tr>
      <w:tr w:rsidR="00294855" w:rsidRPr="003445F5" w14:paraId="68334396" w14:textId="77777777" w:rsidTr="007176DE">
        <w:trPr>
          <w:trHeight w:val="353"/>
        </w:trPr>
        <w:tc>
          <w:tcPr>
            <w:tcW w:w="709" w:type="dxa"/>
            <w:vAlign w:val="top"/>
          </w:tcPr>
          <w:p w14:paraId="2E240661" w14:textId="77777777" w:rsidR="00294855" w:rsidRPr="00613A50" w:rsidRDefault="00294855" w:rsidP="007176DE">
            <w:pPr>
              <w:jc w:val="left"/>
            </w:pPr>
            <w:r w:rsidRPr="00613A50">
              <w:t>1</w:t>
            </w:r>
            <w:r>
              <w:t>.</w:t>
            </w:r>
          </w:p>
        </w:tc>
        <w:tc>
          <w:tcPr>
            <w:tcW w:w="2268" w:type="dxa"/>
            <w:vMerge w:val="restart"/>
            <w:vAlign w:val="top"/>
          </w:tcPr>
          <w:p w14:paraId="37158637" w14:textId="77777777" w:rsidR="00294855" w:rsidRPr="00613A50" w:rsidRDefault="00294855" w:rsidP="007176DE">
            <w:pPr>
              <w:jc w:val="left"/>
            </w:pPr>
            <w:r w:rsidRPr="00613A50">
              <w:t>Povinné nástroje</w:t>
            </w:r>
          </w:p>
        </w:tc>
        <w:tc>
          <w:tcPr>
            <w:tcW w:w="3967" w:type="dxa"/>
            <w:vAlign w:val="top"/>
          </w:tcPr>
          <w:p w14:paraId="4FCAB0B0" w14:textId="77777777" w:rsidR="00294855" w:rsidRPr="00613A50" w:rsidRDefault="00294855" w:rsidP="007176DE">
            <w:pPr>
              <w:jc w:val="left"/>
            </w:pPr>
            <w:r w:rsidRPr="00613A50">
              <w:t>Nástroj zcela chybí</w:t>
            </w:r>
          </w:p>
        </w:tc>
        <w:tc>
          <w:tcPr>
            <w:tcW w:w="2194" w:type="dxa"/>
            <w:vAlign w:val="top"/>
          </w:tcPr>
          <w:p w14:paraId="2DE93F6F" w14:textId="526E40C2" w:rsidR="00294855" w:rsidRPr="00613A50" w:rsidRDefault="00294855" w:rsidP="007176DE">
            <w:pPr>
              <w:jc w:val="left"/>
            </w:pPr>
            <w:r w:rsidRPr="00613A50">
              <w:t>1,0</w:t>
            </w:r>
            <w:r w:rsidR="00FF477D">
              <w:t> </w:t>
            </w:r>
            <w:r w:rsidRPr="00613A50">
              <w:t>%</w:t>
            </w:r>
          </w:p>
        </w:tc>
      </w:tr>
      <w:tr w:rsidR="00294855" w:rsidRPr="003445F5" w14:paraId="28FC5E27" w14:textId="77777777" w:rsidTr="007176DE">
        <w:trPr>
          <w:trHeight w:val="794"/>
        </w:trPr>
        <w:tc>
          <w:tcPr>
            <w:tcW w:w="709" w:type="dxa"/>
            <w:vAlign w:val="top"/>
          </w:tcPr>
          <w:p w14:paraId="11B4CF86" w14:textId="77777777" w:rsidR="00294855" w:rsidRPr="00613A50" w:rsidRDefault="00294855" w:rsidP="007176DE">
            <w:pPr>
              <w:jc w:val="left"/>
            </w:pPr>
            <w:r w:rsidRPr="00613A50">
              <w:t>2</w:t>
            </w:r>
            <w:r>
              <w:t>.</w:t>
            </w:r>
          </w:p>
        </w:tc>
        <w:tc>
          <w:tcPr>
            <w:tcW w:w="2268" w:type="dxa"/>
            <w:vMerge/>
            <w:vAlign w:val="top"/>
          </w:tcPr>
          <w:p w14:paraId="608A0F16" w14:textId="77777777" w:rsidR="00294855" w:rsidRPr="00613A50" w:rsidRDefault="00294855" w:rsidP="007176DE">
            <w:pPr>
              <w:jc w:val="left"/>
            </w:pPr>
          </w:p>
        </w:tc>
        <w:tc>
          <w:tcPr>
            <w:tcW w:w="3967" w:type="dxa"/>
            <w:vAlign w:val="top"/>
          </w:tcPr>
          <w:p w14:paraId="2B719CCE" w14:textId="77777777" w:rsidR="00294855" w:rsidRPr="00613A50" w:rsidRDefault="00294855" w:rsidP="007176DE">
            <w:pPr>
              <w:jc w:val="left"/>
            </w:pPr>
            <w:r w:rsidRPr="00613A50">
              <w:t xml:space="preserve">Na nástroji chybí nebo je chybně: </w:t>
            </w:r>
          </w:p>
          <w:p w14:paraId="40994E32" w14:textId="77777777" w:rsidR="00294855" w:rsidRPr="00613A50" w:rsidRDefault="00294855" w:rsidP="007176DE">
            <w:pPr>
              <w:jc w:val="left"/>
            </w:pPr>
            <w:r w:rsidRPr="00613A50">
              <w:t xml:space="preserve">- Logo EU včetně povinného textu (rozměr, umístění apod.) </w:t>
            </w:r>
          </w:p>
          <w:p w14:paraId="5459B951" w14:textId="77777777" w:rsidR="00294855" w:rsidRPr="00613A50" w:rsidRDefault="00294855" w:rsidP="007176DE">
            <w:pPr>
              <w:jc w:val="left"/>
            </w:pPr>
            <w:r w:rsidRPr="00613A50">
              <w:t xml:space="preserve">- Předepsaný rozměr nástroje </w:t>
            </w:r>
          </w:p>
        </w:tc>
        <w:tc>
          <w:tcPr>
            <w:tcW w:w="2194" w:type="dxa"/>
            <w:vAlign w:val="top"/>
          </w:tcPr>
          <w:p w14:paraId="11273A83" w14:textId="6AB72D5D" w:rsidR="00294855" w:rsidRPr="00613A50" w:rsidRDefault="00294855" w:rsidP="007176DE">
            <w:pPr>
              <w:jc w:val="left"/>
            </w:pPr>
            <w:r w:rsidRPr="00613A50">
              <w:t>0,5</w:t>
            </w:r>
            <w:r w:rsidR="00FF477D">
              <w:t> </w:t>
            </w:r>
            <w:r w:rsidRPr="00613A50">
              <w:t>%</w:t>
            </w:r>
          </w:p>
        </w:tc>
      </w:tr>
      <w:tr w:rsidR="00294855" w:rsidRPr="003445F5" w14:paraId="3E4995A9" w14:textId="77777777" w:rsidTr="007176DE">
        <w:trPr>
          <w:trHeight w:val="750"/>
        </w:trPr>
        <w:tc>
          <w:tcPr>
            <w:tcW w:w="709" w:type="dxa"/>
            <w:vAlign w:val="top"/>
          </w:tcPr>
          <w:p w14:paraId="74B4B83C" w14:textId="77777777" w:rsidR="00294855" w:rsidRPr="00613A50" w:rsidRDefault="00294855" w:rsidP="007176DE">
            <w:pPr>
              <w:jc w:val="left"/>
            </w:pPr>
            <w:r w:rsidRPr="00613A50">
              <w:t>3</w:t>
            </w:r>
            <w:r>
              <w:t>.</w:t>
            </w:r>
          </w:p>
        </w:tc>
        <w:tc>
          <w:tcPr>
            <w:tcW w:w="2268" w:type="dxa"/>
            <w:vMerge/>
            <w:vAlign w:val="top"/>
          </w:tcPr>
          <w:p w14:paraId="540CCD3B" w14:textId="77777777" w:rsidR="00294855" w:rsidRPr="00613A50" w:rsidRDefault="00294855" w:rsidP="007176DE">
            <w:pPr>
              <w:jc w:val="left"/>
            </w:pPr>
          </w:p>
        </w:tc>
        <w:tc>
          <w:tcPr>
            <w:tcW w:w="3967" w:type="dxa"/>
            <w:vAlign w:val="top"/>
          </w:tcPr>
          <w:p w14:paraId="0A2A3EF5" w14:textId="0F922584" w:rsidR="00294855" w:rsidRPr="00613A50" w:rsidRDefault="00294855" w:rsidP="007176DE">
            <w:pPr>
              <w:jc w:val="left"/>
            </w:pPr>
            <w:r w:rsidRPr="00613A50">
              <w:t>Na nástroji je uvedeno nadbytečné logo zvýrazňující podporu EU (jiné logo, nežli znak EU</w:t>
            </w:r>
            <w:r>
              <w:t xml:space="preserve"> s </w:t>
            </w:r>
            <w:r w:rsidRPr="00613A50">
              <w:t xml:space="preserve">doprovodným textem Spolu/Financováno Evropskou unií, případně </w:t>
            </w:r>
            <w:proofErr w:type="spellStart"/>
            <w:r w:rsidRPr="00613A50">
              <w:t>NextGenerationEU</w:t>
            </w:r>
            <w:proofErr w:type="spellEnd"/>
            <w:r w:rsidRPr="00613A50">
              <w:t xml:space="preserve">) </w:t>
            </w:r>
          </w:p>
        </w:tc>
        <w:tc>
          <w:tcPr>
            <w:tcW w:w="2194" w:type="dxa"/>
            <w:vAlign w:val="top"/>
          </w:tcPr>
          <w:p w14:paraId="11BDED69" w14:textId="10542F4A" w:rsidR="00294855" w:rsidRPr="00613A50" w:rsidRDefault="00294855" w:rsidP="007176DE">
            <w:pPr>
              <w:jc w:val="left"/>
            </w:pPr>
            <w:r w:rsidRPr="00613A50">
              <w:t>0,1</w:t>
            </w:r>
            <w:r w:rsidR="00FF477D">
              <w:t> </w:t>
            </w:r>
            <w:r w:rsidRPr="00613A50">
              <w:t>%</w:t>
            </w:r>
          </w:p>
        </w:tc>
      </w:tr>
      <w:tr w:rsidR="00294855" w:rsidRPr="003445F5" w14:paraId="034A0547" w14:textId="77777777" w:rsidTr="007176DE">
        <w:trPr>
          <w:trHeight w:val="750"/>
        </w:trPr>
        <w:tc>
          <w:tcPr>
            <w:tcW w:w="709" w:type="dxa"/>
            <w:vAlign w:val="top"/>
          </w:tcPr>
          <w:p w14:paraId="5B826B2F" w14:textId="24EF2531" w:rsidR="00294855" w:rsidRPr="00613A50" w:rsidRDefault="00294855" w:rsidP="007176DE">
            <w:pPr>
              <w:jc w:val="left"/>
            </w:pPr>
            <w:r>
              <w:t>4.</w:t>
            </w:r>
          </w:p>
        </w:tc>
        <w:tc>
          <w:tcPr>
            <w:tcW w:w="2268" w:type="dxa"/>
            <w:vMerge/>
            <w:vAlign w:val="top"/>
          </w:tcPr>
          <w:p w14:paraId="3556CC15" w14:textId="77777777" w:rsidR="00294855" w:rsidRPr="00613A50" w:rsidRDefault="00294855" w:rsidP="007176DE">
            <w:pPr>
              <w:jc w:val="left"/>
            </w:pPr>
          </w:p>
        </w:tc>
        <w:tc>
          <w:tcPr>
            <w:tcW w:w="3967" w:type="dxa"/>
            <w:vAlign w:val="top"/>
          </w:tcPr>
          <w:p w14:paraId="5DE00B95" w14:textId="3DFA6571" w:rsidR="00294855" w:rsidRPr="00613A50" w:rsidRDefault="00294855" w:rsidP="007176DE">
            <w:pPr>
              <w:jc w:val="left"/>
            </w:pPr>
            <w:r>
              <w:rPr>
                <w:szCs w:val="20"/>
              </w:rPr>
              <w:t>Na komunikační akci nebyl přizván/o komunikační akci nebyl informován zástupce Řídícího orgánu</w:t>
            </w:r>
          </w:p>
        </w:tc>
        <w:tc>
          <w:tcPr>
            <w:tcW w:w="2194" w:type="dxa"/>
            <w:vAlign w:val="top"/>
          </w:tcPr>
          <w:p w14:paraId="772937AE" w14:textId="3FE0A635" w:rsidR="00294855" w:rsidRPr="00613A50" w:rsidRDefault="00294855" w:rsidP="007176DE">
            <w:pPr>
              <w:jc w:val="left"/>
            </w:pPr>
            <w:r>
              <w:t>0,01</w:t>
            </w:r>
            <w:r w:rsidR="00FF477D">
              <w:t> </w:t>
            </w:r>
            <w:r>
              <w:t>%</w:t>
            </w:r>
          </w:p>
        </w:tc>
      </w:tr>
    </w:tbl>
    <w:p w14:paraId="27FF36EF" w14:textId="77777777" w:rsidR="00F00A6F" w:rsidRDefault="00F00A6F" w:rsidP="00F00A6F"/>
    <w:tbl>
      <w:tblPr>
        <w:tblStyle w:val="Mkatabulky"/>
        <w:tblW w:w="0" w:type="auto"/>
        <w:tblLook w:val="0420" w:firstRow="1" w:lastRow="0" w:firstColumn="0" w:lastColumn="0" w:noHBand="0" w:noVBand="1"/>
      </w:tblPr>
      <w:tblGrid>
        <w:gridCol w:w="704"/>
        <w:gridCol w:w="2268"/>
        <w:gridCol w:w="2463"/>
        <w:gridCol w:w="1813"/>
        <w:gridCol w:w="1812"/>
      </w:tblGrid>
      <w:tr w:rsidR="00F00A6F" w14:paraId="7248FC24" w14:textId="77777777" w:rsidTr="007176DE">
        <w:trPr>
          <w:cnfStyle w:val="100000000000" w:firstRow="1" w:lastRow="0" w:firstColumn="0" w:lastColumn="0" w:oddVBand="0" w:evenVBand="0" w:oddHBand="0" w:evenHBand="0" w:firstRowFirstColumn="0" w:firstRowLastColumn="0" w:lastRowFirstColumn="0" w:lastRowLastColumn="0"/>
          <w:tblHeader/>
        </w:trPr>
        <w:tc>
          <w:tcPr>
            <w:tcW w:w="704" w:type="dxa"/>
          </w:tcPr>
          <w:p w14:paraId="04EB2DB1" w14:textId="77777777" w:rsidR="00F00A6F" w:rsidRDefault="00F00A6F" w:rsidP="007176DE">
            <w:r>
              <w:t>č.</w:t>
            </w:r>
          </w:p>
        </w:tc>
        <w:tc>
          <w:tcPr>
            <w:tcW w:w="2268" w:type="dxa"/>
          </w:tcPr>
          <w:p w14:paraId="4D44A1FD" w14:textId="77777777" w:rsidR="00F00A6F" w:rsidRDefault="00F00A6F" w:rsidP="007176DE">
            <w:r>
              <w:t>Nástroj publicity</w:t>
            </w:r>
          </w:p>
        </w:tc>
        <w:tc>
          <w:tcPr>
            <w:tcW w:w="2463" w:type="dxa"/>
          </w:tcPr>
          <w:p w14:paraId="5D0733B6" w14:textId="77777777" w:rsidR="00F00A6F" w:rsidRDefault="00F00A6F" w:rsidP="007176DE">
            <w:r>
              <w:t>Pochybení</w:t>
            </w:r>
          </w:p>
        </w:tc>
        <w:tc>
          <w:tcPr>
            <w:tcW w:w="1813" w:type="dxa"/>
          </w:tcPr>
          <w:p w14:paraId="7857ADEC" w14:textId="77777777" w:rsidR="00F00A6F" w:rsidRDefault="00F00A6F" w:rsidP="007176DE">
            <w:r>
              <w:t>Úroveň pochybení</w:t>
            </w:r>
          </w:p>
        </w:tc>
        <w:tc>
          <w:tcPr>
            <w:tcW w:w="1812" w:type="dxa"/>
          </w:tcPr>
          <w:p w14:paraId="56B82AA6" w14:textId="77777777" w:rsidR="00F00A6F" w:rsidRDefault="00F00A6F" w:rsidP="007176DE">
            <w:r>
              <w:t>Sazba sankce</w:t>
            </w:r>
          </w:p>
        </w:tc>
      </w:tr>
      <w:tr w:rsidR="00F00A6F" w14:paraId="2D98B6CD" w14:textId="77777777" w:rsidTr="007176DE">
        <w:tc>
          <w:tcPr>
            <w:tcW w:w="704" w:type="dxa"/>
            <w:vAlign w:val="top"/>
          </w:tcPr>
          <w:p w14:paraId="74FDE91C" w14:textId="77777777" w:rsidR="00F00A6F" w:rsidRDefault="00F00A6F" w:rsidP="007176DE">
            <w:pPr>
              <w:jc w:val="left"/>
            </w:pPr>
            <w:r>
              <w:t>1.</w:t>
            </w:r>
          </w:p>
        </w:tc>
        <w:tc>
          <w:tcPr>
            <w:tcW w:w="2268" w:type="dxa"/>
            <w:vMerge w:val="restart"/>
            <w:vAlign w:val="top"/>
          </w:tcPr>
          <w:p w14:paraId="4BE4D713" w14:textId="77777777" w:rsidR="00F00A6F" w:rsidRDefault="00F00A6F" w:rsidP="007176DE">
            <w:pPr>
              <w:jc w:val="left"/>
            </w:pPr>
            <w:r>
              <w:t>Nepovinné nástroje/volitelná publicita</w:t>
            </w:r>
          </w:p>
        </w:tc>
        <w:tc>
          <w:tcPr>
            <w:tcW w:w="2463" w:type="dxa"/>
            <w:vAlign w:val="top"/>
          </w:tcPr>
          <w:p w14:paraId="251BD024" w14:textId="77777777" w:rsidR="00F00A6F" w:rsidRDefault="00F00A6F" w:rsidP="007176DE">
            <w:pPr>
              <w:jc w:val="left"/>
            </w:pPr>
            <w:r>
              <w:t>Logo EU (znak EU včetně povinného textu)</w:t>
            </w:r>
          </w:p>
        </w:tc>
        <w:tc>
          <w:tcPr>
            <w:tcW w:w="1813" w:type="dxa"/>
            <w:vAlign w:val="top"/>
          </w:tcPr>
          <w:p w14:paraId="370CBF8F" w14:textId="77777777" w:rsidR="00F00A6F" w:rsidRPr="00EE7D23" w:rsidRDefault="00F00A6F" w:rsidP="007176DE">
            <w:pPr>
              <w:jc w:val="left"/>
            </w:pPr>
            <w:r w:rsidRPr="00EE7D23">
              <w:t>zcela chybí</w:t>
            </w:r>
          </w:p>
        </w:tc>
        <w:tc>
          <w:tcPr>
            <w:tcW w:w="1812" w:type="dxa"/>
            <w:vAlign w:val="top"/>
          </w:tcPr>
          <w:p w14:paraId="7F1D998D" w14:textId="1A1FDAFF" w:rsidR="00F00A6F" w:rsidRDefault="00F00A6F" w:rsidP="007176DE">
            <w:pPr>
              <w:jc w:val="left"/>
            </w:pPr>
            <w:r>
              <w:t>0,03</w:t>
            </w:r>
            <w:r w:rsidR="00FF477D">
              <w:t> </w:t>
            </w:r>
            <w:r>
              <w:t>%</w:t>
            </w:r>
          </w:p>
        </w:tc>
      </w:tr>
      <w:tr w:rsidR="00F00A6F" w14:paraId="3DFE29AA" w14:textId="77777777" w:rsidTr="007176DE">
        <w:tc>
          <w:tcPr>
            <w:tcW w:w="704" w:type="dxa"/>
            <w:vAlign w:val="top"/>
          </w:tcPr>
          <w:p w14:paraId="56A9A49F" w14:textId="77777777" w:rsidR="00F00A6F" w:rsidRDefault="00F00A6F" w:rsidP="007176DE">
            <w:pPr>
              <w:jc w:val="left"/>
            </w:pPr>
            <w:r>
              <w:t>2.</w:t>
            </w:r>
          </w:p>
        </w:tc>
        <w:tc>
          <w:tcPr>
            <w:tcW w:w="2268" w:type="dxa"/>
            <w:vMerge/>
            <w:vAlign w:val="top"/>
          </w:tcPr>
          <w:p w14:paraId="451D52E9" w14:textId="77777777" w:rsidR="00F00A6F" w:rsidRDefault="00F00A6F" w:rsidP="007176DE">
            <w:pPr>
              <w:jc w:val="left"/>
            </w:pPr>
          </w:p>
        </w:tc>
        <w:tc>
          <w:tcPr>
            <w:tcW w:w="2463" w:type="dxa"/>
            <w:vAlign w:val="top"/>
          </w:tcPr>
          <w:p w14:paraId="110284BF" w14:textId="77777777" w:rsidR="00F00A6F" w:rsidRDefault="00F00A6F" w:rsidP="007176DE">
            <w:pPr>
              <w:jc w:val="left"/>
            </w:pPr>
            <w:r>
              <w:t>Logo EU (znak EU včetně povinného textu)</w:t>
            </w:r>
          </w:p>
        </w:tc>
        <w:tc>
          <w:tcPr>
            <w:tcW w:w="1813" w:type="dxa"/>
            <w:vAlign w:val="top"/>
          </w:tcPr>
          <w:p w14:paraId="28AB4D88" w14:textId="17994C04" w:rsidR="00F00A6F" w:rsidRDefault="00F00A6F" w:rsidP="007176DE">
            <w:pPr>
              <w:jc w:val="left"/>
            </w:pPr>
            <w:r>
              <w:t>je uveden chybně (rozměr, absence nebo chyba</w:t>
            </w:r>
            <w:r w:rsidR="00A9639A">
              <w:t xml:space="preserve"> </w:t>
            </w:r>
            <w:r w:rsidR="00A9639A">
              <w:lastRenderedPageBreak/>
              <w:t>v </w:t>
            </w:r>
            <w:r>
              <w:t>doprovodném textu apod.)</w:t>
            </w:r>
          </w:p>
        </w:tc>
        <w:tc>
          <w:tcPr>
            <w:tcW w:w="1812" w:type="dxa"/>
            <w:vAlign w:val="top"/>
          </w:tcPr>
          <w:p w14:paraId="4ECA3272" w14:textId="532120AF" w:rsidR="00F00A6F" w:rsidRDefault="00F00A6F" w:rsidP="007176DE">
            <w:pPr>
              <w:jc w:val="left"/>
            </w:pPr>
            <w:r>
              <w:lastRenderedPageBreak/>
              <w:t>0,01</w:t>
            </w:r>
            <w:r w:rsidR="00FF477D">
              <w:t> </w:t>
            </w:r>
            <w:r>
              <w:t>%</w:t>
            </w:r>
          </w:p>
        </w:tc>
      </w:tr>
    </w:tbl>
    <w:p w14:paraId="5A9127F6" w14:textId="77777777" w:rsidR="00F00A6F" w:rsidRDefault="00F00A6F" w:rsidP="00F00A6F"/>
    <w:p w14:paraId="0DB6F3F8" w14:textId="24DF8C8A" w:rsidR="00F00A6F" w:rsidRDefault="00F00A6F" w:rsidP="007D780F">
      <w:pPr>
        <w:pStyle w:val="123odstavec"/>
      </w:pPr>
      <w:r>
        <w:t xml:space="preserve">Příjemce je podle odst. 8.A.7. </w:t>
      </w:r>
      <w:r w:rsidRPr="00AE526C">
        <w:t>povinen</w:t>
      </w:r>
      <w:r>
        <w:t xml:space="preserve"> naplnit indikátory Projektu, které jsou uvedeny ve Specifikaci jako povinné</w:t>
      </w:r>
      <w:r w:rsidR="00A9639A">
        <w:t xml:space="preserve"> k </w:t>
      </w:r>
      <w:r>
        <w:t>naplnění. Pro případ nesplnění této podmínky se stanovení sankce řídí následující tabulkou:</w:t>
      </w:r>
    </w:p>
    <w:tbl>
      <w:tblPr>
        <w:tblStyle w:val="Mkatabulky"/>
        <w:tblW w:w="9138" w:type="dxa"/>
        <w:tblInd w:w="-5" w:type="dxa"/>
        <w:tblLook w:val="0420" w:firstRow="1" w:lastRow="0" w:firstColumn="0" w:lastColumn="0" w:noHBand="0" w:noVBand="1"/>
      </w:tblPr>
      <w:tblGrid>
        <w:gridCol w:w="709"/>
        <w:gridCol w:w="2268"/>
        <w:gridCol w:w="3967"/>
        <w:gridCol w:w="2194"/>
      </w:tblGrid>
      <w:tr w:rsidR="004B0A6E" w:rsidRPr="004B0A6E" w14:paraId="540CAF08" w14:textId="77777777" w:rsidTr="00B134C0">
        <w:trPr>
          <w:cnfStyle w:val="100000000000" w:firstRow="1" w:lastRow="0" w:firstColumn="0" w:lastColumn="0" w:oddVBand="0" w:evenVBand="0" w:oddHBand="0" w:evenHBand="0" w:firstRowFirstColumn="0" w:firstRowLastColumn="0" w:lastRowFirstColumn="0" w:lastRowLastColumn="0"/>
          <w:trHeight w:val="772"/>
          <w:tblHeader/>
        </w:trPr>
        <w:tc>
          <w:tcPr>
            <w:tcW w:w="709" w:type="dxa"/>
          </w:tcPr>
          <w:p w14:paraId="707D4B60" w14:textId="77777777" w:rsidR="004B0A6E" w:rsidRPr="004B0A6E" w:rsidRDefault="004B0A6E" w:rsidP="004B0A6E">
            <w:pPr>
              <w:spacing w:before="120"/>
            </w:pPr>
            <w:r w:rsidRPr="004B0A6E">
              <w:t>č.</w:t>
            </w:r>
          </w:p>
        </w:tc>
        <w:tc>
          <w:tcPr>
            <w:tcW w:w="2268" w:type="dxa"/>
          </w:tcPr>
          <w:p w14:paraId="11C195F1" w14:textId="0BC5AFC3" w:rsidR="004B0A6E" w:rsidRPr="004B0A6E" w:rsidRDefault="004B0A6E" w:rsidP="004B0A6E">
            <w:pPr>
              <w:spacing w:before="120"/>
            </w:pPr>
            <w:r w:rsidRPr="004B0A6E">
              <w:t>Indikátory povinné</w:t>
            </w:r>
            <w:r w:rsidR="00A9639A">
              <w:t xml:space="preserve"> k </w:t>
            </w:r>
            <w:r w:rsidRPr="004B0A6E">
              <w:t>naplnění</w:t>
            </w:r>
          </w:p>
        </w:tc>
        <w:tc>
          <w:tcPr>
            <w:tcW w:w="3967" w:type="dxa"/>
          </w:tcPr>
          <w:p w14:paraId="4AA1FFF6" w14:textId="77777777" w:rsidR="004B0A6E" w:rsidRPr="004B0A6E" w:rsidRDefault="004B0A6E" w:rsidP="004B0A6E">
            <w:pPr>
              <w:spacing w:before="120"/>
            </w:pPr>
            <w:r w:rsidRPr="004B0A6E">
              <w:t>Pochybení</w:t>
            </w:r>
          </w:p>
        </w:tc>
        <w:tc>
          <w:tcPr>
            <w:tcW w:w="2194" w:type="dxa"/>
          </w:tcPr>
          <w:p w14:paraId="43E57029" w14:textId="77777777" w:rsidR="004B0A6E" w:rsidRPr="004B0A6E" w:rsidRDefault="004B0A6E" w:rsidP="004B0A6E">
            <w:pPr>
              <w:spacing w:before="120"/>
            </w:pPr>
            <w:r w:rsidRPr="004B0A6E">
              <w:t>Sazba sankce</w:t>
            </w:r>
          </w:p>
        </w:tc>
      </w:tr>
      <w:tr w:rsidR="004B0A6E" w:rsidRPr="004B0A6E" w14:paraId="1ECCD4AE" w14:textId="77777777" w:rsidTr="00B134C0">
        <w:trPr>
          <w:trHeight w:val="854"/>
        </w:trPr>
        <w:tc>
          <w:tcPr>
            <w:tcW w:w="709" w:type="dxa"/>
            <w:vMerge w:val="restart"/>
            <w:vAlign w:val="top"/>
          </w:tcPr>
          <w:p w14:paraId="05A3B375" w14:textId="77777777" w:rsidR="004B0A6E" w:rsidRPr="004B0A6E" w:rsidRDefault="004B0A6E" w:rsidP="004B0A6E">
            <w:pPr>
              <w:spacing w:before="120"/>
              <w:jc w:val="left"/>
            </w:pPr>
            <w:r w:rsidRPr="004B0A6E">
              <w:t>1.</w:t>
            </w:r>
          </w:p>
        </w:tc>
        <w:tc>
          <w:tcPr>
            <w:tcW w:w="2268" w:type="dxa"/>
            <w:vMerge w:val="restart"/>
            <w:vAlign w:val="top"/>
          </w:tcPr>
          <w:p w14:paraId="7428320B" w14:textId="0AF78CEE" w:rsidR="004B0A6E" w:rsidRPr="004B0A6E" w:rsidRDefault="004B0A6E" w:rsidP="004B0A6E">
            <w:pPr>
              <w:spacing w:before="120"/>
              <w:jc w:val="left"/>
            </w:pPr>
            <w:r w:rsidRPr="004B0A6E">
              <w:t>Naplňování výstupových indikátorů</w:t>
            </w:r>
          </w:p>
        </w:tc>
        <w:tc>
          <w:tcPr>
            <w:tcW w:w="3967" w:type="dxa"/>
            <w:vAlign w:val="top"/>
          </w:tcPr>
          <w:p w14:paraId="4514C615" w14:textId="77777777" w:rsidR="004B0A6E" w:rsidRPr="004B0A6E" w:rsidRDefault="004B0A6E" w:rsidP="004B0A6E">
            <w:pPr>
              <w:spacing w:before="120"/>
              <w:jc w:val="left"/>
            </w:pPr>
            <w:r w:rsidRPr="004B0A6E">
              <w:t xml:space="preserve">Indikátor nebyl naplněn </w:t>
            </w:r>
          </w:p>
        </w:tc>
        <w:tc>
          <w:tcPr>
            <w:tcW w:w="2194" w:type="dxa"/>
            <w:vAlign w:val="top"/>
          </w:tcPr>
          <w:p w14:paraId="48FFF7A8" w14:textId="55E6354A" w:rsidR="004B0A6E" w:rsidRPr="004B0A6E" w:rsidRDefault="004B0A6E" w:rsidP="004B0A6E">
            <w:pPr>
              <w:spacing w:before="120"/>
              <w:jc w:val="left"/>
            </w:pPr>
            <w:r w:rsidRPr="004B0A6E">
              <w:t>100,0</w:t>
            </w:r>
            <w:r w:rsidR="00FF477D">
              <w:t> </w:t>
            </w:r>
            <w:r w:rsidRPr="004B0A6E">
              <w:t>%</w:t>
            </w:r>
          </w:p>
        </w:tc>
      </w:tr>
      <w:tr w:rsidR="004B0A6E" w:rsidRPr="004B0A6E" w14:paraId="2020CDF9" w14:textId="77777777" w:rsidTr="00B134C0">
        <w:trPr>
          <w:trHeight w:val="854"/>
        </w:trPr>
        <w:tc>
          <w:tcPr>
            <w:tcW w:w="709" w:type="dxa"/>
            <w:vMerge/>
            <w:vAlign w:val="top"/>
          </w:tcPr>
          <w:p w14:paraId="3307D939" w14:textId="77777777" w:rsidR="004B0A6E" w:rsidRPr="004B0A6E" w:rsidRDefault="004B0A6E" w:rsidP="004B0A6E">
            <w:pPr>
              <w:spacing w:before="120"/>
              <w:jc w:val="left"/>
            </w:pPr>
          </w:p>
        </w:tc>
        <w:tc>
          <w:tcPr>
            <w:tcW w:w="2268" w:type="dxa"/>
            <w:vMerge/>
            <w:vAlign w:val="top"/>
          </w:tcPr>
          <w:p w14:paraId="4F253A85" w14:textId="77777777" w:rsidR="004B0A6E" w:rsidRPr="004B0A6E" w:rsidRDefault="004B0A6E" w:rsidP="004B0A6E">
            <w:pPr>
              <w:spacing w:before="120"/>
              <w:jc w:val="left"/>
            </w:pPr>
          </w:p>
        </w:tc>
        <w:tc>
          <w:tcPr>
            <w:tcW w:w="3967" w:type="dxa"/>
            <w:vAlign w:val="top"/>
          </w:tcPr>
          <w:p w14:paraId="6242DFD9" w14:textId="623BCF42" w:rsidR="004B0A6E" w:rsidRPr="004B0A6E" w:rsidRDefault="004B0A6E" w:rsidP="004B0A6E">
            <w:pPr>
              <w:spacing w:before="120"/>
              <w:jc w:val="left"/>
            </w:pPr>
            <w:r w:rsidRPr="004B0A6E">
              <w:t>Indikátor je plněn částečně</w:t>
            </w:r>
            <w:r w:rsidR="00987EEA">
              <w:rPr>
                <w:rStyle w:val="Znakapoznpodarou"/>
              </w:rPr>
              <w:footnoteReference w:id="10"/>
            </w:r>
          </w:p>
        </w:tc>
        <w:tc>
          <w:tcPr>
            <w:tcW w:w="2194" w:type="dxa"/>
            <w:vAlign w:val="top"/>
          </w:tcPr>
          <w:p w14:paraId="3A927860" w14:textId="6013B0E6" w:rsidR="004B0A6E" w:rsidRPr="004B0A6E" w:rsidRDefault="004B0A6E" w:rsidP="004B0A6E">
            <w:pPr>
              <w:spacing w:before="120"/>
              <w:jc w:val="left"/>
            </w:pPr>
            <w:r w:rsidRPr="004B0A6E">
              <w:t>10,0</w:t>
            </w:r>
            <w:r w:rsidR="00FF477D">
              <w:t> </w:t>
            </w:r>
            <w:r w:rsidRPr="004B0A6E">
              <w:t>%-30,0</w:t>
            </w:r>
            <w:r w:rsidR="00FF477D">
              <w:t> </w:t>
            </w:r>
            <w:r w:rsidRPr="004B0A6E">
              <w:t>% (poměrově dle plnění indikátoru)</w:t>
            </w:r>
            <w:r w:rsidRPr="004B0A6E">
              <w:rPr>
                <w:vertAlign w:val="superscript"/>
              </w:rPr>
              <w:footnoteReference w:id="11"/>
            </w:r>
          </w:p>
        </w:tc>
      </w:tr>
      <w:tr w:rsidR="004B0A6E" w:rsidRPr="004B0A6E" w14:paraId="4F65C0D8" w14:textId="77777777" w:rsidTr="00B134C0">
        <w:trPr>
          <w:trHeight w:val="445"/>
        </w:trPr>
        <w:tc>
          <w:tcPr>
            <w:tcW w:w="709" w:type="dxa"/>
            <w:vMerge w:val="restart"/>
            <w:vAlign w:val="top"/>
          </w:tcPr>
          <w:p w14:paraId="258A8DCB" w14:textId="77777777" w:rsidR="004B0A6E" w:rsidRPr="004B0A6E" w:rsidRDefault="004B0A6E" w:rsidP="004B0A6E">
            <w:pPr>
              <w:spacing w:before="120"/>
              <w:jc w:val="left"/>
            </w:pPr>
            <w:r w:rsidRPr="004B0A6E">
              <w:t>2.</w:t>
            </w:r>
          </w:p>
        </w:tc>
        <w:tc>
          <w:tcPr>
            <w:tcW w:w="2268" w:type="dxa"/>
            <w:vMerge w:val="restart"/>
            <w:vAlign w:val="top"/>
          </w:tcPr>
          <w:p w14:paraId="4F6E7166" w14:textId="7B9745E0" w:rsidR="004B0A6E" w:rsidRPr="004B0A6E" w:rsidRDefault="004B0A6E" w:rsidP="004B0A6E">
            <w:pPr>
              <w:spacing w:before="120"/>
              <w:jc w:val="left"/>
            </w:pPr>
            <w:r w:rsidRPr="004B0A6E">
              <w:t>Naplňování výsledkových indikátorů</w:t>
            </w:r>
          </w:p>
        </w:tc>
        <w:tc>
          <w:tcPr>
            <w:tcW w:w="3967" w:type="dxa"/>
            <w:vAlign w:val="top"/>
          </w:tcPr>
          <w:p w14:paraId="5B0128ED" w14:textId="77777777" w:rsidR="004B0A6E" w:rsidRPr="004B0A6E" w:rsidRDefault="004B0A6E" w:rsidP="004B0A6E">
            <w:pPr>
              <w:spacing w:before="120"/>
              <w:jc w:val="left"/>
            </w:pPr>
            <w:r w:rsidRPr="004B0A6E">
              <w:t xml:space="preserve">Indikátor nebyl naplněn </w:t>
            </w:r>
          </w:p>
        </w:tc>
        <w:tc>
          <w:tcPr>
            <w:tcW w:w="2194" w:type="dxa"/>
            <w:vAlign w:val="top"/>
          </w:tcPr>
          <w:p w14:paraId="568BE1E4" w14:textId="77777777" w:rsidR="004B0A6E" w:rsidRPr="004B0A6E" w:rsidRDefault="004B0A6E" w:rsidP="004B0A6E">
            <w:pPr>
              <w:spacing w:before="120"/>
              <w:jc w:val="left"/>
            </w:pPr>
            <w:r w:rsidRPr="004B0A6E">
              <w:t>100,0 %</w:t>
            </w:r>
          </w:p>
        </w:tc>
      </w:tr>
      <w:tr w:rsidR="004B0A6E" w:rsidRPr="004B0A6E" w14:paraId="099EF459" w14:textId="77777777" w:rsidTr="00B134C0">
        <w:trPr>
          <w:trHeight w:val="794"/>
        </w:trPr>
        <w:tc>
          <w:tcPr>
            <w:tcW w:w="709" w:type="dxa"/>
            <w:vMerge/>
            <w:vAlign w:val="top"/>
          </w:tcPr>
          <w:p w14:paraId="0DA3F038" w14:textId="77777777" w:rsidR="004B0A6E" w:rsidRPr="004B0A6E" w:rsidRDefault="004B0A6E" w:rsidP="004B0A6E">
            <w:pPr>
              <w:spacing w:before="120"/>
              <w:jc w:val="left"/>
            </w:pPr>
          </w:p>
        </w:tc>
        <w:tc>
          <w:tcPr>
            <w:tcW w:w="2268" w:type="dxa"/>
            <w:vMerge/>
            <w:vAlign w:val="top"/>
          </w:tcPr>
          <w:p w14:paraId="65434E56" w14:textId="77777777" w:rsidR="004B0A6E" w:rsidRPr="004B0A6E" w:rsidRDefault="004B0A6E" w:rsidP="004B0A6E">
            <w:pPr>
              <w:spacing w:before="120"/>
              <w:jc w:val="left"/>
            </w:pPr>
          </w:p>
        </w:tc>
        <w:tc>
          <w:tcPr>
            <w:tcW w:w="3967" w:type="dxa"/>
            <w:vAlign w:val="top"/>
          </w:tcPr>
          <w:p w14:paraId="622129B5" w14:textId="77777777" w:rsidR="004B0A6E" w:rsidRPr="004B0A6E" w:rsidRDefault="004B0A6E" w:rsidP="004B0A6E">
            <w:pPr>
              <w:spacing w:before="120"/>
              <w:jc w:val="left"/>
            </w:pPr>
            <w:r w:rsidRPr="004B0A6E">
              <w:t>Indikátor je plněn částečně</w:t>
            </w:r>
          </w:p>
        </w:tc>
        <w:tc>
          <w:tcPr>
            <w:tcW w:w="2194" w:type="dxa"/>
            <w:vAlign w:val="top"/>
          </w:tcPr>
          <w:p w14:paraId="2D49F73F" w14:textId="77777777" w:rsidR="004B0A6E" w:rsidRPr="004B0A6E" w:rsidRDefault="004B0A6E" w:rsidP="004B0A6E">
            <w:pPr>
              <w:spacing w:before="120"/>
              <w:jc w:val="left"/>
            </w:pPr>
            <w:r w:rsidRPr="004B0A6E">
              <w:t>10,0%-90,0% (poměrově dle plnění indikátoru)</w:t>
            </w:r>
            <w:r w:rsidRPr="004B0A6E">
              <w:rPr>
                <w:vertAlign w:val="superscript"/>
              </w:rPr>
              <w:footnoteReference w:id="12"/>
            </w:r>
          </w:p>
        </w:tc>
      </w:tr>
    </w:tbl>
    <w:p w14:paraId="3EBA1E47" w14:textId="77777777" w:rsidR="00F00A6F" w:rsidRDefault="00F00A6F" w:rsidP="00F00A6F"/>
    <w:p w14:paraId="7CAB155F" w14:textId="77777777" w:rsidR="00F00A6F" w:rsidRDefault="00F00A6F" w:rsidP="00F00A6F">
      <w:pPr>
        <w:spacing w:after="0"/>
      </w:pPr>
    </w:p>
    <w:p w14:paraId="4A5FE788" w14:textId="54DF8EAD" w:rsidR="00F00A6F" w:rsidRDefault="00F00A6F" w:rsidP="007D780F">
      <w:pPr>
        <w:pStyle w:val="123odstavec"/>
      </w:pPr>
      <w:r w:rsidRPr="009A49B3">
        <w:lastRenderedPageBreak/>
        <w:t xml:space="preserve">Při </w:t>
      </w:r>
      <w:r w:rsidRPr="00AE526C">
        <w:t>identifikaci</w:t>
      </w:r>
      <w:r w:rsidRPr="009A49B3">
        <w:t xml:space="preserve"> porušení ZZVZ</w:t>
      </w:r>
      <w:r>
        <w:t xml:space="preserve"> nebo</w:t>
      </w:r>
      <w:r w:rsidRPr="009A49B3">
        <w:t xml:space="preserve"> Pravidel pro žadatele a příjemce</w:t>
      </w:r>
      <w:r>
        <w:t xml:space="preserve"> OPD2021+</w:t>
      </w:r>
      <w:r w:rsidRPr="009A49B3">
        <w:t>, které by mohlo mít potenciální finanční dopad, bude stanovena příslušná finanční oprava (dále jen „sankce“). Výše sankce připadající na porušení pravidel při zadávání veřejných zakázek se stanoví dle typových porušení uvedených</w:t>
      </w:r>
      <w:r w:rsidR="00A9639A">
        <w:t xml:space="preserve"> v </w:t>
      </w:r>
      <w:r w:rsidRPr="009A49B3">
        <w:t>tabulce níže, která vycházejí</w:t>
      </w:r>
      <w:r w:rsidR="00A9639A">
        <w:t xml:space="preserve"> z </w:t>
      </w:r>
      <w:r w:rsidRPr="009A49B3">
        <w:t>rozhodnutí Komise C(2019)</w:t>
      </w:r>
      <w:r w:rsidR="00FF477D">
        <w:t> </w:t>
      </w:r>
      <w:r w:rsidRPr="009A49B3">
        <w:t>3452 ze dne 14.</w:t>
      </w:r>
      <w:r w:rsidR="00FF477D">
        <w:t> </w:t>
      </w:r>
      <w:r w:rsidRPr="009A49B3">
        <w:t>5.</w:t>
      </w:r>
      <w:r w:rsidR="00FF477D">
        <w:t> </w:t>
      </w:r>
      <w:r w:rsidRPr="009A49B3">
        <w:t>2019, kterým se stanoví pokyny ke stanovení finančních oprav, které mají být provedeny u výdajů financovaných Evropskou unií za nedodržení platných pravidel pro zadávání veřejných zakázek (dále jen „rozhodnutí Komise C(2019)</w:t>
      </w:r>
      <w:r w:rsidR="00FF477D">
        <w:t> </w:t>
      </w:r>
      <w:r w:rsidRPr="009A49B3">
        <w:t>3452“). Rozhodnutí Komise C(2019)</w:t>
      </w:r>
      <w:r w:rsidR="00FF477D">
        <w:t> </w:t>
      </w:r>
      <w:r w:rsidRPr="009A49B3">
        <w:t>3452 může být využito při stanovení sankcí podpůrně. Výše sankce se uplatní na finanční prostředky použité nebo určené</w:t>
      </w:r>
      <w:r w:rsidR="00A9639A">
        <w:t xml:space="preserve"> k </w:t>
      </w:r>
      <w:r w:rsidRPr="009A49B3">
        <w:t>úhradě výdajů Projektu</w:t>
      </w:r>
      <w:r w:rsidR="00A9639A">
        <w:t xml:space="preserve"> v </w:t>
      </w:r>
      <w:r w:rsidRPr="009A49B3">
        <w:t>rámci veřejné zakázky, u které se porušení vyskytlo, pokud není</w:t>
      </w:r>
      <w:r w:rsidR="00A9639A">
        <w:t xml:space="preserve"> v </w:t>
      </w:r>
      <w:r w:rsidRPr="009A49B3">
        <w:t>níže uvedené tabulce u konkrétní sankce stanoveno jinak.</w:t>
      </w:r>
      <w:r w:rsidR="00A9639A">
        <w:t xml:space="preserve"> V </w:t>
      </w:r>
      <w:r w:rsidRPr="009A49B3">
        <w:t>případě porušení výše uvedených předpisů se výše sankce řídí následující tabulkou:</w:t>
      </w:r>
    </w:p>
    <w:p w14:paraId="5C42165C" w14:textId="77777777" w:rsidR="00F00A6F" w:rsidRDefault="00F00A6F" w:rsidP="00877FD8">
      <w:pPr>
        <w:pStyle w:val="123odstavec"/>
        <w:numPr>
          <w:ilvl w:val="0"/>
          <w:numId w:val="0"/>
        </w:numPr>
        <w:ind w:left="1247"/>
      </w:pPr>
    </w:p>
    <w:tbl>
      <w:tblPr>
        <w:tblStyle w:val="Mkatabulky"/>
        <w:tblW w:w="5000" w:type="pct"/>
        <w:tblLook w:val="0620" w:firstRow="1" w:lastRow="0" w:firstColumn="0" w:lastColumn="0" w:noHBand="1" w:noVBand="1"/>
      </w:tblPr>
      <w:tblGrid>
        <w:gridCol w:w="647"/>
        <w:gridCol w:w="2805"/>
        <w:gridCol w:w="2805"/>
        <w:gridCol w:w="2803"/>
      </w:tblGrid>
      <w:tr w:rsidR="00F00A6F" w:rsidRPr="003445F5" w14:paraId="163423DC" w14:textId="77777777" w:rsidTr="007176DE">
        <w:trPr>
          <w:cnfStyle w:val="100000000000" w:firstRow="1" w:lastRow="0" w:firstColumn="0" w:lastColumn="0" w:oddVBand="0" w:evenVBand="0" w:oddHBand="0" w:evenHBand="0" w:firstRowFirstColumn="0" w:firstRowLastColumn="0" w:lastRowFirstColumn="0" w:lastRowLastColumn="0"/>
        </w:trPr>
        <w:tc>
          <w:tcPr>
            <w:tcW w:w="357" w:type="pct"/>
            <w:hideMark/>
          </w:tcPr>
          <w:p w14:paraId="0DB26686" w14:textId="77777777" w:rsidR="00F00A6F" w:rsidRPr="00110D17" w:rsidRDefault="00F00A6F" w:rsidP="007176DE">
            <w:pPr>
              <w:rPr>
                <w:b w:val="0"/>
                <w:lang w:eastAsia="en-US"/>
              </w:rPr>
            </w:pPr>
            <w:r w:rsidRPr="00110D17">
              <w:rPr>
                <w:lang w:eastAsia="en-US"/>
              </w:rPr>
              <w:t>Č.</w:t>
            </w:r>
          </w:p>
        </w:tc>
        <w:tc>
          <w:tcPr>
            <w:tcW w:w="1548" w:type="pct"/>
            <w:hideMark/>
          </w:tcPr>
          <w:p w14:paraId="1013C7EC" w14:textId="77777777" w:rsidR="00F00A6F" w:rsidRPr="00110D17" w:rsidRDefault="00F00A6F" w:rsidP="007176DE">
            <w:pPr>
              <w:rPr>
                <w:b w:val="0"/>
                <w:lang w:eastAsia="en-US"/>
              </w:rPr>
            </w:pPr>
            <w:r w:rsidRPr="00110D17">
              <w:rPr>
                <w:lang w:eastAsia="en-US"/>
              </w:rPr>
              <w:t>Typ porušení</w:t>
            </w:r>
          </w:p>
        </w:tc>
        <w:tc>
          <w:tcPr>
            <w:tcW w:w="1548" w:type="pct"/>
            <w:hideMark/>
          </w:tcPr>
          <w:p w14:paraId="61E966C6" w14:textId="77777777" w:rsidR="00F00A6F" w:rsidRPr="00110D17" w:rsidRDefault="00F00A6F" w:rsidP="007176DE">
            <w:pPr>
              <w:rPr>
                <w:b w:val="0"/>
                <w:lang w:eastAsia="en-US"/>
              </w:rPr>
            </w:pPr>
            <w:r w:rsidRPr="00110D17">
              <w:rPr>
                <w:lang w:eastAsia="en-US"/>
              </w:rPr>
              <w:t>Popis porušení</w:t>
            </w:r>
          </w:p>
        </w:tc>
        <w:tc>
          <w:tcPr>
            <w:tcW w:w="1547" w:type="pct"/>
            <w:hideMark/>
          </w:tcPr>
          <w:p w14:paraId="5218A30E" w14:textId="77777777" w:rsidR="00F00A6F" w:rsidRPr="00110D17" w:rsidRDefault="00F00A6F" w:rsidP="007176DE">
            <w:pPr>
              <w:rPr>
                <w:b w:val="0"/>
                <w:lang w:eastAsia="en-US"/>
              </w:rPr>
            </w:pPr>
            <w:r w:rsidRPr="00110D17">
              <w:rPr>
                <w:lang w:eastAsia="en-US"/>
              </w:rPr>
              <w:t>Sazba sankce</w:t>
            </w:r>
          </w:p>
        </w:tc>
      </w:tr>
      <w:tr w:rsidR="00F00A6F" w:rsidRPr="003445F5" w14:paraId="70B20A13" w14:textId="77777777" w:rsidTr="007176DE">
        <w:trPr>
          <w:trHeight w:val="20"/>
        </w:trPr>
        <w:tc>
          <w:tcPr>
            <w:tcW w:w="357" w:type="pct"/>
            <w:vMerge w:val="restart"/>
            <w:vAlign w:val="top"/>
          </w:tcPr>
          <w:p w14:paraId="6950653E" w14:textId="77777777" w:rsidR="00F00A6F" w:rsidRPr="00EE7D23" w:rsidRDefault="00F00A6F" w:rsidP="007176DE">
            <w:pPr>
              <w:jc w:val="left"/>
              <w:rPr>
                <w:lang w:eastAsia="en-US"/>
              </w:rPr>
            </w:pPr>
            <w:r>
              <w:rPr>
                <w:lang w:eastAsia="en-US"/>
              </w:rPr>
              <w:t>1.</w:t>
            </w:r>
          </w:p>
        </w:tc>
        <w:tc>
          <w:tcPr>
            <w:tcW w:w="1548" w:type="pct"/>
            <w:vMerge w:val="restart"/>
            <w:vAlign w:val="top"/>
            <w:hideMark/>
          </w:tcPr>
          <w:p w14:paraId="4C48EFD0" w14:textId="77777777" w:rsidR="00F00A6F" w:rsidRPr="00EE7D23" w:rsidRDefault="00F00A6F" w:rsidP="007176DE">
            <w:pPr>
              <w:jc w:val="left"/>
              <w:rPr>
                <w:lang w:eastAsia="en-US"/>
              </w:rPr>
            </w:pPr>
            <w:r w:rsidRPr="00EE7D23">
              <w:rPr>
                <w:lang w:eastAsia="en-US"/>
              </w:rPr>
              <w:t xml:space="preserve">Nedodržení požadovaného způsobu zahájení řízení a jeho uveřejnění </w:t>
            </w:r>
          </w:p>
          <w:p w14:paraId="2524D4CF" w14:textId="77777777" w:rsidR="00F00A6F" w:rsidRPr="00EE7D23" w:rsidRDefault="00F00A6F" w:rsidP="007176DE">
            <w:pPr>
              <w:jc w:val="left"/>
              <w:rPr>
                <w:lang w:eastAsia="en-US"/>
              </w:rPr>
            </w:pPr>
            <w:r w:rsidRPr="00EE7D23">
              <w:rPr>
                <w:lang w:eastAsia="en-US"/>
              </w:rPr>
              <w:t xml:space="preserve">nebo </w:t>
            </w:r>
          </w:p>
          <w:p w14:paraId="1104BF4D" w14:textId="77777777" w:rsidR="00F00A6F" w:rsidRPr="00EE7D23" w:rsidRDefault="00F00A6F" w:rsidP="007176DE">
            <w:pPr>
              <w:jc w:val="left"/>
              <w:rPr>
                <w:lang w:eastAsia="en-US"/>
              </w:rPr>
            </w:pPr>
            <w:r w:rsidRPr="00EE7D23">
              <w:rPr>
                <w:lang w:eastAsia="en-US"/>
              </w:rPr>
              <w:t xml:space="preserve">neoprávněné přímé zadání (např. neoprávněné užití jednacího řízení bez uveřejnění). </w:t>
            </w:r>
          </w:p>
        </w:tc>
        <w:tc>
          <w:tcPr>
            <w:tcW w:w="1548" w:type="pct"/>
            <w:vMerge w:val="restart"/>
            <w:vAlign w:val="top"/>
            <w:hideMark/>
          </w:tcPr>
          <w:p w14:paraId="7E2BA5FD" w14:textId="4429058F" w:rsidR="00F00A6F" w:rsidRPr="00EE7D23" w:rsidRDefault="00F00A6F" w:rsidP="007176DE">
            <w:pPr>
              <w:jc w:val="left"/>
              <w:rPr>
                <w:lang w:eastAsia="en-US"/>
              </w:rPr>
            </w:pPr>
            <w:r w:rsidRPr="00EE7D23">
              <w:rPr>
                <w:lang w:eastAsia="en-US"/>
              </w:rPr>
              <w:t>Zadavatel zadal zakázku, aniž by zahájil výběrové/zadávací řízení</w:t>
            </w:r>
            <w:r w:rsidR="00A9639A">
              <w:rPr>
                <w:lang w:eastAsia="en-US"/>
              </w:rPr>
              <w:t xml:space="preserve"> v </w:t>
            </w:r>
            <w:r w:rsidRPr="00EE7D23">
              <w:rPr>
                <w:lang w:eastAsia="en-US"/>
              </w:rPr>
              <w:t>souladu se ZZVZ nebo</w:t>
            </w:r>
            <w:r w:rsidR="00A9639A">
              <w:rPr>
                <w:lang w:eastAsia="en-US"/>
              </w:rPr>
              <w:t xml:space="preserve"> v </w:t>
            </w:r>
            <w:r w:rsidRPr="00EE7D23">
              <w:rPr>
                <w:lang w:eastAsia="en-US"/>
              </w:rPr>
              <w:t>souladu</w:t>
            </w:r>
            <w:r w:rsidR="00A9639A">
              <w:rPr>
                <w:lang w:eastAsia="en-US"/>
              </w:rPr>
              <w:t xml:space="preserve"> s </w:t>
            </w:r>
            <w:r w:rsidRPr="00EE7D23">
              <w:rPr>
                <w:lang w:eastAsia="en-US"/>
              </w:rPr>
              <w:t>Pravidly pro žadatele a příjemce OPD2021</w:t>
            </w:r>
            <w:r>
              <w:rPr>
                <w:lang w:eastAsia="en-US"/>
              </w:rPr>
              <w:t>+</w:t>
            </w:r>
            <w:r w:rsidRPr="00EE7D23">
              <w:rPr>
                <w:lang w:eastAsia="en-US"/>
              </w:rPr>
              <w:t>.</w:t>
            </w:r>
          </w:p>
        </w:tc>
        <w:tc>
          <w:tcPr>
            <w:tcW w:w="1547" w:type="pct"/>
            <w:vAlign w:val="top"/>
            <w:hideMark/>
          </w:tcPr>
          <w:p w14:paraId="6B8BE3E0" w14:textId="650292A0" w:rsidR="00F00A6F" w:rsidRPr="00EE7D23" w:rsidRDefault="00F00A6F" w:rsidP="007176DE">
            <w:pPr>
              <w:jc w:val="left"/>
              <w:rPr>
                <w:lang w:eastAsia="en-US"/>
              </w:rPr>
            </w:pPr>
            <w:r w:rsidRPr="00EE7D23">
              <w:rPr>
                <w:lang w:eastAsia="en-US"/>
              </w:rPr>
              <w:t>100</w:t>
            </w:r>
            <w:r w:rsidR="00741C98">
              <w:rPr>
                <w:lang w:eastAsia="en-US"/>
              </w:rPr>
              <w:t> </w:t>
            </w:r>
            <w:r w:rsidRPr="00EE7D23">
              <w:rPr>
                <w:lang w:eastAsia="en-US"/>
              </w:rPr>
              <w:t>%</w:t>
            </w:r>
          </w:p>
        </w:tc>
      </w:tr>
      <w:tr w:rsidR="00F00A6F" w:rsidRPr="003445F5" w14:paraId="7943619C" w14:textId="77777777" w:rsidTr="007176DE">
        <w:trPr>
          <w:trHeight w:val="1637"/>
        </w:trPr>
        <w:tc>
          <w:tcPr>
            <w:tcW w:w="0" w:type="auto"/>
            <w:vMerge/>
            <w:vAlign w:val="top"/>
            <w:hideMark/>
          </w:tcPr>
          <w:p w14:paraId="793964EC" w14:textId="77777777" w:rsidR="00F00A6F" w:rsidRPr="00110D17" w:rsidRDefault="00F00A6F" w:rsidP="007176DE">
            <w:pPr>
              <w:jc w:val="left"/>
              <w:rPr>
                <w:lang w:eastAsia="en-US"/>
              </w:rPr>
            </w:pPr>
          </w:p>
        </w:tc>
        <w:tc>
          <w:tcPr>
            <w:tcW w:w="0" w:type="auto"/>
            <w:vMerge/>
            <w:vAlign w:val="top"/>
            <w:hideMark/>
          </w:tcPr>
          <w:p w14:paraId="29E1B2D6" w14:textId="77777777" w:rsidR="00F00A6F" w:rsidRPr="00110D17" w:rsidRDefault="00F00A6F" w:rsidP="007176DE">
            <w:pPr>
              <w:jc w:val="left"/>
              <w:rPr>
                <w:lang w:eastAsia="en-US"/>
              </w:rPr>
            </w:pPr>
          </w:p>
        </w:tc>
        <w:tc>
          <w:tcPr>
            <w:tcW w:w="0" w:type="auto"/>
            <w:vMerge/>
            <w:vAlign w:val="top"/>
            <w:hideMark/>
          </w:tcPr>
          <w:p w14:paraId="52969462" w14:textId="77777777" w:rsidR="00F00A6F" w:rsidRPr="00110D17" w:rsidRDefault="00F00A6F" w:rsidP="007176DE">
            <w:pPr>
              <w:jc w:val="left"/>
              <w:rPr>
                <w:lang w:eastAsia="en-US"/>
              </w:rPr>
            </w:pPr>
          </w:p>
        </w:tc>
        <w:tc>
          <w:tcPr>
            <w:tcW w:w="1547" w:type="pct"/>
            <w:vAlign w:val="top"/>
            <w:hideMark/>
          </w:tcPr>
          <w:p w14:paraId="75C748DE" w14:textId="794F7CF9" w:rsidR="00F00A6F" w:rsidRPr="00110D17" w:rsidRDefault="00F00A6F" w:rsidP="007176DE">
            <w:pPr>
              <w:jc w:val="left"/>
              <w:rPr>
                <w:lang w:eastAsia="en-US"/>
              </w:rPr>
            </w:pPr>
            <w:r w:rsidRPr="00110D17">
              <w:rPr>
                <w:lang w:eastAsia="en-US"/>
              </w:rPr>
              <w:t>25 %, pokud byla dodržena určitá míra uveřejnění, která umožnila potenciálním dodavatelům přístup</w:t>
            </w:r>
            <w:r w:rsidR="00A9639A">
              <w:rPr>
                <w:lang w:eastAsia="en-US"/>
              </w:rPr>
              <w:t xml:space="preserve"> k </w:t>
            </w:r>
            <w:r w:rsidRPr="00110D17">
              <w:rPr>
                <w:lang w:eastAsia="en-US"/>
              </w:rPr>
              <w:t>zadávané zakázce.</w:t>
            </w:r>
          </w:p>
        </w:tc>
      </w:tr>
      <w:tr w:rsidR="00F00A6F" w:rsidRPr="003445F5" w14:paraId="18E5C66F" w14:textId="77777777" w:rsidTr="007176DE">
        <w:trPr>
          <w:trHeight w:val="20"/>
        </w:trPr>
        <w:tc>
          <w:tcPr>
            <w:tcW w:w="357" w:type="pct"/>
            <w:vMerge w:val="restart"/>
            <w:vAlign w:val="top"/>
          </w:tcPr>
          <w:p w14:paraId="29048C58" w14:textId="77777777" w:rsidR="00F00A6F" w:rsidRPr="00EE7D23" w:rsidRDefault="00F00A6F" w:rsidP="007176DE">
            <w:pPr>
              <w:jc w:val="left"/>
              <w:rPr>
                <w:lang w:eastAsia="en-US"/>
              </w:rPr>
            </w:pPr>
            <w:r>
              <w:rPr>
                <w:lang w:eastAsia="en-US"/>
              </w:rPr>
              <w:t>2.</w:t>
            </w:r>
          </w:p>
        </w:tc>
        <w:tc>
          <w:tcPr>
            <w:tcW w:w="1548" w:type="pct"/>
            <w:vMerge w:val="restart"/>
            <w:vAlign w:val="top"/>
            <w:hideMark/>
          </w:tcPr>
          <w:p w14:paraId="2E88CA63" w14:textId="77777777" w:rsidR="00F00A6F" w:rsidRPr="00EE7D23" w:rsidRDefault="00F00A6F" w:rsidP="007176DE">
            <w:pPr>
              <w:jc w:val="left"/>
              <w:rPr>
                <w:lang w:eastAsia="en-US"/>
              </w:rPr>
            </w:pPr>
            <w:r w:rsidRPr="00EE7D23">
              <w:rPr>
                <w:lang w:eastAsia="en-US"/>
              </w:rPr>
              <w:t>Neoprávněné rozdělení předmětu zakázky.</w:t>
            </w:r>
          </w:p>
        </w:tc>
        <w:tc>
          <w:tcPr>
            <w:tcW w:w="1548" w:type="pct"/>
            <w:vMerge w:val="restart"/>
            <w:vAlign w:val="top"/>
            <w:hideMark/>
          </w:tcPr>
          <w:p w14:paraId="50C8F734" w14:textId="1702F88E" w:rsidR="00F00A6F" w:rsidRPr="00EE7D23" w:rsidRDefault="00F00A6F" w:rsidP="007176DE">
            <w:pPr>
              <w:jc w:val="left"/>
              <w:rPr>
                <w:lang w:eastAsia="en-US"/>
              </w:rPr>
            </w:pPr>
            <w:r w:rsidRPr="00EE7D23">
              <w:rPr>
                <w:lang w:eastAsia="en-US"/>
              </w:rPr>
              <w:t>Zadavatel uměle rozdělil předmět zakázky tak, že tím došlo ke snížení její předpokládané hodnoty pod finanční limity stanovené</w:t>
            </w:r>
            <w:r w:rsidR="00A9639A">
              <w:rPr>
                <w:lang w:eastAsia="en-US"/>
              </w:rPr>
              <w:t xml:space="preserve"> v </w:t>
            </w:r>
            <w:r w:rsidRPr="00EE7D23">
              <w:rPr>
                <w:lang w:eastAsia="en-US"/>
              </w:rPr>
              <w:t>ZZVZ nebo Pravidly pro žadatele a příjemce OPD2021</w:t>
            </w:r>
            <w:r>
              <w:rPr>
                <w:lang w:eastAsia="en-US"/>
              </w:rPr>
              <w:t>+</w:t>
            </w:r>
            <w:r w:rsidRPr="00EE7D23">
              <w:rPr>
                <w:lang w:eastAsia="en-US"/>
              </w:rPr>
              <w:t>, čímž nebylo zajištěno řádné uveřejnění zakázky.</w:t>
            </w:r>
          </w:p>
        </w:tc>
        <w:tc>
          <w:tcPr>
            <w:tcW w:w="1547" w:type="pct"/>
            <w:vAlign w:val="top"/>
            <w:hideMark/>
          </w:tcPr>
          <w:p w14:paraId="48C06B6B" w14:textId="2EC001A2" w:rsidR="00F00A6F" w:rsidRPr="00EE7D23" w:rsidRDefault="00F00A6F" w:rsidP="007176DE">
            <w:pPr>
              <w:jc w:val="left"/>
              <w:rPr>
                <w:lang w:eastAsia="en-US"/>
              </w:rPr>
            </w:pPr>
            <w:r w:rsidRPr="00EE7D23">
              <w:rPr>
                <w:lang w:eastAsia="en-US"/>
              </w:rPr>
              <w:t>100</w:t>
            </w:r>
            <w:r w:rsidR="00741C98">
              <w:rPr>
                <w:lang w:eastAsia="en-US"/>
              </w:rPr>
              <w:t> </w:t>
            </w:r>
            <w:r w:rsidRPr="00EE7D23">
              <w:rPr>
                <w:lang w:eastAsia="en-US"/>
              </w:rPr>
              <w:t xml:space="preserve">%, pokud zakázka nebyla uveřejněna, ačkoliv se na ni tato povinnost vztahovala. </w:t>
            </w:r>
          </w:p>
        </w:tc>
      </w:tr>
      <w:tr w:rsidR="00F00A6F" w:rsidRPr="003445F5" w14:paraId="5530699A" w14:textId="77777777" w:rsidTr="007176DE">
        <w:trPr>
          <w:trHeight w:val="1710"/>
        </w:trPr>
        <w:tc>
          <w:tcPr>
            <w:tcW w:w="0" w:type="auto"/>
            <w:vMerge/>
            <w:vAlign w:val="top"/>
            <w:hideMark/>
          </w:tcPr>
          <w:p w14:paraId="41FA4CA4" w14:textId="77777777" w:rsidR="00F00A6F" w:rsidRPr="00110D17" w:rsidRDefault="00F00A6F" w:rsidP="007176DE">
            <w:pPr>
              <w:jc w:val="left"/>
              <w:rPr>
                <w:lang w:eastAsia="en-US"/>
              </w:rPr>
            </w:pPr>
          </w:p>
        </w:tc>
        <w:tc>
          <w:tcPr>
            <w:tcW w:w="0" w:type="auto"/>
            <w:vMerge/>
            <w:vAlign w:val="top"/>
            <w:hideMark/>
          </w:tcPr>
          <w:p w14:paraId="3A5B11E2" w14:textId="77777777" w:rsidR="00F00A6F" w:rsidRPr="00110D17" w:rsidRDefault="00F00A6F" w:rsidP="007176DE">
            <w:pPr>
              <w:jc w:val="left"/>
              <w:rPr>
                <w:lang w:eastAsia="en-US"/>
              </w:rPr>
            </w:pPr>
          </w:p>
        </w:tc>
        <w:tc>
          <w:tcPr>
            <w:tcW w:w="0" w:type="auto"/>
            <w:vMerge/>
            <w:vAlign w:val="top"/>
            <w:hideMark/>
          </w:tcPr>
          <w:p w14:paraId="52C9F0EE" w14:textId="77777777" w:rsidR="00F00A6F" w:rsidRPr="00110D17" w:rsidRDefault="00F00A6F" w:rsidP="007176DE">
            <w:pPr>
              <w:jc w:val="left"/>
              <w:rPr>
                <w:lang w:eastAsia="en-US"/>
              </w:rPr>
            </w:pPr>
          </w:p>
        </w:tc>
        <w:tc>
          <w:tcPr>
            <w:tcW w:w="1547" w:type="pct"/>
            <w:vAlign w:val="top"/>
            <w:hideMark/>
          </w:tcPr>
          <w:p w14:paraId="282CAE88" w14:textId="170B60D9" w:rsidR="00F00A6F" w:rsidRPr="00110D17" w:rsidRDefault="00F00A6F" w:rsidP="007176DE">
            <w:pPr>
              <w:jc w:val="left"/>
              <w:rPr>
                <w:lang w:eastAsia="en-US"/>
              </w:rPr>
            </w:pPr>
            <w:r w:rsidRPr="00110D17">
              <w:rPr>
                <w:lang w:eastAsia="en-US"/>
              </w:rPr>
              <w:t>25</w:t>
            </w:r>
            <w:r w:rsidR="00741C98">
              <w:rPr>
                <w:lang w:eastAsia="en-US"/>
              </w:rPr>
              <w:t> </w:t>
            </w:r>
            <w:r w:rsidRPr="00110D17">
              <w:rPr>
                <w:lang w:eastAsia="en-US"/>
              </w:rPr>
              <w:t>%, pokud byla dodržena určitá míra uveřejnění, která umožnila potenciálním dodavatelům přístup</w:t>
            </w:r>
            <w:r w:rsidR="00A9639A">
              <w:rPr>
                <w:lang w:eastAsia="en-US"/>
              </w:rPr>
              <w:t xml:space="preserve"> k </w:t>
            </w:r>
            <w:r w:rsidRPr="00110D17">
              <w:rPr>
                <w:lang w:eastAsia="en-US"/>
              </w:rPr>
              <w:t>zadávané zakázce.</w:t>
            </w:r>
          </w:p>
        </w:tc>
      </w:tr>
      <w:tr w:rsidR="00F00A6F" w:rsidRPr="003445F5" w14:paraId="6D7267DF" w14:textId="77777777" w:rsidTr="007176DE">
        <w:trPr>
          <w:trHeight w:val="348"/>
        </w:trPr>
        <w:tc>
          <w:tcPr>
            <w:tcW w:w="357" w:type="pct"/>
            <w:vAlign w:val="top"/>
          </w:tcPr>
          <w:p w14:paraId="3D501CC0" w14:textId="77777777" w:rsidR="00F00A6F" w:rsidRPr="00EE7D23" w:rsidRDefault="00F00A6F" w:rsidP="007176DE">
            <w:pPr>
              <w:jc w:val="left"/>
              <w:rPr>
                <w:lang w:eastAsia="en-US"/>
              </w:rPr>
            </w:pPr>
            <w:r>
              <w:rPr>
                <w:lang w:eastAsia="en-US"/>
              </w:rPr>
              <w:t>3.</w:t>
            </w:r>
          </w:p>
        </w:tc>
        <w:tc>
          <w:tcPr>
            <w:tcW w:w="1548" w:type="pct"/>
            <w:vAlign w:val="top"/>
            <w:hideMark/>
          </w:tcPr>
          <w:p w14:paraId="456BC97E" w14:textId="77777777" w:rsidR="00F00A6F" w:rsidRPr="00EE7D23" w:rsidRDefault="00F00A6F" w:rsidP="007176DE">
            <w:pPr>
              <w:jc w:val="left"/>
              <w:rPr>
                <w:lang w:eastAsia="en-US"/>
              </w:rPr>
            </w:pPr>
            <w:r w:rsidRPr="00EE7D23">
              <w:rPr>
                <w:lang w:eastAsia="en-US"/>
              </w:rPr>
              <w:t>Chybějící či nedostatečné odůvodnění nerozdělení zakázky na části.</w:t>
            </w:r>
          </w:p>
        </w:tc>
        <w:tc>
          <w:tcPr>
            <w:tcW w:w="1548" w:type="pct"/>
            <w:vAlign w:val="top"/>
            <w:hideMark/>
          </w:tcPr>
          <w:p w14:paraId="531DB526" w14:textId="08AFB9BD" w:rsidR="00F00A6F" w:rsidRPr="00EE7D23" w:rsidRDefault="00F00A6F" w:rsidP="007176DE">
            <w:pPr>
              <w:jc w:val="left"/>
              <w:rPr>
                <w:lang w:eastAsia="en-US"/>
              </w:rPr>
            </w:pPr>
            <w:r w:rsidRPr="00EE7D23">
              <w:rPr>
                <w:lang w:eastAsia="en-US"/>
              </w:rPr>
              <w:t>Zadavatel nerozdělil nadlimitní zakázku na části dle ZZVZ a toto rozhodnutí</w:t>
            </w:r>
            <w:r w:rsidR="00A9639A">
              <w:rPr>
                <w:lang w:eastAsia="en-US"/>
              </w:rPr>
              <w:t xml:space="preserve"> v </w:t>
            </w:r>
            <w:r w:rsidRPr="00EE7D23">
              <w:rPr>
                <w:lang w:eastAsia="en-US"/>
              </w:rPr>
              <w:t>písemné zprávě zadavatele nebo</w:t>
            </w:r>
            <w:r w:rsidR="00A9639A">
              <w:rPr>
                <w:lang w:eastAsia="en-US"/>
              </w:rPr>
              <w:t xml:space="preserve"> v </w:t>
            </w:r>
            <w:r w:rsidRPr="00EE7D23">
              <w:rPr>
                <w:lang w:eastAsia="en-US"/>
              </w:rPr>
              <w:t>zadávací dokumentaci neodůvodnil či toto odůvodnění nebylo dostatečné.</w:t>
            </w:r>
          </w:p>
        </w:tc>
        <w:tc>
          <w:tcPr>
            <w:tcW w:w="1547" w:type="pct"/>
            <w:vAlign w:val="top"/>
            <w:hideMark/>
          </w:tcPr>
          <w:p w14:paraId="35BB4C7F" w14:textId="2A8F12C4" w:rsidR="00F00A6F" w:rsidRPr="00EE7D23" w:rsidRDefault="00F00A6F" w:rsidP="007176DE">
            <w:pPr>
              <w:jc w:val="left"/>
              <w:rPr>
                <w:lang w:eastAsia="en-US"/>
              </w:rPr>
            </w:pPr>
            <w:r w:rsidRPr="00EE7D23">
              <w:rPr>
                <w:lang w:eastAsia="en-US"/>
              </w:rPr>
              <w:t>5</w:t>
            </w:r>
            <w:r w:rsidR="00741C98">
              <w:rPr>
                <w:lang w:eastAsia="en-US"/>
              </w:rPr>
              <w:t> </w:t>
            </w:r>
            <w:r w:rsidRPr="00EE7D23">
              <w:rPr>
                <w:lang w:eastAsia="en-US"/>
              </w:rPr>
              <w:t>%</w:t>
            </w:r>
          </w:p>
        </w:tc>
      </w:tr>
      <w:tr w:rsidR="00F00A6F" w:rsidRPr="003445F5" w14:paraId="5ABB58BE" w14:textId="77777777" w:rsidTr="007176DE">
        <w:trPr>
          <w:trHeight w:val="1417"/>
        </w:trPr>
        <w:tc>
          <w:tcPr>
            <w:tcW w:w="357" w:type="pct"/>
            <w:vMerge w:val="restart"/>
            <w:vAlign w:val="top"/>
          </w:tcPr>
          <w:p w14:paraId="5907B7A4" w14:textId="77777777" w:rsidR="00F00A6F" w:rsidRPr="00EE7D23" w:rsidRDefault="00F00A6F" w:rsidP="007176DE">
            <w:pPr>
              <w:jc w:val="left"/>
              <w:rPr>
                <w:lang w:eastAsia="en-US"/>
              </w:rPr>
            </w:pPr>
            <w:r>
              <w:rPr>
                <w:lang w:eastAsia="en-US"/>
              </w:rPr>
              <w:lastRenderedPageBreak/>
              <w:t>4.</w:t>
            </w:r>
          </w:p>
        </w:tc>
        <w:tc>
          <w:tcPr>
            <w:tcW w:w="1548" w:type="pct"/>
            <w:vMerge w:val="restart"/>
            <w:vAlign w:val="top"/>
            <w:hideMark/>
          </w:tcPr>
          <w:p w14:paraId="181D027F" w14:textId="38131908" w:rsidR="00F00A6F" w:rsidRPr="00EE7D23" w:rsidRDefault="00F00A6F" w:rsidP="007176DE">
            <w:pPr>
              <w:jc w:val="left"/>
              <w:rPr>
                <w:lang w:eastAsia="en-US"/>
              </w:rPr>
            </w:pPr>
            <w:r w:rsidRPr="00EE7D23">
              <w:rPr>
                <w:lang w:eastAsia="en-US"/>
              </w:rPr>
              <w:t>Nedodržení minimální délky lhůty pro podání nabídek, předběžných nabídek nebo žádostí</w:t>
            </w:r>
            <w:r w:rsidR="00A9639A">
              <w:rPr>
                <w:lang w:eastAsia="en-US"/>
              </w:rPr>
              <w:t xml:space="preserve"> o </w:t>
            </w:r>
            <w:r w:rsidRPr="00EE7D23">
              <w:rPr>
                <w:lang w:eastAsia="en-US"/>
              </w:rPr>
              <w:t>účast</w:t>
            </w:r>
          </w:p>
          <w:p w14:paraId="2BF5758A" w14:textId="77777777" w:rsidR="00F00A6F" w:rsidRPr="00EE7D23" w:rsidRDefault="00F00A6F" w:rsidP="007176DE">
            <w:pPr>
              <w:jc w:val="left"/>
              <w:rPr>
                <w:lang w:eastAsia="en-US"/>
              </w:rPr>
            </w:pPr>
            <w:r w:rsidRPr="00EE7D23">
              <w:rPr>
                <w:lang w:eastAsia="en-US"/>
              </w:rPr>
              <w:t>nebo</w:t>
            </w:r>
          </w:p>
          <w:p w14:paraId="02AAF9D7" w14:textId="2293201A" w:rsidR="00F00A6F" w:rsidRPr="00EE7D23" w:rsidRDefault="00F00A6F" w:rsidP="007176DE">
            <w:pPr>
              <w:jc w:val="left"/>
              <w:rPr>
                <w:lang w:eastAsia="en-US"/>
              </w:rPr>
            </w:pPr>
            <w:r w:rsidRPr="00EE7D23">
              <w:rPr>
                <w:lang w:eastAsia="en-US"/>
              </w:rPr>
              <w:t>neprodloužení této lhůty</w:t>
            </w:r>
            <w:r w:rsidR="00A9639A">
              <w:rPr>
                <w:lang w:eastAsia="en-US"/>
              </w:rPr>
              <w:t xml:space="preserve"> v </w:t>
            </w:r>
            <w:r w:rsidRPr="00EE7D23">
              <w:rPr>
                <w:lang w:eastAsia="en-US"/>
              </w:rPr>
              <w:t>případě takové změny zadávacích podmínek, jejichž povaha to vyžadovala.</w:t>
            </w:r>
          </w:p>
        </w:tc>
        <w:tc>
          <w:tcPr>
            <w:tcW w:w="1548" w:type="pct"/>
            <w:vMerge w:val="restart"/>
            <w:vAlign w:val="top"/>
            <w:hideMark/>
          </w:tcPr>
          <w:p w14:paraId="743F6440" w14:textId="48D65838" w:rsidR="00F00A6F" w:rsidRPr="00EE7D23" w:rsidRDefault="00F00A6F" w:rsidP="007176DE">
            <w:pPr>
              <w:jc w:val="left"/>
              <w:rPr>
                <w:lang w:eastAsia="en-US"/>
              </w:rPr>
            </w:pPr>
            <w:r w:rsidRPr="00EE7D23">
              <w:rPr>
                <w:lang w:eastAsia="en-US"/>
              </w:rPr>
              <w:t>Zadavatel stanovil lhůtu pro podání nabídek, předběžných nabídek nebo žádostí</w:t>
            </w:r>
            <w:r w:rsidR="00A9639A">
              <w:rPr>
                <w:lang w:eastAsia="en-US"/>
              </w:rPr>
              <w:t xml:space="preserve"> o </w:t>
            </w:r>
            <w:r w:rsidRPr="00EE7D23">
              <w:rPr>
                <w:lang w:eastAsia="en-US"/>
              </w:rPr>
              <w:t>účast tak, že jejich délka nedosahovala minimálních lhůt stanovených ZZVZ nebo Pravidly pro žadatele a příjemce OPD2021</w:t>
            </w:r>
            <w:r>
              <w:rPr>
                <w:lang w:eastAsia="en-US"/>
              </w:rPr>
              <w:t>+</w:t>
            </w:r>
          </w:p>
          <w:p w14:paraId="3EF5DF77" w14:textId="0AD76851" w:rsidR="00F00A6F" w:rsidRPr="00EE7D23" w:rsidRDefault="00F00A6F" w:rsidP="007176DE">
            <w:pPr>
              <w:jc w:val="left"/>
              <w:rPr>
                <w:lang w:eastAsia="en-US"/>
              </w:rPr>
            </w:pPr>
            <w:r w:rsidRPr="00EE7D23">
              <w:rPr>
                <w:lang w:eastAsia="en-US"/>
              </w:rPr>
              <w:t>nebo zadavatel</w:t>
            </w:r>
            <w:r w:rsidR="00A9639A">
              <w:rPr>
                <w:lang w:eastAsia="en-US"/>
              </w:rPr>
              <w:t xml:space="preserve"> v </w:t>
            </w:r>
            <w:r w:rsidRPr="00EE7D23">
              <w:rPr>
                <w:lang w:eastAsia="en-US"/>
              </w:rPr>
              <w:t>případě takové změny zadávacích podmínek, jejichž povaha to vyžadovala, přiměřeně tuto lhůtu neprodloužil.</w:t>
            </w:r>
          </w:p>
        </w:tc>
        <w:tc>
          <w:tcPr>
            <w:tcW w:w="1547" w:type="pct"/>
            <w:vAlign w:val="top"/>
            <w:hideMark/>
          </w:tcPr>
          <w:p w14:paraId="798ABE81" w14:textId="20D0AEE4" w:rsidR="00F00A6F" w:rsidRPr="00EE7D23" w:rsidRDefault="00F00A6F" w:rsidP="007176DE">
            <w:pPr>
              <w:jc w:val="left"/>
              <w:rPr>
                <w:lang w:eastAsia="en-US"/>
              </w:rPr>
            </w:pPr>
            <w:r w:rsidRPr="00EE7D23">
              <w:rPr>
                <w:lang w:eastAsia="en-US"/>
              </w:rPr>
              <w:t>100</w:t>
            </w:r>
            <w:r w:rsidR="00741C98">
              <w:rPr>
                <w:lang w:eastAsia="en-US"/>
              </w:rPr>
              <w:t> </w:t>
            </w:r>
            <w:r w:rsidRPr="00EE7D23">
              <w:rPr>
                <w:lang w:eastAsia="en-US"/>
              </w:rPr>
              <w:t>%, pokud je zkrácení vyšší nebo rovno 85</w:t>
            </w:r>
            <w:r w:rsidR="00741C98">
              <w:rPr>
                <w:lang w:eastAsia="en-US"/>
              </w:rPr>
              <w:t> </w:t>
            </w:r>
            <w:r w:rsidRPr="00EE7D23">
              <w:rPr>
                <w:lang w:eastAsia="en-US"/>
              </w:rPr>
              <w:t>% délky minimální lhůty, nebo byla lhůta rovna nebo kratší než 5 dnů.</w:t>
            </w:r>
          </w:p>
        </w:tc>
      </w:tr>
      <w:tr w:rsidR="00F00A6F" w:rsidRPr="003445F5" w14:paraId="65DBA5A4" w14:textId="77777777" w:rsidTr="007176DE">
        <w:trPr>
          <w:trHeight w:val="1191"/>
        </w:trPr>
        <w:tc>
          <w:tcPr>
            <w:tcW w:w="0" w:type="auto"/>
            <w:vMerge/>
            <w:vAlign w:val="top"/>
            <w:hideMark/>
          </w:tcPr>
          <w:p w14:paraId="604850DB" w14:textId="77777777" w:rsidR="00F00A6F" w:rsidRPr="00110D17" w:rsidRDefault="00F00A6F" w:rsidP="007176DE">
            <w:pPr>
              <w:jc w:val="left"/>
              <w:rPr>
                <w:lang w:eastAsia="en-US"/>
              </w:rPr>
            </w:pPr>
          </w:p>
        </w:tc>
        <w:tc>
          <w:tcPr>
            <w:tcW w:w="0" w:type="auto"/>
            <w:vMerge/>
            <w:vAlign w:val="top"/>
            <w:hideMark/>
          </w:tcPr>
          <w:p w14:paraId="5152C79C" w14:textId="77777777" w:rsidR="00F00A6F" w:rsidRPr="00110D17" w:rsidRDefault="00F00A6F" w:rsidP="007176DE">
            <w:pPr>
              <w:jc w:val="left"/>
              <w:rPr>
                <w:lang w:eastAsia="en-US"/>
              </w:rPr>
            </w:pPr>
          </w:p>
        </w:tc>
        <w:tc>
          <w:tcPr>
            <w:tcW w:w="0" w:type="auto"/>
            <w:vMerge/>
            <w:vAlign w:val="top"/>
            <w:hideMark/>
          </w:tcPr>
          <w:p w14:paraId="6FC094A5" w14:textId="77777777" w:rsidR="00F00A6F" w:rsidRPr="00110D17" w:rsidRDefault="00F00A6F" w:rsidP="007176DE">
            <w:pPr>
              <w:jc w:val="left"/>
              <w:rPr>
                <w:lang w:eastAsia="en-US"/>
              </w:rPr>
            </w:pPr>
          </w:p>
        </w:tc>
        <w:tc>
          <w:tcPr>
            <w:tcW w:w="1547" w:type="pct"/>
            <w:vAlign w:val="top"/>
            <w:hideMark/>
          </w:tcPr>
          <w:p w14:paraId="4A136A23" w14:textId="1C259095" w:rsidR="00F00A6F" w:rsidRPr="00110D17" w:rsidRDefault="00F00A6F" w:rsidP="007176DE">
            <w:pPr>
              <w:jc w:val="left"/>
              <w:rPr>
                <w:lang w:eastAsia="en-US"/>
              </w:rPr>
            </w:pPr>
            <w:r w:rsidRPr="00110D17">
              <w:rPr>
                <w:lang w:eastAsia="en-US"/>
              </w:rPr>
              <w:t>25</w:t>
            </w:r>
            <w:r w:rsidR="00741C98">
              <w:rPr>
                <w:lang w:eastAsia="en-US"/>
              </w:rPr>
              <w:t> </w:t>
            </w:r>
            <w:r w:rsidRPr="00110D17">
              <w:rPr>
                <w:lang w:eastAsia="en-US"/>
              </w:rPr>
              <w:t>%, pokud je zkrácení vyšší nebo rovno 50</w:t>
            </w:r>
            <w:r w:rsidR="00741C98">
              <w:rPr>
                <w:lang w:eastAsia="en-US"/>
              </w:rPr>
              <w:t> </w:t>
            </w:r>
            <w:r w:rsidRPr="00110D17">
              <w:rPr>
                <w:lang w:eastAsia="en-US"/>
              </w:rPr>
              <w:t>% délky minimální lhůty (ale nedosahuje 85</w:t>
            </w:r>
            <w:r w:rsidR="00741C98">
              <w:rPr>
                <w:lang w:eastAsia="en-US"/>
              </w:rPr>
              <w:t> </w:t>
            </w:r>
            <w:r w:rsidRPr="00110D17">
              <w:rPr>
                <w:lang w:eastAsia="en-US"/>
              </w:rPr>
              <w:t>%).</w:t>
            </w:r>
          </w:p>
        </w:tc>
      </w:tr>
      <w:tr w:rsidR="00F00A6F" w:rsidRPr="003445F5" w14:paraId="63B5A5AC" w14:textId="77777777" w:rsidTr="007176DE">
        <w:trPr>
          <w:trHeight w:val="757"/>
        </w:trPr>
        <w:tc>
          <w:tcPr>
            <w:tcW w:w="0" w:type="auto"/>
            <w:vMerge/>
            <w:vAlign w:val="top"/>
            <w:hideMark/>
          </w:tcPr>
          <w:p w14:paraId="366E781E" w14:textId="77777777" w:rsidR="00F00A6F" w:rsidRPr="00110D17" w:rsidRDefault="00F00A6F" w:rsidP="007176DE">
            <w:pPr>
              <w:jc w:val="left"/>
              <w:rPr>
                <w:lang w:eastAsia="en-US"/>
              </w:rPr>
            </w:pPr>
          </w:p>
        </w:tc>
        <w:tc>
          <w:tcPr>
            <w:tcW w:w="0" w:type="auto"/>
            <w:vMerge/>
            <w:vAlign w:val="top"/>
            <w:hideMark/>
          </w:tcPr>
          <w:p w14:paraId="4702F42F" w14:textId="77777777" w:rsidR="00F00A6F" w:rsidRPr="00110D17" w:rsidRDefault="00F00A6F" w:rsidP="007176DE">
            <w:pPr>
              <w:jc w:val="left"/>
              <w:rPr>
                <w:lang w:eastAsia="en-US"/>
              </w:rPr>
            </w:pPr>
          </w:p>
        </w:tc>
        <w:tc>
          <w:tcPr>
            <w:tcW w:w="0" w:type="auto"/>
            <w:vMerge/>
            <w:vAlign w:val="top"/>
            <w:hideMark/>
          </w:tcPr>
          <w:p w14:paraId="575E8E62" w14:textId="77777777" w:rsidR="00F00A6F" w:rsidRPr="00110D17" w:rsidRDefault="00F00A6F" w:rsidP="007176DE">
            <w:pPr>
              <w:jc w:val="left"/>
              <w:rPr>
                <w:lang w:eastAsia="en-US"/>
              </w:rPr>
            </w:pPr>
          </w:p>
        </w:tc>
        <w:tc>
          <w:tcPr>
            <w:tcW w:w="1547" w:type="pct"/>
            <w:vAlign w:val="top"/>
            <w:hideMark/>
          </w:tcPr>
          <w:p w14:paraId="6189213D" w14:textId="57B003F6" w:rsidR="00F00A6F" w:rsidRPr="00110D17" w:rsidRDefault="00F00A6F" w:rsidP="007176DE">
            <w:pPr>
              <w:jc w:val="left"/>
              <w:rPr>
                <w:lang w:eastAsia="en-US"/>
              </w:rPr>
            </w:pPr>
            <w:r w:rsidRPr="00110D17">
              <w:rPr>
                <w:lang w:eastAsia="en-US"/>
              </w:rPr>
              <w:t>10</w:t>
            </w:r>
            <w:r w:rsidR="000F260C">
              <w:rPr>
                <w:lang w:eastAsia="en-US"/>
              </w:rPr>
              <w:t> </w:t>
            </w:r>
            <w:r w:rsidRPr="00110D17">
              <w:rPr>
                <w:lang w:eastAsia="en-US"/>
              </w:rPr>
              <w:t>%, pokud je zkrácení vyšší nebo rovno 30</w:t>
            </w:r>
            <w:r w:rsidR="000F260C">
              <w:rPr>
                <w:lang w:eastAsia="en-US"/>
              </w:rPr>
              <w:t> </w:t>
            </w:r>
            <w:r w:rsidRPr="00110D17">
              <w:rPr>
                <w:lang w:eastAsia="en-US"/>
              </w:rPr>
              <w:t>% délky minimální lhůty (ale nedosahuje 50</w:t>
            </w:r>
            <w:r w:rsidR="000F260C">
              <w:rPr>
                <w:lang w:eastAsia="en-US"/>
              </w:rPr>
              <w:t> </w:t>
            </w:r>
            <w:r w:rsidRPr="00110D17">
              <w:rPr>
                <w:lang w:eastAsia="en-US"/>
              </w:rPr>
              <w:t>%)</w:t>
            </w:r>
          </w:p>
          <w:p w14:paraId="64CD009E" w14:textId="77777777" w:rsidR="00F00A6F" w:rsidRPr="00110D17" w:rsidRDefault="00F00A6F" w:rsidP="007176DE">
            <w:pPr>
              <w:jc w:val="left"/>
              <w:rPr>
                <w:lang w:eastAsia="en-US"/>
              </w:rPr>
            </w:pPr>
            <w:r w:rsidRPr="00110D17">
              <w:rPr>
                <w:lang w:eastAsia="en-US"/>
              </w:rPr>
              <w:t>nebo</w:t>
            </w:r>
          </w:p>
          <w:p w14:paraId="279D96F9" w14:textId="304DFA3B" w:rsidR="00F00A6F" w:rsidRPr="00110D17" w:rsidRDefault="00F00A6F" w:rsidP="007176DE">
            <w:pPr>
              <w:jc w:val="left"/>
              <w:rPr>
                <w:lang w:eastAsia="en-US"/>
              </w:rPr>
            </w:pPr>
            <w:r w:rsidRPr="00110D17">
              <w:rPr>
                <w:lang w:eastAsia="en-US"/>
              </w:rPr>
              <w:t>nebyla prodloužena lhůta pro podání nabídek, předběžných nabídek nebo žádostí</w:t>
            </w:r>
            <w:r w:rsidR="00A9639A">
              <w:rPr>
                <w:lang w:eastAsia="en-US"/>
              </w:rPr>
              <w:t xml:space="preserve"> o </w:t>
            </w:r>
            <w:r w:rsidRPr="00110D17">
              <w:rPr>
                <w:lang w:eastAsia="en-US"/>
              </w:rPr>
              <w:t>účast</w:t>
            </w:r>
            <w:r w:rsidR="00A9639A">
              <w:rPr>
                <w:lang w:eastAsia="en-US"/>
              </w:rPr>
              <w:t xml:space="preserve"> v </w:t>
            </w:r>
            <w:r w:rsidRPr="00110D17">
              <w:rPr>
                <w:lang w:eastAsia="en-US"/>
              </w:rPr>
              <w:t>případě takové změny zadávacích podmínek, jejichž povaha to vyžadovala.</w:t>
            </w:r>
          </w:p>
        </w:tc>
      </w:tr>
      <w:tr w:rsidR="00F00A6F" w:rsidRPr="003445F5" w14:paraId="2CF3F243" w14:textId="77777777" w:rsidTr="007176DE">
        <w:trPr>
          <w:trHeight w:val="370"/>
        </w:trPr>
        <w:tc>
          <w:tcPr>
            <w:tcW w:w="0" w:type="auto"/>
            <w:vMerge/>
            <w:vAlign w:val="top"/>
            <w:hideMark/>
          </w:tcPr>
          <w:p w14:paraId="4AA1A1CF" w14:textId="77777777" w:rsidR="00F00A6F" w:rsidRPr="00110D17" w:rsidRDefault="00F00A6F" w:rsidP="007176DE">
            <w:pPr>
              <w:jc w:val="left"/>
              <w:rPr>
                <w:lang w:eastAsia="en-US"/>
              </w:rPr>
            </w:pPr>
          </w:p>
        </w:tc>
        <w:tc>
          <w:tcPr>
            <w:tcW w:w="0" w:type="auto"/>
            <w:vMerge/>
            <w:vAlign w:val="top"/>
            <w:hideMark/>
          </w:tcPr>
          <w:p w14:paraId="35C95260" w14:textId="77777777" w:rsidR="00F00A6F" w:rsidRPr="00110D17" w:rsidRDefault="00F00A6F" w:rsidP="007176DE">
            <w:pPr>
              <w:jc w:val="left"/>
              <w:rPr>
                <w:lang w:eastAsia="en-US"/>
              </w:rPr>
            </w:pPr>
          </w:p>
        </w:tc>
        <w:tc>
          <w:tcPr>
            <w:tcW w:w="0" w:type="auto"/>
            <w:vMerge/>
            <w:vAlign w:val="top"/>
            <w:hideMark/>
          </w:tcPr>
          <w:p w14:paraId="0769EDFE" w14:textId="77777777" w:rsidR="00F00A6F" w:rsidRPr="00110D17" w:rsidRDefault="00F00A6F" w:rsidP="007176DE">
            <w:pPr>
              <w:jc w:val="left"/>
              <w:rPr>
                <w:lang w:eastAsia="en-US"/>
              </w:rPr>
            </w:pPr>
          </w:p>
        </w:tc>
        <w:tc>
          <w:tcPr>
            <w:tcW w:w="1547" w:type="pct"/>
            <w:vAlign w:val="top"/>
            <w:hideMark/>
          </w:tcPr>
          <w:p w14:paraId="05DBD6D5" w14:textId="69CDE9D9" w:rsidR="00F00A6F" w:rsidRDefault="00F00A6F" w:rsidP="007176DE">
            <w:pPr>
              <w:jc w:val="left"/>
              <w:rPr>
                <w:lang w:eastAsia="en-US"/>
              </w:rPr>
            </w:pPr>
            <w:r w:rsidRPr="00110D17">
              <w:rPr>
                <w:lang w:eastAsia="en-US"/>
              </w:rPr>
              <w:t>5</w:t>
            </w:r>
            <w:r w:rsidR="000F260C">
              <w:rPr>
                <w:lang w:eastAsia="en-US"/>
              </w:rPr>
              <w:t> </w:t>
            </w:r>
            <w:r w:rsidRPr="00110D17">
              <w:rPr>
                <w:lang w:eastAsia="en-US"/>
              </w:rPr>
              <w:t>%, pokud je zkrácení nižší než 30</w:t>
            </w:r>
            <w:r w:rsidR="009D6169">
              <w:rPr>
                <w:lang w:eastAsia="en-US"/>
              </w:rPr>
              <w:t> </w:t>
            </w:r>
            <w:r w:rsidRPr="00110D17">
              <w:rPr>
                <w:lang w:eastAsia="en-US"/>
              </w:rPr>
              <w:t>%</w:t>
            </w:r>
            <w:r>
              <w:rPr>
                <w:lang w:eastAsia="en-US"/>
              </w:rPr>
              <w:t xml:space="preserve"> </w:t>
            </w:r>
            <w:r w:rsidRPr="004A0189">
              <w:rPr>
                <w:rFonts w:asciiTheme="minorHAnsi" w:hAnsiTheme="minorHAnsi" w:cstheme="minorHAnsi"/>
                <w:szCs w:val="20"/>
                <w:lang w:eastAsia="en-US"/>
              </w:rPr>
              <w:t>délky minimální lhůty</w:t>
            </w:r>
            <w:r w:rsidRPr="00110D17">
              <w:rPr>
                <w:lang w:eastAsia="en-US"/>
              </w:rPr>
              <w:t>.</w:t>
            </w:r>
          </w:p>
          <w:p w14:paraId="5DCD6DA3" w14:textId="77777777" w:rsidR="00F00A6F" w:rsidRPr="00110D17" w:rsidRDefault="00F00A6F" w:rsidP="007176DE">
            <w:pPr>
              <w:widowControl w:val="0"/>
              <w:rPr>
                <w:lang w:eastAsia="en-US"/>
              </w:rPr>
            </w:pPr>
          </w:p>
        </w:tc>
      </w:tr>
      <w:tr w:rsidR="00F00A6F" w:rsidRPr="003445F5" w14:paraId="50F704DE" w14:textId="77777777" w:rsidTr="007176DE">
        <w:trPr>
          <w:trHeight w:val="252"/>
        </w:trPr>
        <w:tc>
          <w:tcPr>
            <w:tcW w:w="357" w:type="pct"/>
            <w:vMerge w:val="restart"/>
            <w:vAlign w:val="top"/>
          </w:tcPr>
          <w:p w14:paraId="25A1CB55" w14:textId="77777777" w:rsidR="00F00A6F" w:rsidRPr="00EE7D23" w:rsidRDefault="00F00A6F" w:rsidP="007176DE">
            <w:pPr>
              <w:jc w:val="left"/>
              <w:rPr>
                <w:lang w:eastAsia="en-US"/>
              </w:rPr>
            </w:pPr>
            <w:r>
              <w:rPr>
                <w:lang w:eastAsia="en-US"/>
              </w:rPr>
              <w:t>5.</w:t>
            </w:r>
          </w:p>
        </w:tc>
        <w:tc>
          <w:tcPr>
            <w:tcW w:w="1548" w:type="pct"/>
            <w:vMerge w:val="restart"/>
            <w:vAlign w:val="top"/>
            <w:hideMark/>
          </w:tcPr>
          <w:p w14:paraId="4B02514C" w14:textId="77777777" w:rsidR="00F00A6F" w:rsidRPr="00EE7D23" w:rsidRDefault="00F00A6F" w:rsidP="007176DE">
            <w:pPr>
              <w:jc w:val="left"/>
              <w:rPr>
                <w:snapToGrid w:val="0"/>
                <w:lang w:eastAsia="en-US"/>
              </w:rPr>
            </w:pPr>
            <w:r w:rsidRPr="00EE7D23">
              <w:rPr>
                <w:snapToGrid w:val="0"/>
                <w:lang w:eastAsia="en-US"/>
              </w:rPr>
              <w:t>Nedostatečná doba pro opatření zadávací dokumentace</w:t>
            </w:r>
          </w:p>
          <w:p w14:paraId="32F5AD26" w14:textId="77777777" w:rsidR="00F00A6F" w:rsidRPr="00EE7D23" w:rsidRDefault="00F00A6F" w:rsidP="007176DE">
            <w:pPr>
              <w:jc w:val="left"/>
              <w:rPr>
                <w:snapToGrid w:val="0"/>
                <w:lang w:eastAsia="en-US"/>
              </w:rPr>
            </w:pPr>
            <w:r w:rsidRPr="00EE7D23">
              <w:rPr>
                <w:snapToGrid w:val="0"/>
                <w:lang w:eastAsia="en-US"/>
              </w:rPr>
              <w:t>nebo</w:t>
            </w:r>
          </w:p>
          <w:p w14:paraId="16004ACC" w14:textId="77777777" w:rsidR="00F00A6F" w:rsidRPr="00EE7D23" w:rsidRDefault="00F00A6F" w:rsidP="007176DE">
            <w:pPr>
              <w:jc w:val="left"/>
              <w:rPr>
                <w:snapToGrid w:val="0"/>
                <w:lang w:eastAsia="en-US"/>
              </w:rPr>
            </w:pPr>
            <w:r w:rsidRPr="00EE7D23">
              <w:rPr>
                <w:snapToGrid w:val="0"/>
                <w:lang w:eastAsia="en-US"/>
              </w:rPr>
              <w:t>jiná omezení pro získání zadávací dokumentace.</w:t>
            </w:r>
          </w:p>
        </w:tc>
        <w:tc>
          <w:tcPr>
            <w:tcW w:w="1548" w:type="pct"/>
            <w:vMerge w:val="restart"/>
            <w:vAlign w:val="top"/>
            <w:hideMark/>
          </w:tcPr>
          <w:p w14:paraId="24422C3C" w14:textId="77777777" w:rsidR="00F00A6F" w:rsidRPr="00EE7D23" w:rsidRDefault="00F00A6F" w:rsidP="007176DE">
            <w:pPr>
              <w:jc w:val="left"/>
              <w:rPr>
                <w:snapToGrid w:val="0"/>
                <w:lang w:eastAsia="en-US"/>
              </w:rPr>
            </w:pPr>
            <w:r w:rsidRPr="00EE7D23">
              <w:rPr>
                <w:snapToGrid w:val="0"/>
                <w:lang w:eastAsia="en-US"/>
              </w:rPr>
              <w:t>Jestliže zadávací dokumentace není volně, přímo a úplně dostupná, přičemž doba, ve které si ji mohou potenciální dodavatelé opatřit, je příliš krátká, či zadavatel jinak vytváří neodůvodněnou překážku pro řádnou hospodářskou soutěž.</w:t>
            </w:r>
          </w:p>
        </w:tc>
        <w:tc>
          <w:tcPr>
            <w:tcW w:w="1547" w:type="pct"/>
            <w:vAlign w:val="top"/>
            <w:hideMark/>
          </w:tcPr>
          <w:p w14:paraId="19A7AF26" w14:textId="2A5FB472" w:rsidR="00F00A6F" w:rsidRPr="00EE7D23" w:rsidRDefault="00F00A6F" w:rsidP="007176DE">
            <w:pPr>
              <w:jc w:val="left"/>
              <w:rPr>
                <w:lang w:eastAsia="en-US"/>
              </w:rPr>
            </w:pPr>
            <w:r w:rsidRPr="00EE7D23">
              <w:rPr>
                <w:lang w:eastAsia="en-US"/>
              </w:rPr>
              <w:t>10</w:t>
            </w:r>
            <w:r w:rsidR="009D6169">
              <w:rPr>
                <w:lang w:eastAsia="en-US"/>
              </w:rPr>
              <w:t> </w:t>
            </w:r>
            <w:r w:rsidRPr="00EE7D23">
              <w:rPr>
                <w:lang w:eastAsia="en-US"/>
              </w:rPr>
              <w:t>%, pokud po zkrácení činí délka lhůty pro podání nabídek méně než nebo je rovna 50</w:t>
            </w:r>
            <w:r w:rsidR="009D6169">
              <w:rPr>
                <w:lang w:eastAsia="en-US"/>
              </w:rPr>
              <w:t> </w:t>
            </w:r>
            <w:r w:rsidRPr="00EE7D23">
              <w:rPr>
                <w:lang w:eastAsia="en-US"/>
              </w:rPr>
              <w:t>% stanovené lhůty pro podání nabídek.</w:t>
            </w:r>
          </w:p>
        </w:tc>
      </w:tr>
      <w:tr w:rsidR="00F00A6F" w:rsidRPr="003445F5" w14:paraId="3C6097F2" w14:textId="77777777" w:rsidTr="007176DE">
        <w:trPr>
          <w:trHeight w:val="252"/>
        </w:trPr>
        <w:tc>
          <w:tcPr>
            <w:tcW w:w="0" w:type="auto"/>
            <w:vMerge/>
            <w:vAlign w:val="top"/>
            <w:hideMark/>
          </w:tcPr>
          <w:p w14:paraId="2F829E1A" w14:textId="77777777" w:rsidR="00F00A6F" w:rsidRPr="00110D17" w:rsidRDefault="00F00A6F" w:rsidP="007176DE">
            <w:pPr>
              <w:jc w:val="left"/>
              <w:rPr>
                <w:lang w:eastAsia="en-US"/>
              </w:rPr>
            </w:pPr>
          </w:p>
        </w:tc>
        <w:tc>
          <w:tcPr>
            <w:tcW w:w="0" w:type="auto"/>
            <w:vMerge/>
            <w:vAlign w:val="top"/>
            <w:hideMark/>
          </w:tcPr>
          <w:p w14:paraId="40F82309" w14:textId="77777777" w:rsidR="00F00A6F" w:rsidRPr="00110D17" w:rsidRDefault="00F00A6F" w:rsidP="007176DE">
            <w:pPr>
              <w:jc w:val="left"/>
              <w:rPr>
                <w:snapToGrid w:val="0"/>
                <w:lang w:eastAsia="en-US"/>
              </w:rPr>
            </w:pPr>
          </w:p>
        </w:tc>
        <w:tc>
          <w:tcPr>
            <w:tcW w:w="0" w:type="auto"/>
            <w:vMerge/>
            <w:vAlign w:val="top"/>
            <w:hideMark/>
          </w:tcPr>
          <w:p w14:paraId="0A64F713" w14:textId="77777777" w:rsidR="00F00A6F" w:rsidRPr="00110D17" w:rsidRDefault="00F00A6F" w:rsidP="007176DE">
            <w:pPr>
              <w:jc w:val="left"/>
              <w:rPr>
                <w:snapToGrid w:val="0"/>
                <w:lang w:eastAsia="en-US"/>
              </w:rPr>
            </w:pPr>
          </w:p>
        </w:tc>
        <w:tc>
          <w:tcPr>
            <w:tcW w:w="1547" w:type="pct"/>
            <w:vAlign w:val="top"/>
            <w:hideMark/>
          </w:tcPr>
          <w:p w14:paraId="5E674F78" w14:textId="1AFAEA05" w:rsidR="00F00A6F" w:rsidRPr="00110D17" w:rsidRDefault="00F00A6F" w:rsidP="007176DE">
            <w:pPr>
              <w:jc w:val="left"/>
              <w:rPr>
                <w:lang w:eastAsia="en-US"/>
              </w:rPr>
            </w:pPr>
            <w:r w:rsidRPr="00110D17">
              <w:rPr>
                <w:lang w:eastAsia="en-US"/>
              </w:rPr>
              <w:t>5</w:t>
            </w:r>
            <w:r w:rsidR="009D6169">
              <w:rPr>
                <w:lang w:eastAsia="en-US"/>
              </w:rPr>
              <w:t> </w:t>
            </w:r>
            <w:r w:rsidRPr="00110D17">
              <w:rPr>
                <w:lang w:eastAsia="en-US"/>
              </w:rPr>
              <w:t>%, pokud po zkrácení činí délka lhůty pro podání nabídek méně než nebo je rovna 80</w:t>
            </w:r>
            <w:r w:rsidR="009D6169">
              <w:rPr>
                <w:lang w:eastAsia="en-US"/>
              </w:rPr>
              <w:t> </w:t>
            </w:r>
            <w:r w:rsidRPr="00110D17">
              <w:rPr>
                <w:lang w:eastAsia="en-US"/>
              </w:rPr>
              <w:t>% stanovené lhůty pro podání nabídek.</w:t>
            </w:r>
          </w:p>
        </w:tc>
      </w:tr>
      <w:tr w:rsidR="00F00A6F" w:rsidRPr="003445F5" w14:paraId="5B8CEB0F" w14:textId="77777777" w:rsidTr="007176DE">
        <w:trPr>
          <w:trHeight w:val="252"/>
        </w:trPr>
        <w:tc>
          <w:tcPr>
            <w:tcW w:w="0" w:type="auto"/>
            <w:vMerge/>
            <w:vAlign w:val="top"/>
            <w:hideMark/>
          </w:tcPr>
          <w:p w14:paraId="60B1E139" w14:textId="77777777" w:rsidR="00F00A6F" w:rsidRPr="00110D17" w:rsidRDefault="00F00A6F" w:rsidP="007176DE">
            <w:pPr>
              <w:jc w:val="left"/>
              <w:rPr>
                <w:lang w:eastAsia="en-US"/>
              </w:rPr>
            </w:pPr>
          </w:p>
        </w:tc>
        <w:tc>
          <w:tcPr>
            <w:tcW w:w="0" w:type="auto"/>
            <w:vMerge/>
            <w:vAlign w:val="top"/>
            <w:hideMark/>
          </w:tcPr>
          <w:p w14:paraId="231A3E65" w14:textId="77777777" w:rsidR="00F00A6F" w:rsidRPr="00110D17" w:rsidRDefault="00F00A6F" w:rsidP="007176DE">
            <w:pPr>
              <w:jc w:val="left"/>
              <w:rPr>
                <w:snapToGrid w:val="0"/>
                <w:lang w:eastAsia="en-US"/>
              </w:rPr>
            </w:pPr>
          </w:p>
        </w:tc>
        <w:tc>
          <w:tcPr>
            <w:tcW w:w="0" w:type="auto"/>
            <w:vMerge/>
            <w:vAlign w:val="top"/>
            <w:hideMark/>
          </w:tcPr>
          <w:p w14:paraId="40D877BE" w14:textId="77777777" w:rsidR="00F00A6F" w:rsidRPr="00110D17" w:rsidRDefault="00F00A6F" w:rsidP="007176DE">
            <w:pPr>
              <w:jc w:val="left"/>
              <w:rPr>
                <w:snapToGrid w:val="0"/>
                <w:lang w:eastAsia="en-US"/>
              </w:rPr>
            </w:pPr>
          </w:p>
        </w:tc>
        <w:tc>
          <w:tcPr>
            <w:tcW w:w="1547" w:type="pct"/>
            <w:vAlign w:val="top"/>
            <w:hideMark/>
          </w:tcPr>
          <w:p w14:paraId="4B767FB3" w14:textId="26F073A5" w:rsidR="00F00A6F" w:rsidRPr="00110D17" w:rsidRDefault="00F00A6F" w:rsidP="007176DE">
            <w:pPr>
              <w:jc w:val="left"/>
              <w:rPr>
                <w:lang w:eastAsia="en-US"/>
              </w:rPr>
            </w:pPr>
            <w:r w:rsidRPr="00110D17">
              <w:rPr>
                <w:lang w:eastAsia="en-US"/>
              </w:rPr>
              <w:t>25</w:t>
            </w:r>
            <w:r w:rsidR="009D6169">
              <w:rPr>
                <w:lang w:eastAsia="en-US"/>
              </w:rPr>
              <w:t> </w:t>
            </w:r>
            <w:r w:rsidRPr="00110D17">
              <w:rPr>
                <w:lang w:eastAsia="en-US"/>
              </w:rPr>
              <w:t xml:space="preserve">%, pokud je doba pro získání zadávací dokumentace rovna nebo nižší 5 dnům </w:t>
            </w:r>
          </w:p>
          <w:p w14:paraId="1C0DE167" w14:textId="235786C4" w:rsidR="00F00A6F" w:rsidRPr="00110D17" w:rsidRDefault="00F00A6F" w:rsidP="007176DE">
            <w:pPr>
              <w:jc w:val="left"/>
              <w:rPr>
                <w:lang w:eastAsia="en-US"/>
              </w:rPr>
            </w:pPr>
            <w:r w:rsidRPr="00110D17">
              <w:rPr>
                <w:lang w:eastAsia="en-US"/>
              </w:rPr>
              <w:t>nebo zadavatel vůbec neumožnil bezplatný, neomezený a přímý přístup</w:t>
            </w:r>
            <w:r w:rsidR="00A9639A">
              <w:rPr>
                <w:lang w:eastAsia="en-US"/>
              </w:rPr>
              <w:t xml:space="preserve"> k </w:t>
            </w:r>
            <w:r w:rsidRPr="00110D17">
              <w:rPr>
                <w:lang w:eastAsia="en-US"/>
              </w:rPr>
              <w:t xml:space="preserve">zadávací dokumentaci elektronickým způsobem. </w:t>
            </w:r>
          </w:p>
        </w:tc>
      </w:tr>
      <w:tr w:rsidR="00F00A6F" w:rsidRPr="003445F5" w14:paraId="28822BF0" w14:textId="77777777" w:rsidTr="007176DE">
        <w:trPr>
          <w:trHeight w:val="20"/>
        </w:trPr>
        <w:tc>
          <w:tcPr>
            <w:tcW w:w="357" w:type="pct"/>
            <w:vMerge w:val="restart"/>
            <w:vAlign w:val="top"/>
          </w:tcPr>
          <w:p w14:paraId="48227298" w14:textId="77777777" w:rsidR="00F00A6F" w:rsidRPr="00EE7D23" w:rsidRDefault="00F00A6F" w:rsidP="007176DE">
            <w:pPr>
              <w:jc w:val="left"/>
              <w:rPr>
                <w:lang w:eastAsia="en-US"/>
              </w:rPr>
            </w:pPr>
            <w:r>
              <w:rPr>
                <w:lang w:eastAsia="en-US"/>
              </w:rPr>
              <w:lastRenderedPageBreak/>
              <w:t>6.</w:t>
            </w:r>
          </w:p>
        </w:tc>
        <w:tc>
          <w:tcPr>
            <w:tcW w:w="1548" w:type="pct"/>
            <w:vMerge w:val="restart"/>
            <w:vAlign w:val="top"/>
            <w:hideMark/>
          </w:tcPr>
          <w:p w14:paraId="6C930A62" w14:textId="2C804355" w:rsidR="00F00A6F" w:rsidRPr="00EE7D23" w:rsidRDefault="00F00A6F" w:rsidP="007176DE">
            <w:pPr>
              <w:jc w:val="left"/>
              <w:rPr>
                <w:lang w:eastAsia="en-US"/>
              </w:rPr>
            </w:pPr>
            <w:r w:rsidRPr="00EE7D23">
              <w:rPr>
                <w:lang w:eastAsia="en-US"/>
              </w:rPr>
              <w:t>Neuveřejnění prodloužení lhůty pro podání nabídek, předběžných nabídek nebo žádostí</w:t>
            </w:r>
            <w:r w:rsidR="00A9639A">
              <w:rPr>
                <w:lang w:eastAsia="en-US"/>
              </w:rPr>
              <w:t xml:space="preserve"> o </w:t>
            </w:r>
            <w:r w:rsidRPr="00EE7D23">
              <w:rPr>
                <w:lang w:eastAsia="en-US"/>
              </w:rPr>
              <w:t>účast</w:t>
            </w:r>
          </w:p>
          <w:p w14:paraId="60023149" w14:textId="77777777" w:rsidR="00F00A6F" w:rsidRPr="00EE7D23" w:rsidRDefault="00F00A6F" w:rsidP="007176DE">
            <w:pPr>
              <w:jc w:val="left"/>
              <w:rPr>
                <w:lang w:eastAsia="en-US"/>
              </w:rPr>
            </w:pPr>
            <w:r w:rsidRPr="00EE7D23">
              <w:rPr>
                <w:lang w:eastAsia="en-US"/>
              </w:rPr>
              <w:t>nebo</w:t>
            </w:r>
          </w:p>
          <w:p w14:paraId="4F2995B6" w14:textId="77777777" w:rsidR="00F00A6F" w:rsidRPr="00EE7D23" w:rsidRDefault="00F00A6F" w:rsidP="007176DE">
            <w:pPr>
              <w:jc w:val="left"/>
              <w:rPr>
                <w:lang w:eastAsia="en-US"/>
              </w:rPr>
            </w:pPr>
            <w:r w:rsidRPr="00EE7D23">
              <w:rPr>
                <w:lang w:eastAsia="en-US"/>
              </w:rPr>
              <w:t>neprodloužení této lhůty při nedodržení stanovené lhůty pro poskytnutí vysvětlení.</w:t>
            </w:r>
          </w:p>
        </w:tc>
        <w:tc>
          <w:tcPr>
            <w:tcW w:w="1548" w:type="pct"/>
            <w:vMerge w:val="restart"/>
            <w:vAlign w:val="top"/>
            <w:hideMark/>
          </w:tcPr>
          <w:p w14:paraId="096138F1" w14:textId="719152C3" w:rsidR="00F00A6F" w:rsidRPr="00EE7D23" w:rsidRDefault="00F00A6F" w:rsidP="007176DE">
            <w:pPr>
              <w:jc w:val="left"/>
              <w:rPr>
                <w:lang w:eastAsia="en-US"/>
              </w:rPr>
            </w:pPr>
            <w:r w:rsidRPr="00EE7D23">
              <w:rPr>
                <w:lang w:eastAsia="en-US"/>
              </w:rPr>
              <w:t>Zadavatel</w:t>
            </w:r>
            <w:r w:rsidR="00A9639A">
              <w:rPr>
                <w:lang w:eastAsia="en-US"/>
              </w:rPr>
              <w:t xml:space="preserve"> v </w:t>
            </w:r>
            <w:r w:rsidRPr="00EE7D23">
              <w:rPr>
                <w:lang w:eastAsia="en-US"/>
              </w:rPr>
              <w:t>průběhu výběrového/zadávacího řízení prodloužil lhůtu pro podání nabídek, předběžných nabídek nebo žádostí</w:t>
            </w:r>
            <w:r w:rsidR="00A9639A">
              <w:rPr>
                <w:lang w:eastAsia="en-US"/>
              </w:rPr>
              <w:t xml:space="preserve"> o </w:t>
            </w:r>
            <w:r w:rsidRPr="00EE7D23">
              <w:rPr>
                <w:lang w:eastAsia="en-US"/>
              </w:rPr>
              <w:t>účast, aniž by tuto skutečnost uveřejnil způsobem stanoveným</w:t>
            </w:r>
            <w:r w:rsidR="00A9639A">
              <w:rPr>
                <w:lang w:eastAsia="en-US"/>
              </w:rPr>
              <w:t xml:space="preserve"> v </w:t>
            </w:r>
            <w:r w:rsidRPr="00EE7D23">
              <w:rPr>
                <w:lang w:eastAsia="en-US"/>
              </w:rPr>
              <w:t>ZZVZ nebo Pravidly pro žadatele a příjemce OPD2021</w:t>
            </w:r>
            <w:r>
              <w:rPr>
                <w:lang w:eastAsia="en-US"/>
              </w:rPr>
              <w:t>+</w:t>
            </w:r>
            <w:r w:rsidRPr="00EE7D23">
              <w:rPr>
                <w:lang w:eastAsia="en-US"/>
              </w:rPr>
              <w:t>, resp. způsobem, jakým bylo zahájeno výběrové/zadávací řízení, nebo ačkoliv žádost</w:t>
            </w:r>
            <w:r w:rsidR="00A9639A">
              <w:rPr>
                <w:lang w:eastAsia="en-US"/>
              </w:rPr>
              <w:t xml:space="preserve"> o </w:t>
            </w:r>
            <w:r w:rsidRPr="00EE7D23">
              <w:rPr>
                <w:lang w:eastAsia="en-US"/>
              </w:rPr>
              <w:t>vysvětlení byla doručena včas, zadavatel toto vysvětlení neuveřejnil, neodeslal nebo nepředal ve stanovené lhůtě a</w:t>
            </w:r>
            <w:r w:rsidR="009D6169">
              <w:rPr>
                <w:lang w:eastAsia="en-US"/>
              </w:rPr>
              <w:t> </w:t>
            </w:r>
            <w:r w:rsidRPr="00EE7D23">
              <w:rPr>
                <w:lang w:eastAsia="en-US"/>
              </w:rPr>
              <w:t xml:space="preserve">současně neprodloužil lhůtu pro podání nabídek. </w:t>
            </w:r>
          </w:p>
        </w:tc>
        <w:tc>
          <w:tcPr>
            <w:tcW w:w="1547" w:type="pct"/>
            <w:vAlign w:val="top"/>
            <w:hideMark/>
          </w:tcPr>
          <w:p w14:paraId="71D23683" w14:textId="6F20EA2A" w:rsidR="00F00A6F" w:rsidRPr="00EE7D23" w:rsidRDefault="00F00A6F" w:rsidP="007176DE">
            <w:pPr>
              <w:jc w:val="left"/>
              <w:rPr>
                <w:lang w:eastAsia="en-US"/>
              </w:rPr>
            </w:pPr>
            <w:r w:rsidRPr="00EE7D23">
              <w:rPr>
                <w:lang w:eastAsia="en-US"/>
              </w:rPr>
              <w:t>5 %,</w:t>
            </w:r>
            <w:r w:rsidR="009D6169">
              <w:rPr>
                <w:lang w:eastAsia="en-US"/>
              </w:rPr>
              <w:t> </w:t>
            </w:r>
            <w:r w:rsidRPr="00EE7D23">
              <w:rPr>
                <w:lang w:eastAsia="en-US"/>
              </w:rPr>
              <w:t>pokud došlo</w:t>
            </w:r>
            <w:r w:rsidR="00A9639A">
              <w:rPr>
                <w:lang w:eastAsia="en-US"/>
              </w:rPr>
              <w:t xml:space="preserve"> k </w:t>
            </w:r>
            <w:r w:rsidRPr="00EE7D23">
              <w:rPr>
                <w:lang w:eastAsia="en-US"/>
              </w:rPr>
              <w:t>uveřejnění prodloužených lhůt jiným vhodným způsobem (původní lhůty pro podání nabídek/žádostí</w:t>
            </w:r>
            <w:r w:rsidR="00A9639A">
              <w:rPr>
                <w:lang w:eastAsia="en-US"/>
              </w:rPr>
              <w:t xml:space="preserve"> o </w:t>
            </w:r>
            <w:r w:rsidRPr="00EE7D23">
              <w:rPr>
                <w:lang w:eastAsia="en-US"/>
              </w:rPr>
              <w:t>účast stanoveny</w:t>
            </w:r>
            <w:r w:rsidR="00A9639A">
              <w:rPr>
                <w:lang w:eastAsia="en-US"/>
              </w:rPr>
              <w:t xml:space="preserve"> v </w:t>
            </w:r>
            <w:r w:rsidRPr="00EE7D23">
              <w:rPr>
                <w:lang w:eastAsia="en-US"/>
              </w:rPr>
              <w:t>souladu se ZZVZ/Pravidly pro žadatele a příjemce OPD2021</w:t>
            </w:r>
            <w:r>
              <w:rPr>
                <w:lang w:eastAsia="en-US"/>
              </w:rPr>
              <w:t>+</w:t>
            </w:r>
            <w:r w:rsidRPr="00EE7D23">
              <w:rPr>
                <w:lang w:eastAsia="en-US"/>
              </w:rPr>
              <w:t>.</w:t>
            </w:r>
          </w:p>
        </w:tc>
      </w:tr>
      <w:tr w:rsidR="00F00A6F" w:rsidRPr="003445F5" w14:paraId="0528CFF5" w14:textId="77777777" w:rsidTr="007176DE">
        <w:trPr>
          <w:trHeight w:val="1140"/>
        </w:trPr>
        <w:tc>
          <w:tcPr>
            <w:tcW w:w="0" w:type="auto"/>
            <w:vMerge/>
            <w:vAlign w:val="top"/>
            <w:hideMark/>
          </w:tcPr>
          <w:p w14:paraId="24DC62D7" w14:textId="77777777" w:rsidR="00F00A6F" w:rsidRPr="00110D17" w:rsidRDefault="00F00A6F" w:rsidP="007176DE">
            <w:pPr>
              <w:jc w:val="left"/>
              <w:rPr>
                <w:lang w:eastAsia="en-US"/>
              </w:rPr>
            </w:pPr>
          </w:p>
        </w:tc>
        <w:tc>
          <w:tcPr>
            <w:tcW w:w="0" w:type="auto"/>
            <w:vMerge/>
            <w:vAlign w:val="top"/>
            <w:hideMark/>
          </w:tcPr>
          <w:p w14:paraId="35C8A4FA" w14:textId="77777777" w:rsidR="00F00A6F" w:rsidRPr="00110D17" w:rsidRDefault="00F00A6F" w:rsidP="007176DE">
            <w:pPr>
              <w:jc w:val="left"/>
              <w:rPr>
                <w:lang w:eastAsia="en-US"/>
              </w:rPr>
            </w:pPr>
          </w:p>
        </w:tc>
        <w:tc>
          <w:tcPr>
            <w:tcW w:w="0" w:type="auto"/>
            <w:vMerge/>
            <w:vAlign w:val="top"/>
            <w:hideMark/>
          </w:tcPr>
          <w:p w14:paraId="6D6DE09C" w14:textId="77777777" w:rsidR="00F00A6F" w:rsidRPr="00110D17" w:rsidRDefault="00F00A6F" w:rsidP="007176DE">
            <w:pPr>
              <w:jc w:val="left"/>
              <w:rPr>
                <w:lang w:eastAsia="en-US"/>
              </w:rPr>
            </w:pPr>
          </w:p>
        </w:tc>
        <w:tc>
          <w:tcPr>
            <w:tcW w:w="1547" w:type="pct"/>
            <w:vAlign w:val="top"/>
            <w:hideMark/>
          </w:tcPr>
          <w:p w14:paraId="2B4EC00D" w14:textId="79952941" w:rsidR="00F00A6F" w:rsidRPr="00110D17" w:rsidRDefault="00F00A6F" w:rsidP="007176DE">
            <w:pPr>
              <w:jc w:val="left"/>
              <w:rPr>
                <w:lang w:eastAsia="en-US"/>
              </w:rPr>
            </w:pPr>
            <w:r w:rsidRPr="00110D17">
              <w:rPr>
                <w:lang w:eastAsia="en-US"/>
              </w:rPr>
              <w:t>10</w:t>
            </w:r>
            <w:r w:rsidR="009D6169">
              <w:rPr>
                <w:lang w:eastAsia="en-US"/>
              </w:rPr>
              <w:t> </w:t>
            </w:r>
            <w:r w:rsidRPr="00110D17">
              <w:rPr>
                <w:lang w:eastAsia="en-US"/>
              </w:rPr>
              <w:t>%, pokud nedošlo</w:t>
            </w:r>
            <w:r w:rsidR="00A9639A">
              <w:rPr>
                <w:lang w:eastAsia="en-US"/>
              </w:rPr>
              <w:t xml:space="preserve"> k </w:t>
            </w:r>
            <w:r w:rsidRPr="00110D17">
              <w:rPr>
                <w:lang w:eastAsia="en-US"/>
              </w:rPr>
              <w:t xml:space="preserve">uveřejnění prodloužených lhůt, </w:t>
            </w:r>
          </w:p>
          <w:p w14:paraId="072A8479" w14:textId="24310361" w:rsidR="00F00A6F" w:rsidRPr="00110D17" w:rsidRDefault="00F00A6F" w:rsidP="007176DE">
            <w:pPr>
              <w:jc w:val="left"/>
              <w:rPr>
                <w:lang w:eastAsia="en-US"/>
              </w:rPr>
            </w:pPr>
            <w:r w:rsidRPr="00110D17">
              <w:rPr>
                <w:lang w:eastAsia="en-US"/>
              </w:rPr>
              <w:t>nebo pokud nedošlo</w:t>
            </w:r>
            <w:r w:rsidR="00A9639A">
              <w:rPr>
                <w:lang w:eastAsia="en-US"/>
              </w:rPr>
              <w:t xml:space="preserve"> k </w:t>
            </w:r>
            <w:r w:rsidRPr="00110D17">
              <w:rPr>
                <w:lang w:eastAsia="en-US"/>
              </w:rPr>
              <w:t>prodloužení lhůty pro podání nabídek</w:t>
            </w:r>
            <w:r w:rsidR="00A9639A">
              <w:rPr>
                <w:lang w:eastAsia="en-US"/>
              </w:rPr>
              <w:t xml:space="preserve"> v </w:t>
            </w:r>
            <w:r w:rsidRPr="00110D17">
              <w:rPr>
                <w:lang w:eastAsia="en-US"/>
              </w:rPr>
              <w:t>důsledku nedodržení lhůty pro poskytnutí vysvětlení zadávací dokumentace.</w:t>
            </w:r>
          </w:p>
        </w:tc>
      </w:tr>
      <w:tr w:rsidR="00F00A6F" w:rsidRPr="003445F5" w14:paraId="4B41917F" w14:textId="77777777" w:rsidTr="007176DE">
        <w:trPr>
          <w:trHeight w:val="1140"/>
        </w:trPr>
        <w:tc>
          <w:tcPr>
            <w:tcW w:w="357" w:type="pct"/>
            <w:vMerge w:val="restart"/>
            <w:vAlign w:val="top"/>
          </w:tcPr>
          <w:p w14:paraId="09BE8DC0" w14:textId="77777777" w:rsidR="00F00A6F" w:rsidRPr="00EE7D23" w:rsidRDefault="00F00A6F" w:rsidP="007176DE">
            <w:pPr>
              <w:jc w:val="left"/>
              <w:rPr>
                <w:lang w:eastAsia="en-US"/>
              </w:rPr>
            </w:pPr>
            <w:r>
              <w:rPr>
                <w:lang w:eastAsia="en-US"/>
              </w:rPr>
              <w:t>7.</w:t>
            </w:r>
          </w:p>
        </w:tc>
        <w:tc>
          <w:tcPr>
            <w:tcW w:w="1548" w:type="pct"/>
            <w:vMerge w:val="restart"/>
            <w:vAlign w:val="top"/>
            <w:hideMark/>
          </w:tcPr>
          <w:p w14:paraId="6E50A483" w14:textId="4A186C16" w:rsidR="00F00A6F" w:rsidRPr="00EE7D23" w:rsidRDefault="00F00A6F" w:rsidP="007176DE">
            <w:pPr>
              <w:jc w:val="left"/>
              <w:rPr>
                <w:lang w:eastAsia="en-US"/>
              </w:rPr>
            </w:pPr>
            <w:r w:rsidRPr="00EE7D23">
              <w:rPr>
                <w:lang w:eastAsia="en-US"/>
              </w:rPr>
              <w:t>Použití jednacího řízení</w:t>
            </w:r>
            <w:r w:rsidR="00A9639A">
              <w:rPr>
                <w:lang w:eastAsia="en-US"/>
              </w:rPr>
              <w:t xml:space="preserve"> s </w:t>
            </w:r>
            <w:r w:rsidRPr="00EE7D23">
              <w:rPr>
                <w:lang w:eastAsia="en-US"/>
              </w:rPr>
              <w:t>uveřejněním nebo soutěžního dialogu</w:t>
            </w:r>
            <w:r w:rsidR="00A9639A">
              <w:rPr>
                <w:lang w:eastAsia="en-US"/>
              </w:rPr>
              <w:t xml:space="preserve"> v </w:t>
            </w:r>
            <w:r w:rsidRPr="00EE7D23">
              <w:rPr>
                <w:lang w:eastAsia="en-US"/>
              </w:rPr>
              <w:t>rozporu se ZZVZ.</w:t>
            </w:r>
          </w:p>
        </w:tc>
        <w:tc>
          <w:tcPr>
            <w:tcW w:w="1548" w:type="pct"/>
            <w:vMerge w:val="restart"/>
            <w:vAlign w:val="top"/>
            <w:hideMark/>
          </w:tcPr>
          <w:p w14:paraId="26C42469" w14:textId="62A7B07D" w:rsidR="00F00A6F" w:rsidRPr="00EE7D23" w:rsidRDefault="00F00A6F" w:rsidP="007176DE">
            <w:pPr>
              <w:jc w:val="left"/>
              <w:rPr>
                <w:lang w:eastAsia="en-US"/>
              </w:rPr>
            </w:pPr>
            <w:r w:rsidRPr="00EE7D23">
              <w:rPr>
                <w:lang w:eastAsia="en-US"/>
              </w:rPr>
              <w:t>Zadavatel zadal zakázku</w:t>
            </w:r>
            <w:r w:rsidR="00A9639A">
              <w:rPr>
                <w:lang w:eastAsia="en-US"/>
              </w:rPr>
              <w:t xml:space="preserve"> v </w:t>
            </w:r>
            <w:r w:rsidRPr="00EE7D23">
              <w:rPr>
                <w:lang w:eastAsia="en-US"/>
              </w:rPr>
              <w:t>jednacím řízení</w:t>
            </w:r>
            <w:r w:rsidR="00A9639A">
              <w:rPr>
                <w:lang w:eastAsia="en-US"/>
              </w:rPr>
              <w:t xml:space="preserve"> s </w:t>
            </w:r>
            <w:r w:rsidRPr="00EE7D23">
              <w:rPr>
                <w:lang w:eastAsia="en-US"/>
              </w:rPr>
              <w:t>uveřejněním nebo</w:t>
            </w:r>
            <w:r w:rsidR="00A9639A">
              <w:rPr>
                <w:lang w:eastAsia="en-US"/>
              </w:rPr>
              <w:t xml:space="preserve"> v </w:t>
            </w:r>
            <w:r w:rsidRPr="00EE7D23">
              <w:rPr>
                <w:lang w:eastAsia="en-US"/>
              </w:rPr>
              <w:t>soutěžním dialogu, aniž by byly splněny zákonné podmínky pro takový postup, nebo</w:t>
            </w:r>
            <w:r w:rsidR="00A9639A">
              <w:rPr>
                <w:lang w:eastAsia="en-US"/>
              </w:rPr>
              <w:t xml:space="preserve"> v </w:t>
            </w:r>
            <w:r w:rsidRPr="00EE7D23">
              <w:rPr>
                <w:lang w:eastAsia="en-US"/>
              </w:rPr>
              <w:t>průběhu jednacího řízení</w:t>
            </w:r>
            <w:r w:rsidR="00A9639A">
              <w:rPr>
                <w:lang w:eastAsia="en-US"/>
              </w:rPr>
              <w:t xml:space="preserve"> s </w:t>
            </w:r>
            <w:r w:rsidRPr="00EE7D23">
              <w:rPr>
                <w:lang w:eastAsia="en-US"/>
              </w:rPr>
              <w:t>uveřejněním nebo</w:t>
            </w:r>
            <w:r w:rsidR="00A9639A">
              <w:rPr>
                <w:lang w:eastAsia="en-US"/>
              </w:rPr>
              <w:t xml:space="preserve"> v </w:t>
            </w:r>
            <w:r w:rsidRPr="00EE7D23">
              <w:rPr>
                <w:lang w:eastAsia="en-US"/>
              </w:rPr>
              <w:t>soutěžním dialogu podstatně změnil zadávací podmínky.</w:t>
            </w:r>
          </w:p>
        </w:tc>
        <w:tc>
          <w:tcPr>
            <w:tcW w:w="1547" w:type="pct"/>
            <w:vAlign w:val="top"/>
            <w:hideMark/>
          </w:tcPr>
          <w:p w14:paraId="4DB59C7F" w14:textId="3DE9DEF8" w:rsidR="00F00A6F" w:rsidRPr="00EE7D23" w:rsidRDefault="00F00A6F" w:rsidP="007176DE">
            <w:pPr>
              <w:jc w:val="left"/>
              <w:rPr>
                <w:lang w:eastAsia="en-US"/>
              </w:rPr>
            </w:pPr>
            <w:r w:rsidRPr="00EE7D23">
              <w:rPr>
                <w:lang w:eastAsia="en-US"/>
              </w:rPr>
              <w:t>25</w:t>
            </w:r>
            <w:r w:rsidR="009D6169">
              <w:rPr>
                <w:lang w:eastAsia="en-US"/>
              </w:rPr>
              <w:t> </w:t>
            </w:r>
            <w:r w:rsidRPr="00EE7D23">
              <w:rPr>
                <w:lang w:eastAsia="en-US"/>
              </w:rPr>
              <w:t>%</w:t>
            </w:r>
          </w:p>
        </w:tc>
      </w:tr>
      <w:tr w:rsidR="00F00A6F" w:rsidRPr="003445F5" w14:paraId="7202460D" w14:textId="77777777" w:rsidTr="007176DE">
        <w:trPr>
          <w:trHeight w:val="1140"/>
        </w:trPr>
        <w:tc>
          <w:tcPr>
            <w:tcW w:w="0" w:type="auto"/>
            <w:vMerge/>
            <w:vAlign w:val="top"/>
            <w:hideMark/>
          </w:tcPr>
          <w:p w14:paraId="2D779B6A" w14:textId="77777777" w:rsidR="00F00A6F" w:rsidRPr="00110D17" w:rsidRDefault="00F00A6F" w:rsidP="007176DE">
            <w:pPr>
              <w:jc w:val="left"/>
              <w:rPr>
                <w:lang w:eastAsia="en-US"/>
              </w:rPr>
            </w:pPr>
          </w:p>
        </w:tc>
        <w:tc>
          <w:tcPr>
            <w:tcW w:w="0" w:type="auto"/>
            <w:vMerge/>
            <w:vAlign w:val="top"/>
            <w:hideMark/>
          </w:tcPr>
          <w:p w14:paraId="60920906" w14:textId="77777777" w:rsidR="00F00A6F" w:rsidRPr="00110D17" w:rsidRDefault="00F00A6F" w:rsidP="007176DE">
            <w:pPr>
              <w:jc w:val="left"/>
              <w:rPr>
                <w:lang w:eastAsia="en-US"/>
              </w:rPr>
            </w:pPr>
          </w:p>
        </w:tc>
        <w:tc>
          <w:tcPr>
            <w:tcW w:w="0" w:type="auto"/>
            <w:vMerge/>
            <w:vAlign w:val="top"/>
            <w:hideMark/>
          </w:tcPr>
          <w:p w14:paraId="5D710B03" w14:textId="77777777" w:rsidR="00F00A6F" w:rsidRPr="00110D17" w:rsidRDefault="00F00A6F" w:rsidP="007176DE">
            <w:pPr>
              <w:jc w:val="left"/>
              <w:rPr>
                <w:lang w:eastAsia="en-US"/>
              </w:rPr>
            </w:pPr>
          </w:p>
        </w:tc>
        <w:tc>
          <w:tcPr>
            <w:tcW w:w="1547" w:type="pct"/>
            <w:vAlign w:val="top"/>
          </w:tcPr>
          <w:p w14:paraId="54C05824" w14:textId="4E701D39" w:rsidR="00F00A6F" w:rsidRPr="00110D17" w:rsidRDefault="00F00A6F" w:rsidP="007176DE">
            <w:pPr>
              <w:jc w:val="left"/>
              <w:rPr>
                <w:lang w:eastAsia="en-US"/>
              </w:rPr>
            </w:pPr>
            <w:r w:rsidRPr="00110D17">
              <w:rPr>
                <w:lang w:eastAsia="en-US"/>
              </w:rPr>
              <w:t>10</w:t>
            </w:r>
            <w:r w:rsidR="009D6169">
              <w:rPr>
                <w:lang w:eastAsia="en-US"/>
              </w:rPr>
              <w:t> </w:t>
            </w:r>
            <w:r w:rsidRPr="00110D17">
              <w:rPr>
                <w:lang w:eastAsia="en-US"/>
              </w:rPr>
              <w:t>%, pokud byla zajištěna transparentnost zadávacího řízení vč. zdůvodnění užití tohoto druhu řízení</w:t>
            </w:r>
            <w:r w:rsidR="00A9639A">
              <w:rPr>
                <w:lang w:eastAsia="en-US"/>
              </w:rPr>
              <w:t xml:space="preserve"> v </w:t>
            </w:r>
            <w:r w:rsidRPr="00110D17">
              <w:rPr>
                <w:lang w:eastAsia="en-US"/>
              </w:rPr>
              <w:t>zadávací dokumentaci</w:t>
            </w:r>
            <w:r w:rsidRPr="00110D17">
              <w:rPr>
                <w:rStyle w:val="Odkaznakoment"/>
                <w:rFonts w:eastAsiaTheme="majorEastAsia" w:cstheme="minorHAnsi"/>
                <w:lang w:eastAsia="en-US"/>
              </w:rPr>
              <w:t xml:space="preserve">, </w:t>
            </w:r>
            <w:r w:rsidRPr="00110D17">
              <w:rPr>
                <w:lang w:eastAsia="en-US"/>
              </w:rPr>
              <w:t>nebyl omezen počet potenciálních dodavatelů, kteří mohli podat nabídku nebo žádost</w:t>
            </w:r>
            <w:r w:rsidR="00A9639A">
              <w:rPr>
                <w:lang w:eastAsia="en-US"/>
              </w:rPr>
              <w:t xml:space="preserve"> o </w:t>
            </w:r>
            <w:r w:rsidRPr="00110D17">
              <w:rPr>
                <w:lang w:eastAsia="en-US"/>
              </w:rPr>
              <w:t>účast, a</w:t>
            </w:r>
            <w:r w:rsidR="00662F5D">
              <w:rPr>
                <w:lang w:eastAsia="en-US"/>
              </w:rPr>
              <w:t> </w:t>
            </w:r>
            <w:r w:rsidRPr="00110D17">
              <w:rPr>
                <w:lang w:eastAsia="en-US"/>
              </w:rPr>
              <w:t>současně byl zajištěn rovný přístup ke všem účastníkům, kteří podali nabídku či žádost</w:t>
            </w:r>
            <w:r w:rsidR="00A9639A">
              <w:rPr>
                <w:lang w:eastAsia="en-US"/>
              </w:rPr>
              <w:t xml:space="preserve"> o </w:t>
            </w:r>
            <w:r w:rsidRPr="00110D17">
              <w:rPr>
                <w:lang w:eastAsia="en-US"/>
              </w:rPr>
              <w:t>účast.</w:t>
            </w:r>
          </w:p>
        </w:tc>
      </w:tr>
      <w:tr w:rsidR="00F00A6F" w:rsidRPr="003445F5" w14:paraId="29282BAA" w14:textId="77777777" w:rsidTr="007176DE">
        <w:trPr>
          <w:trHeight w:val="20"/>
        </w:trPr>
        <w:tc>
          <w:tcPr>
            <w:tcW w:w="357" w:type="pct"/>
            <w:vMerge w:val="restart"/>
            <w:vAlign w:val="top"/>
          </w:tcPr>
          <w:p w14:paraId="5C464CEB" w14:textId="77777777" w:rsidR="00F00A6F" w:rsidRPr="00EE7D23" w:rsidRDefault="00F00A6F" w:rsidP="007176DE">
            <w:pPr>
              <w:jc w:val="left"/>
              <w:rPr>
                <w:lang w:eastAsia="en-US"/>
              </w:rPr>
            </w:pPr>
            <w:r>
              <w:rPr>
                <w:lang w:eastAsia="en-US"/>
              </w:rPr>
              <w:t>8.</w:t>
            </w:r>
          </w:p>
        </w:tc>
        <w:tc>
          <w:tcPr>
            <w:tcW w:w="1548" w:type="pct"/>
            <w:vMerge w:val="restart"/>
            <w:vAlign w:val="top"/>
            <w:hideMark/>
          </w:tcPr>
          <w:p w14:paraId="1001B84E" w14:textId="77777777" w:rsidR="00F00A6F" w:rsidRPr="00EE7D23" w:rsidRDefault="00F00A6F" w:rsidP="007176DE">
            <w:pPr>
              <w:jc w:val="left"/>
              <w:rPr>
                <w:lang w:eastAsia="en-US"/>
              </w:rPr>
            </w:pPr>
            <w:r w:rsidRPr="00EE7D23">
              <w:rPr>
                <w:lang w:eastAsia="en-US"/>
              </w:rPr>
              <w:t>Nesoulad se stanovenými postupy pro elektronické nebo souhrnné zadávání zakázek</w:t>
            </w:r>
            <w:r w:rsidRPr="00EE7D23">
              <w:rPr>
                <w:rStyle w:val="Znakapoznpodarou"/>
                <w:rFonts w:eastAsiaTheme="majorEastAsia" w:cstheme="minorHAnsi"/>
                <w:szCs w:val="20"/>
                <w:lang w:eastAsia="en-US"/>
              </w:rPr>
              <w:footnoteReference w:id="13"/>
            </w:r>
            <w:r w:rsidRPr="00EE7D23">
              <w:rPr>
                <w:lang w:eastAsia="en-US"/>
              </w:rPr>
              <w:t>.</w:t>
            </w:r>
          </w:p>
        </w:tc>
        <w:tc>
          <w:tcPr>
            <w:tcW w:w="1548" w:type="pct"/>
            <w:vMerge w:val="restart"/>
            <w:vAlign w:val="top"/>
          </w:tcPr>
          <w:p w14:paraId="2D082F26" w14:textId="77777777" w:rsidR="00F00A6F" w:rsidRPr="00EE7D23" w:rsidRDefault="00F00A6F" w:rsidP="007176DE">
            <w:pPr>
              <w:jc w:val="left"/>
              <w:rPr>
                <w:lang w:eastAsia="en-US"/>
              </w:rPr>
            </w:pPr>
            <w:r w:rsidRPr="00EE7D23">
              <w:rPr>
                <w:lang w:eastAsia="en-US"/>
              </w:rPr>
              <w:t xml:space="preserve">Nedodržení stanovených postupů pro elektronické nebo souhrnné zadávání veřejných zakázek (tj. rámcové dohody, dynamické nákupní </w:t>
            </w:r>
            <w:r w:rsidRPr="00EE7D23">
              <w:rPr>
                <w:lang w:eastAsia="en-US"/>
              </w:rPr>
              <w:lastRenderedPageBreak/>
              <w:t>systémy, elektronické aukce, elektronické katalogy, centralizované zadávání, společné zadávání a postupy centrálních zadavatelů).</w:t>
            </w:r>
          </w:p>
        </w:tc>
        <w:tc>
          <w:tcPr>
            <w:tcW w:w="1547" w:type="pct"/>
            <w:vAlign w:val="top"/>
            <w:hideMark/>
          </w:tcPr>
          <w:p w14:paraId="2E05A218" w14:textId="3E1DEEE5" w:rsidR="00F00A6F" w:rsidRPr="00EE7D23" w:rsidRDefault="00F00A6F" w:rsidP="007176DE">
            <w:pPr>
              <w:jc w:val="left"/>
              <w:rPr>
                <w:lang w:eastAsia="en-US"/>
              </w:rPr>
            </w:pPr>
            <w:r w:rsidRPr="00EE7D23">
              <w:rPr>
                <w:lang w:eastAsia="en-US"/>
              </w:rPr>
              <w:lastRenderedPageBreak/>
              <w:t>10</w:t>
            </w:r>
            <w:r w:rsidR="009D6169">
              <w:rPr>
                <w:lang w:eastAsia="en-US"/>
              </w:rPr>
              <w:t> </w:t>
            </w:r>
            <w:r w:rsidRPr="00EE7D23">
              <w:rPr>
                <w:lang w:eastAsia="en-US"/>
              </w:rPr>
              <w:t>%, pokud nedodržení mohlo mít za následek odrazení potenciálních dodavatelů od účasti ve výběrovém/zadávacím řízení.</w:t>
            </w:r>
          </w:p>
        </w:tc>
      </w:tr>
      <w:tr w:rsidR="00F00A6F" w:rsidRPr="003445F5" w14:paraId="40B91D77" w14:textId="77777777" w:rsidTr="007176DE">
        <w:trPr>
          <w:trHeight w:val="20"/>
        </w:trPr>
        <w:tc>
          <w:tcPr>
            <w:tcW w:w="0" w:type="auto"/>
            <w:vMerge/>
            <w:vAlign w:val="top"/>
            <w:hideMark/>
          </w:tcPr>
          <w:p w14:paraId="051FF466" w14:textId="77777777" w:rsidR="00F00A6F" w:rsidRPr="00110D17" w:rsidRDefault="00F00A6F" w:rsidP="007176DE">
            <w:pPr>
              <w:jc w:val="left"/>
              <w:rPr>
                <w:lang w:eastAsia="en-US"/>
              </w:rPr>
            </w:pPr>
          </w:p>
        </w:tc>
        <w:tc>
          <w:tcPr>
            <w:tcW w:w="0" w:type="auto"/>
            <w:vMerge/>
            <w:vAlign w:val="top"/>
            <w:hideMark/>
          </w:tcPr>
          <w:p w14:paraId="35EFA627" w14:textId="77777777" w:rsidR="00F00A6F" w:rsidRPr="00110D17" w:rsidRDefault="00F00A6F" w:rsidP="007176DE">
            <w:pPr>
              <w:jc w:val="left"/>
              <w:rPr>
                <w:lang w:eastAsia="en-US"/>
              </w:rPr>
            </w:pPr>
          </w:p>
        </w:tc>
        <w:tc>
          <w:tcPr>
            <w:tcW w:w="0" w:type="auto"/>
            <w:vMerge/>
            <w:vAlign w:val="top"/>
            <w:hideMark/>
          </w:tcPr>
          <w:p w14:paraId="45C5E961" w14:textId="77777777" w:rsidR="00F00A6F" w:rsidRPr="00110D17" w:rsidRDefault="00F00A6F" w:rsidP="007176DE">
            <w:pPr>
              <w:jc w:val="left"/>
              <w:rPr>
                <w:lang w:eastAsia="en-US"/>
              </w:rPr>
            </w:pPr>
          </w:p>
        </w:tc>
        <w:tc>
          <w:tcPr>
            <w:tcW w:w="1547" w:type="pct"/>
            <w:vAlign w:val="top"/>
            <w:hideMark/>
          </w:tcPr>
          <w:p w14:paraId="54970574" w14:textId="0419E2FD" w:rsidR="00F00A6F" w:rsidRPr="00110D17" w:rsidRDefault="00F00A6F" w:rsidP="007176DE">
            <w:pPr>
              <w:jc w:val="left"/>
              <w:rPr>
                <w:lang w:eastAsia="en-US"/>
              </w:rPr>
            </w:pPr>
            <w:r w:rsidRPr="00110D17">
              <w:rPr>
                <w:lang w:eastAsia="en-US"/>
              </w:rPr>
              <w:t>25</w:t>
            </w:r>
            <w:r w:rsidR="00662F5D">
              <w:rPr>
                <w:lang w:eastAsia="en-US"/>
              </w:rPr>
              <w:t> </w:t>
            </w:r>
            <w:r w:rsidRPr="00110D17">
              <w:rPr>
                <w:lang w:eastAsia="en-US"/>
              </w:rPr>
              <w:t>%, pokud následkem tohoto porušení bylo přidělení zakázky jinému účastníkovi, než který by zvítězil, pokud by se zadavatel pochybení nedopustil.</w:t>
            </w:r>
          </w:p>
        </w:tc>
      </w:tr>
      <w:tr w:rsidR="00F00A6F" w:rsidRPr="003445F5" w14:paraId="20CA41C0" w14:textId="77777777" w:rsidTr="007176DE">
        <w:trPr>
          <w:trHeight w:val="20"/>
        </w:trPr>
        <w:tc>
          <w:tcPr>
            <w:tcW w:w="357" w:type="pct"/>
            <w:vMerge w:val="restart"/>
            <w:vAlign w:val="top"/>
          </w:tcPr>
          <w:p w14:paraId="18AC2E68" w14:textId="77777777" w:rsidR="00F00A6F" w:rsidRPr="00EE7D23" w:rsidRDefault="00F00A6F" w:rsidP="007176DE">
            <w:pPr>
              <w:jc w:val="left"/>
              <w:rPr>
                <w:lang w:eastAsia="en-US"/>
              </w:rPr>
            </w:pPr>
            <w:r>
              <w:rPr>
                <w:lang w:eastAsia="en-US"/>
              </w:rPr>
              <w:t>9.</w:t>
            </w:r>
          </w:p>
        </w:tc>
        <w:tc>
          <w:tcPr>
            <w:tcW w:w="1548" w:type="pct"/>
            <w:vMerge w:val="restart"/>
            <w:vAlign w:val="top"/>
            <w:hideMark/>
          </w:tcPr>
          <w:p w14:paraId="207D0CE5" w14:textId="77777777" w:rsidR="00F00A6F" w:rsidRPr="00EE7D23" w:rsidRDefault="00F00A6F" w:rsidP="007176DE">
            <w:pPr>
              <w:jc w:val="left"/>
              <w:rPr>
                <w:lang w:eastAsia="en-US"/>
              </w:rPr>
            </w:pPr>
            <w:r w:rsidRPr="00EE7D23">
              <w:rPr>
                <w:lang w:eastAsia="en-US"/>
              </w:rPr>
              <w:t>Neuvedení nebo nedostatečné vymezení požadavků na kvalifikaci nebo hodnotících kritérií a jejich vah, podmínek plnění zakázky nebo technické specifikace</w:t>
            </w:r>
          </w:p>
          <w:p w14:paraId="7864811C" w14:textId="77777777" w:rsidR="00F00A6F" w:rsidRPr="00EE7D23" w:rsidRDefault="00F00A6F" w:rsidP="007176DE">
            <w:pPr>
              <w:jc w:val="left"/>
              <w:rPr>
                <w:lang w:eastAsia="en-US"/>
              </w:rPr>
            </w:pPr>
            <w:r w:rsidRPr="00EE7D23">
              <w:rPr>
                <w:lang w:eastAsia="en-US"/>
              </w:rPr>
              <w:t xml:space="preserve">nebo </w:t>
            </w:r>
          </w:p>
          <w:p w14:paraId="42B9F9CC" w14:textId="77777777" w:rsidR="00F00A6F" w:rsidRPr="00EE7D23" w:rsidRDefault="00F00A6F" w:rsidP="007176DE">
            <w:pPr>
              <w:jc w:val="left"/>
              <w:rPr>
                <w:lang w:eastAsia="en-US"/>
              </w:rPr>
            </w:pPr>
            <w:r w:rsidRPr="00EE7D23">
              <w:rPr>
                <w:lang w:eastAsia="en-US"/>
              </w:rPr>
              <w:t>neuveřejnění či neposkytnutí vysvětlení objasňující či doplňující kvalifikační nebo hodnotící kritéria.</w:t>
            </w:r>
          </w:p>
        </w:tc>
        <w:tc>
          <w:tcPr>
            <w:tcW w:w="1548" w:type="pct"/>
            <w:vMerge w:val="restart"/>
            <w:vAlign w:val="top"/>
            <w:hideMark/>
          </w:tcPr>
          <w:p w14:paraId="73B0CCDD" w14:textId="0B7F51A2" w:rsidR="00F00A6F" w:rsidRPr="00EE7D23" w:rsidRDefault="00F00A6F" w:rsidP="007176DE">
            <w:pPr>
              <w:jc w:val="left"/>
              <w:rPr>
                <w:lang w:eastAsia="en-US"/>
              </w:rPr>
            </w:pPr>
            <w:r w:rsidRPr="00EE7D23">
              <w:rPr>
                <w:lang w:eastAsia="en-US"/>
              </w:rPr>
              <w:t>Zadavatel neuvedl</w:t>
            </w:r>
            <w:r w:rsidR="00A9639A">
              <w:rPr>
                <w:lang w:eastAsia="en-US"/>
              </w:rPr>
              <w:t xml:space="preserve"> v </w:t>
            </w:r>
            <w:r w:rsidRPr="00EE7D23">
              <w:rPr>
                <w:lang w:eastAsia="en-US"/>
              </w:rPr>
              <w:t>oznámení</w:t>
            </w:r>
            <w:r w:rsidR="00A9639A">
              <w:rPr>
                <w:lang w:eastAsia="en-US"/>
              </w:rPr>
              <w:t xml:space="preserve"> o </w:t>
            </w:r>
            <w:r w:rsidRPr="00EE7D23">
              <w:rPr>
                <w:lang w:eastAsia="en-US"/>
              </w:rPr>
              <w:t>zahájení výběrového/zadávacího řízení/ve výzvě</w:t>
            </w:r>
            <w:r w:rsidR="00A9639A">
              <w:rPr>
                <w:lang w:eastAsia="en-US"/>
              </w:rPr>
              <w:t xml:space="preserve"> k </w:t>
            </w:r>
            <w:r w:rsidRPr="00EE7D23">
              <w:rPr>
                <w:lang w:eastAsia="en-US"/>
              </w:rPr>
              <w:t>podání nabídek a/nebo</w:t>
            </w:r>
            <w:r w:rsidR="00A9639A">
              <w:rPr>
                <w:lang w:eastAsia="en-US"/>
              </w:rPr>
              <w:t xml:space="preserve"> v </w:t>
            </w:r>
            <w:r w:rsidRPr="00EE7D23">
              <w:rPr>
                <w:lang w:eastAsia="en-US"/>
              </w:rPr>
              <w:t>zadávací dokumentaci, pokud je uveřejněna spolu</w:t>
            </w:r>
            <w:r w:rsidR="00A9639A">
              <w:rPr>
                <w:lang w:eastAsia="en-US"/>
              </w:rPr>
              <w:t xml:space="preserve"> s </w:t>
            </w:r>
            <w:r w:rsidRPr="00EE7D23">
              <w:rPr>
                <w:lang w:eastAsia="en-US"/>
              </w:rPr>
              <w:t>oznámením</w:t>
            </w:r>
            <w:r w:rsidR="00A9639A">
              <w:rPr>
                <w:lang w:eastAsia="en-US"/>
              </w:rPr>
              <w:t xml:space="preserve"> o </w:t>
            </w:r>
            <w:r w:rsidRPr="00EE7D23">
              <w:rPr>
                <w:lang w:eastAsia="en-US"/>
              </w:rPr>
              <w:t>zahájení výběrového/zadávacího řízení/výzvou</w:t>
            </w:r>
            <w:r w:rsidR="00A9639A">
              <w:rPr>
                <w:lang w:eastAsia="en-US"/>
              </w:rPr>
              <w:t xml:space="preserve"> k </w:t>
            </w:r>
            <w:r w:rsidRPr="00EE7D23">
              <w:rPr>
                <w:lang w:eastAsia="en-US"/>
              </w:rPr>
              <w:t>podání nabídek, požadavky na kvalifikaci, hodnotící kritéria (vč. jejich vah a</w:t>
            </w:r>
            <w:r w:rsidR="00662F5D">
              <w:rPr>
                <w:lang w:eastAsia="en-US"/>
              </w:rPr>
              <w:t> </w:t>
            </w:r>
            <w:r w:rsidRPr="00EE7D23">
              <w:rPr>
                <w:lang w:eastAsia="en-US"/>
              </w:rPr>
              <w:t>jasného způsobu hodnocení nabídek), podmínky plnění zakázky nebo technické specifikace předmětu plnění, případně tyto požadavky nevymezil dostatečně určitě</w:t>
            </w:r>
          </w:p>
          <w:p w14:paraId="60B03E9B" w14:textId="77777777" w:rsidR="00F00A6F" w:rsidRPr="00EE7D23" w:rsidRDefault="00F00A6F" w:rsidP="007176DE">
            <w:pPr>
              <w:jc w:val="left"/>
              <w:rPr>
                <w:lang w:eastAsia="en-US"/>
              </w:rPr>
            </w:pPr>
            <w:r w:rsidRPr="00EE7D23">
              <w:rPr>
                <w:lang w:eastAsia="en-US"/>
              </w:rPr>
              <w:t>nebo objasnění či doplnění kvalifikačních či hodnotících kritérií nebylo sděleno všem účastníkům, popř. tyto informace nebyly uveřejněny.</w:t>
            </w:r>
          </w:p>
        </w:tc>
        <w:tc>
          <w:tcPr>
            <w:tcW w:w="1547" w:type="pct"/>
            <w:vAlign w:val="top"/>
            <w:hideMark/>
          </w:tcPr>
          <w:p w14:paraId="645EB81E" w14:textId="2E6B66BB" w:rsidR="00F00A6F" w:rsidRPr="00EE7D23" w:rsidRDefault="00F00A6F" w:rsidP="007176DE">
            <w:pPr>
              <w:jc w:val="left"/>
              <w:rPr>
                <w:lang w:eastAsia="en-US"/>
              </w:rPr>
            </w:pPr>
            <w:r w:rsidRPr="00EE7D23">
              <w:rPr>
                <w:lang w:eastAsia="en-US"/>
              </w:rPr>
              <w:t>25</w:t>
            </w:r>
            <w:r w:rsidR="00662F5D">
              <w:rPr>
                <w:lang w:eastAsia="en-US"/>
              </w:rPr>
              <w:t> </w:t>
            </w:r>
            <w:r w:rsidRPr="00EE7D23">
              <w:rPr>
                <w:lang w:eastAsia="en-US"/>
              </w:rPr>
              <w:t>%, pokud nedošlo</w:t>
            </w:r>
            <w:r w:rsidR="00A9639A">
              <w:rPr>
                <w:lang w:eastAsia="en-US"/>
              </w:rPr>
              <w:t xml:space="preserve"> k </w:t>
            </w:r>
            <w:r w:rsidRPr="00EE7D23">
              <w:rPr>
                <w:lang w:eastAsia="en-US"/>
              </w:rPr>
              <w:t>uveřejnění požadavků na kvalifikaci nebo hodnotících kritérií a jejich vah</w:t>
            </w:r>
            <w:r w:rsidR="00A9639A">
              <w:rPr>
                <w:lang w:eastAsia="en-US"/>
              </w:rPr>
              <w:t xml:space="preserve"> v </w:t>
            </w:r>
            <w:r w:rsidRPr="00EE7D23">
              <w:rPr>
                <w:lang w:eastAsia="en-US"/>
              </w:rPr>
              <w:t>oznámení</w:t>
            </w:r>
            <w:r w:rsidR="00A9639A">
              <w:rPr>
                <w:lang w:eastAsia="en-US"/>
              </w:rPr>
              <w:t xml:space="preserve"> o </w:t>
            </w:r>
            <w:r w:rsidRPr="00EE7D23">
              <w:rPr>
                <w:lang w:eastAsia="en-US"/>
              </w:rPr>
              <w:t>zahájení výběrového/zadávacího řízení/výzvě</w:t>
            </w:r>
            <w:r w:rsidR="00A9639A">
              <w:rPr>
                <w:lang w:eastAsia="en-US"/>
              </w:rPr>
              <w:t xml:space="preserve"> k </w:t>
            </w:r>
            <w:r w:rsidRPr="00EE7D23">
              <w:rPr>
                <w:lang w:eastAsia="en-US"/>
              </w:rPr>
              <w:t>podání nabídek/v zadávací dokumentaci, pokud je uveřejněna spolu</w:t>
            </w:r>
            <w:r w:rsidR="00A9639A">
              <w:rPr>
                <w:lang w:eastAsia="en-US"/>
              </w:rPr>
              <w:t xml:space="preserve"> s </w:t>
            </w:r>
            <w:r w:rsidRPr="00EE7D23">
              <w:rPr>
                <w:lang w:eastAsia="en-US"/>
              </w:rPr>
              <w:t>oznámením</w:t>
            </w:r>
            <w:r w:rsidR="00A9639A">
              <w:rPr>
                <w:lang w:eastAsia="en-US"/>
              </w:rPr>
              <w:t xml:space="preserve"> o </w:t>
            </w:r>
            <w:r w:rsidRPr="00EE7D23">
              <w:rPr>
                <w:lang w:eastAsia="en-US"/>
              </w:rPr>
              <w:t>zahájení výběrového/zadávacího řízení/výzvou</w:t>
            </w:r>
            <w:r w:rsidR="00A9639A">
              <w:rPr>
                <w:lang w:eastAsia="en-US"/>
              </w:rPr>
              <w:t xml:space="preserve"> k </w:t>
            </w:r>
            <w:r w:rsidRPr="00EE7D23">
              <w:rPr>
                <w:lang w:eastAsia="en-US"/>
              </w:rPr>
              <w:t>podání nabídek.</w:t>
            </w:r>
          </w:p>
        </w:tc>
      </w:tr>
      <w:tr w:rsidR="00F00A6F" w:rsidRPr="003445F5" w14:paraId="38C2BDC4" w14:textId="77777777" w:rsidTr="007176DE">
        <w:trPr>
          <w:trHeight w:val="915"/>
        </w:trPr>
        <w:tc>
          <w:tcPr>
            <w:tcW w:w="0" w:type="auto"/>
            <w:vMerge/>
            <w:vAlign w:val="top"/>
            <w:hideMark/>
          </w:tcPr>
          <w:p w14:paraId="0A4916FB" w14:textId="77777777" w:rsidR="00F00A6F" w:rsidRPr="00110D17" w:rsidRDefault="00F00A6F" w:rsidP="007176DE">
            <w:pPr>
              <w:jc w:val="left"/>
              <w:rPr>
                <w:lang w:eastAsia="en-US"/>
              </w:rPr>
            </w:pPr>
          </w:p>
        </w:tc>
        <w:tc>
          <w:tcPr>
            <w:tcW w:w="0" w:type="auto"/>
            <w:vMerge/>
            <w:vAlign w:val="top"/>
            <w:hideMark/>
          </w:tcPr>
          <w:p w14:paraId="31033F73" w14:textId="77777777" w:rsidR="00F00A6F" w:rsidRPr="00110D17" w:rsidRDefault="00F00A6F" w:rsidP="007176DE">
            <w:pPr>
              <w:jc w:val="left"/>
              <w:rPr>
                <w:lang w:eastAsia="en-US"/>
              </w:rPr>
            </w:pPr>
          </w:p>
        </w:tc>
        <w:tc>
          <w:tcPr>
            <w:tcW w:w="0" w:type="auto"/>
            <w:vMerge/>
            <w:vAlign w:val="top"/>
            <w:hideMark/>
          </w:tcPr>
          <w:p w14:paraId="64A5F551" w14:textId="77777777" w:rsidR="00F00A6F" w:rsidRPr="00110D17" w:rsidRDefault="00F00A6F" w:rsidP="007176DE">
            <w:pPr>
              <w:jc w:val="left"/>
              <w:rPr>
                <w:lang w:eastAsia="en-US"/>
              </w:rPr>
            </w:pPr>
          </w:p>
        </w:tc>
        <w:tc>
          <w:tcPr>
            <w:tcW w:w="1547" w:type="pct"/>
            <w:vAlign w:val="top"/>
            <w:hideMark/>
          </w:tcPr>
          <w:p w14:paraId="4DC11CC3" w14:textId="6950D438" w:rsidR="00F00A6F" w:rsidRPr="00110D17" w:rsidRDefault="00F00A6F" w:rsidP="007176DE">
            <w:pPr>
              <w:jc w:val="left"/>
              <w:rPr>
                <w:lang w:eastAsia="en-US"/>
              </w:rPr>
            </w:pPr>
            <w:r w:rsidRPr="00110D17">
              <w:rPr>
                <w:lang w:eastAsia="en-US"/>
              </w:rPr>
              <w:t>10</w:t>
            </w:r>
            <w:r w:rsidR="00662F5D">
              <w:rPr>
                <w:lang w:eastAsia="en-US"/>
              </w:rPr>
              <w:t> </w:t>
            </w:r>
            <w:r w:rsidRPr="00110D17">
              <w:rPr>
                <w:lang w:eastAsia="en-US"/>
              </w:rPr>
              <w:t>%, pokud podmínky plnění nebo technická specifikace nejsou</w:t>
            </w:r>
            <w:r w:rsidR="00A9639A">
              <w:rPr>
                <w:lang w:eastAsia="en-US"/>
              </w:rPr>
              <w:t xml:space="preserve"> v </w:t>
            </w:r>
            <w:r w:rsidRPr="00110D17">
              <w:rPr>
                <w:lang w:eastAsia="en-US"/>
              </w:rPr>
              <w:t>zadávací dokumentaci uvedeny, nebo</w:t>
            </w:r>
          </w:p>
          <w:p w14:paraId="047933BE" w14:textId="029E136D" w:rsidR="00F00A6F" w:rsidRPr="00110D17" w:rsidRDefault="00F00A6F" w:rsidP="007176DE">
            <w:pPr>
              <w:jc w:val="left"/>
              <w:rPr>
                <w:lang w:eastAsia="en-US"/>
              </w:rPr>
            </w:pPr>
            <w:r w:rsidRPr="00110D17">
              <w:rPr>
                <w:lang w:eastAsia="en-US"/>
              </w:rPr>
              <w:t>hodnotící kritéria a jejich váhy nejsou uvedeny</w:t>
            </w:r>
            <w:r w:rsidR="00A9639A">
              <w:rPr>
                <w:lang w:eastAsia="en-US"/>
              </w:rPr>
              <w:t xml:space="preserve"> v </w:t>
            </w:r>
            <w:r w:rsidRPr="00110D17">
              <w:rPr>
                <w:lang w:eastAsia="en-US"/>
              </w:rPr>
              <w:t>oznámení</w:t>
            </w:r>
            <w:r w:rsidR="00A9639A">
              <w:rPr>
                <w:lang w:eastAsia="en-US"/>
              </w:rPr>
              <w:t xml:space="preserve"> o </w:t>
            </w:r>
            <w:r w:rsidRPr="00110D17">
              <w:rPr>
                <w:lang w:eastAsia="en-US"/>
              </w:rPr>
              <w:t>zahájení výběrového/zadávacího řízení/výzvě</w:t>
            </w:r>
            <w:r w:rsidR="00A9639A">
              <w:rPr>
                <w:lang w:eastAsia="en-US"/>
              </w:rPr>
              <w:t xml:space="preserve"> k </w:t>
            </w:r>
            <w:r w:rsidRPr="00110D17">
              <w:rPr>
                <w:lang w:eastAsia="en-US"/>
              </w:rPr>
              <w:t>podání nabídky dostatečně určitě, což mohlo mít odrazující účinek na potenciální dodavatele, nebo vysvětlení objasňující či doplňující požadavky na kvalifikaci nebo hodnotící kritéria nebyla sdělena všem známým dodavatelům a/nebo nebyla uveřejněna.</w:t>
            </w:r>
          </w:p>
        </w:tc>
      </w:tr>
      <w:tr w:rsidR="00F00A6F" w:rsidRPr="003445F5" w14:paraId="2527F0B0" w14:textId="77777777" w:rsidTr="007176DE">
        <w:trPr>
          <w:trHeight w:val="20"/>
        </w:trPr>
        <w:tc>
          <w:tcPr>
            <w:tcW w:w="357" w:type="pct"/>
            <w:vMerge w:val="restart"/>
            <w:vAlign w:val="top"/>
          </w:tcPr>
          <w:p w14:paraId="21F6D575" w14:textId="77777777" w:rsidR="00F00A6F" w:rsidRPr="00EE7D23" w:rsidRDefault="00F00A6F" w:rsidP="007176DE">
            <w:pPr>
              <w:jc w:val="left"/>
              <w:rPr>
                <w:lang w:eastAsia="en-US"/>
              </w:rPr>
            </w:pPr>
            <w:r>
              <w:rPr>
                <w:lang w:eastAsia="en-US"/>
              </w:rPr>
              <w:t>10.</w:t>
            </w:r>
          </w:p>
        </w:tc>
        <w:tc>
          <w:tcPr>
            <w:tcW w:w="1548" w:type="pct"/>
            <w:vMerge w:val="restart"/>
            <w:vAlign w:val="top"/>
            <w:hideMark/>
          </w:tcPr>
          <w:p w14:paraId="1567A766" w14:textId="3440CD21" w:rsidR="00F00A6F" w:rsidRPr="00EE7D23" w:rsidRDefault="00F00A6F" w:rsidP="007176DE">
            <w:pPr>
              <w:jc w:val="left"/>
              <w:rPr>
                <w:lang w:eastAsia="en-US"/>
              </w:rPr>
            </w:pPr>
            <w:r w:rsidRPr="00EE7D23">
              <w:rPr>
                <w:lang w:eastAsia="en-US"/>
              </w:rPr>
              <w:t xml:space="preserve">Stanovení kritérií pro vyloučení, požadavků na kvalifikaci dodavatelů, kritérií hodnocení nabídek, podmínek pro </w:t>
            </w:r>
            <w:r w:rsidRPr="00EE7D23">
              <w:rPr>
                <w:lang w:eastAsia="en-US"/>
              </w:rPr>
              <w:lastRenderedPageBreak/>
              <w:t>plnění zakázky nebo technických specifikací diskriminačně nebo</w:t>
            </w:r>
            <w:r w:rsidR="00A9639A">
              <w:rPr>
                <w:lang w:eastAsia="en-US"/>
              </w:rPr>
              <w:t xml:space="preserve"> v </w:t>
            </w:r>
            <w:r w:rsidRPr="00EE7D23">
              <w:rPr>
                <w:lang w:eastAsia="en-US"/>
              </w:rPr>
              <w:t>rozporu se ZZVZ nebo Pravidly pro žadatele a příjemce OPD2021</w:t>
            </w:r>
            <w:r>
              <w:rPr>
                <w:lang w:eastAsia="en-US"/>
              </w:rPr>
              <w:t>+</w:t>
            </w:r>
            <w:r w:rsidRPr="00EE7D23">
              <w:rPr>
                <w:lang w:eastAsia="en-US"/>
              </w:rPr>
              <w:t>, a to ve vztahu</w:t>
            </w:r>
            <w:r w:rsidR="00A9639A">
              <w:rPr>
                <w:lang w:eastAsia="en-US"/>
              </w:rPr>
              <w:t xml:space="preserve"> k </w:t>
            </w:r>
            <w:r w:rsidRPr="00EE7D23">
              <w:rPr>
                <w:lang w:eastAsia="en-US"/>
              </w:rPr>
              <w:t xml:space="preserve">národním, regionálním nebo lokálním preferencím. </w:t>
            </w:r>
          </w:p>
        </w:tc>
        <w:tc>
          <w:tcPr>
            <w:tcW w:w="1548" w:type="pct"/>
            <w:vMerge w:val="restart"/>
            <w:vAlign w:val="top"/>
            <w:hideMark/>
          </w:tcPr>
          <w:p w14:paraId="448DA8E1" w14:textId="62A37561" w:rsidR="00F00A6F" w:rsidRPr="00EE7D23" w:rsidRDefault="00F00A6F" w:rsidP="007176DE">
            <w:pPr>
              <w:jc w:val="left"/>
              <w:rPr>
                <w:lang w:eastAsia="en-US"/>
              </w:rPr>
            </w:pPr>
            <w:r w:rsidRPr="00EE7D23">
              <w:rPr>
                <w:lang w:eastAsia="en-US"/>
              </w:rPr>
              <w:lastRenderedPageBreak/>
              <w:t xml:space="preserve">Zadavatel stanovil diskriminační nebo jiná protiprávní kritéria pro vyloučení, požadavky na kvalifikaci dodavatelů, </w:t>
            </w:r>
            <w:r w:rsidRPr="00EE7D23">
              <w:rPr>
                <w:lang w:eastAsia="en-US"/>
              </w:rPr>
              <w:lastRenderedPageBreak/>
              <w:t>kritéria hodnocení nabídek, podmínky pro plnění veřejné zakázky nebo technické specifikace nutné pro účast ve výběrovém/zadávacím řízení ve vztahu</w:t>
            </w:r>
            <w:r w:rsidR="00A9639A">
              <w:rPr>
                <w:lang w:eastAsia="en-US"/>
              </w:rPr>
              <w:t xml:space="preserve"> k </w:t>
            </w:r>
            <w:r w:rsidRPr="00EE7D23">
              <w:rPr>
                <w:lang w:eastAsia="en-US"/>
              </w:rPr>
              <w:t>místu realizace (např.</w:t>
            </w:r>
            <w:r w:rsidR="00A9639A">
              <w:rPr>
                <w:lang w:eastAsia="en-US"/>
              </w:rPr>
              <w:t xml:space="preserve"> v </w:t>
            </w:r>
            <w:r w:rsidRPr="00EE7D23">
              <w:rPr>
                <w:lang w:eastAsia="en-US"/>
              </w:rPr>
              <w:t>případě požadavku na zkušenosti, zařízení, provozovnu apod. v/z určitého regionu či státu).</w:t>
            </w:r>
          </w:p>
        </w:tc>
        <w:tc>
          <w:tcPr>
            <w:tcW w:w="1547" w:type="pct"/>
            <w:vAlign w:val="top"/>
            <w:hideMark/>
          </w:tcPr>
          <w:p w14:paraId="09949BC1" w14:textId="5CEA62B3" w:rsidR="00F00A6F" w:rsidRPr="00EE7D23" w:rsidRDefault="00F00A6F" w:rsidP="007176DE">
            <w:pPr>
              <w:jc w:val="left"/>
              <w:rPr>
                <w:lang w:eastAsia="en-US"/>
              </w:rPr>
            </w:pPr>
            <w:r w:rsidRPr="00EE7D23">
              <w:rPr>
                <w:lang w:eastAsia="en-US"/>
              </w:rPr>
              <w:lastRenderedPageBreak/>
              <w:t>25</w:t>
            </w:r>
            <w:r w:rsidR="00662F5D">
              <w:rPr>
                <w:lang w:eastAsia="en-US"/>
              </w:rPr>
              <w:t> </w:t>
            </w:r>
            <w:r w:rsidRPr="00EE7D23">
              <w:rPr>
                <w:lang w:eastAsia="en-US"/>
              </w:rPr>
              <w:t>%, pokud mohlo dojít</w:t>
            </w:r>
            <w:r w:rsidR="00A9639A">
              <w:rPr>
                <w:lang w:eastAsia="en-US"/>
              </w:rPr>
              <w:t xml:space="preserve"> k </w:t>
            </w:r>
            <w:r w:rsidRPr="00EE7D23">
              <w:rPr>
                <w:lang w:eastAsia="en-US"/>
              </w:rPr>
              <w:t>odrazení potenciálních dodavatelů od účasti ve výběrovém/zadávacím řízení.</w:t>
            </w:r>
          </w:p>
        </w:tc>
      </w:tr>
      <w:tr w:rsidR="00F00A6F" w:rsidRPr="003445F5" w14:paraId="035C232F" w14:textId="77777777" w:rsidTr="007176DE">
        <w:trPr>
          <w:trHeight w:val="1140"/>
        </w:trPr>
        <w:tc>
          <w:tcPr>
            <w:tcW w:w="0" w:type="auto"/>
            <w:vMerge/>
            <w:vAlign w:val="top"/>
            <w:hideMark/>
          </w:tcPr>
          <w:p w14:paraId="084964E9" w14:textId="77777777" w:rsidR="00F00A6F" w:rsidRPr="00110D17" w:rsidRDefault="00F00A6F" w:rsidP="007176DE">
            <w:pPr>
              <w:jc w:val="left"/>
              <w:rPr>
                <w:lang w:eastAsia="en-US"/>
              </w:rPr>
            </w:pPr>
          </w:p>
        </w:tc>
        <w:tc>
          <w:tcPr>
            <w:tcW w:w="0" w:type="auto"/>
            <w:vMerge/>
            <w:vAlign w:val="top"/>
            <w:hideMark/>
          </w:tcPr>
          <w:p w14:paraId="02B0F160" w14:textId="77777777" w:rsidR="00F00A6F" w:rsidRPr="00110D17" w:rsidRDefault="00F00A6F" w:rsidP="007176DE">
            <w:pPr>
              <w:jc w:val="left"/>
              <w:rPr>
                <w:lang w:eastAsia="en-US"/>
              </w:rPr>
            </w:pPr>
          </w:p>
        </w:tc>
        <w:tc>
          <w:tcPr>
            <w:tcW w:w="0" w:type="auto"/>
            <w:vMerge/>
            <w:vAlign w:val="top"/>
            <w:hideMark/>
          </w:tcPr>
          <w:p w14:paraId="5928A23A" w14:textId="77777777" w:rsidR="00F00A6F" w:rsidRPr="00110D17" w:rsidRDefault="00F00A6F" w:rsidP="007176DE">
            <w:pPr>
              <w:jc w:val="left"/>
              <w:rPr>
                <w:lang w:eastAsia="en-US"/>
              </w:rPr>
            </w:pPr>
          </w:p>
        </w:tc>
        <w:tc>
          <w:tcPr>
            <w:tcW w:w="1547" w:type="pct"/>
            <w:vAlign w:val="top"/>
            <w:hideMark/>
          </w:tcPr>
          <w:p w14:paraId="06E46750" w14:textId="02923686" w:rsidR="00F00A6F" w:rsidRPr="00110D17" w:rsidRDefault="00F00A6F" w:rsidP="007176DE">
            <w:pPr>
              <w:jc w:val="left"/>
              <w:rPr>
                <w:lang w:eastAsia="en-US"/>
              </w:rPr>
            </w:pPr>
            <w:r w:rsidRPr="00110D17">
              <w:rPr>
                <w:lang w:eastAsia="en-US"/>
              </w:rPr>
              <w:t>10</w:t>
            </w:r>
            <w:r w:rsidR="00662F5D">
              <w:rPr>
                <w:lang w:eastAsia="en-US"/>
              </w:rPr>
              <w:t> </w:t>
            </w:r>
            <w:r w:rsidRPr="00110D17">
              <w:rPr>
                <w:lang w:eastAsia="en-US"/>
              </w:rPr>
              <w:t>%, pokud byla zajištěna minimální úroveň hospodářské soutěže.</w:t>
            </w:r>
          </w:p>
        </w:tc>
      </w:tr>
      <w:tr w:rsidR="00F00A6F" w:rsidRPr="003445F5" w14:paraId="3A1EB068" w14:textId="77777777" w:rsidTr="007176DE">
        <w:trPr>
          <w:trHeight w:val="20"/>
        </w:trPr>
        <w:tc>
          <w:tcPr>
            <w:tcW w:w="357" w:type="pct"/>
            <w:vMerge w:val="restart"/>
            <w:vAlign w:val="top"/>
          </w:tcPr>
          <w:p w14:paraId="00BE819E" w14:textId="77777777" w:rsidR="00F00A6F" w:rsidRPr="00EE7D23" w:rsidRDefault="00F00A6F" w:rsidP="007176DE">
            <w:pPr>
              <w:jc w:val="left"/>
              <w:rPr>
                <w:lang w:eastAsia="en-US"/>
              </w:rPr>
            </w:pPr>
            <w:r>
              <w:rPr>
                <w:lang w:eastAsia="en-US"/>
              </w:rPr>
              <w:t>11.</w:t>
            </w:r>
          </w:p>
        </w:tc>
        <w:tc>
          <w:tcPr>
            <w:tcW w:w="1548" w:type="pct"/>
            <w:vMerge w:val="restart"/>
            <w:vAlign w:val="top"/>
            <w:hideMark/>
          </w:tcPr>
          <w:p w14:paraId="277F3F13" w14:textId="709F5CA7" w:rsidR="00F00A6F" w:rsidRPr="00EE7D23" w:rsidRDefault="00F00A6F" w:rsidP="007176DE">
            <w:pPr>
              <w:jc w:val="left"/>
              <w:rPr>
                <w:lang w:eastAsia="en-US"/>
              </w:rPr>
            </w:pPr>
            <w:r w:rsidRPr="00EE7D23">
              <w:rPr>
                <w:lang w:eastAsia="en-US"/>
              </w:rPr>
              <w:t>Stanovení kritérií pro vyloučení, požadavků na kvalifikaci dodavatelů, kritérií hodnocení nabídek, podmínek pro plnění zakázky nebo technických specifikací diskriminačně nebo</w:t>
            </w:r>
            <w:r w:rsidR="00A9639A">
              <w:rPr>
                <w:lang w:eastAsia="en-US"/>
              </w:rPr>
              <w:t xml:space="preserve"> v </w:t>
            </w:r>
            <w:r w:rsidRPr="00EE7D23">
              <w:rPr>
                <w:lang w:eastAsia="en-US"/>
              </w:rPr>
              <w:t>rozporu se ZZVZ nebo</w:t>
            </w:r>
            <w:r w:rsidR="00A9639A">
              <w:rPr>
                <w:lang w:eastAsia="en-US"/>
              </w:rPr>
              <w:t xml:space="preserve"> s </w:t>
            </w:r>
            <w:r w:rsidRPr="00EE7D23">
              <w:rPr>
                <w:lang w:eastAsia="en-US"/>
              </w:rPr>
              <w:t>Pravidly pro žadatele a</w:t>
            </w:r>
            <w:r w:rsidR="00662F5D">
              <w:rPr>
                <w:lang w:eastAsia="en-US"/>
              </w:rPr>
              <w:t> </w:t>
            </w:r>
            <w:r w:rsidRPr="00EE7D23">
              <w:rPr>
                <w:lang w:eastAsia="en-US"/>
              </w:rPr>
              <w:t>příjemce OPD2021</w:t>
            </w:r>
            <w:r>
              <w:rPr>
                <w:lang w:eastAsia="en-US"/>
              </w:rPr>
              <w:t>+</w:t>
            </w:r>
            <w:r w:rsidR="00A9639A">
              <w:rPr>
                <w:lang w:eastAsia="en-US"/>
              </w:rPr>
              <w:t xml:space="preserve"> v </w:t>
            </w:r>
            <w:r w:rsidRPr="00EE7D23">
              <w:rPr>
                <w:lang w:eastAsia="en-US"/>
              </w:rPr>
              <w:t>ostatních aspektech</w:t>
            </w:r>
            <w:r>
              <w:rPr>
                <w:lang w:eastAsia="en-US"/>
              </w:rPr>
              <w:t>,</w:t>
            </w:r>
            <w:r w:rsidRPr="00EE7D23">
              <w:rPr>
                <w:lang w:eastAsia="en-US"/>
              </w:rPr>
              <w:t xml:space="preserve"> než je uvedeno</w:t>
            </w:r>
            <w:r w:rsidR="00A9639A">
              <w:rPr>
                <w:lang w:eastAsia="en-US"/>
              </w:rPr>
              <w:t xml:space="preserve"> v </w:t>
            </w:r>
            <w:r w:rsidRPr="00EE7D23">
              <w:rPr>
                <w:lang w:eastAsia="en-US"/>
              </w:rPr>
              <w:t>předchozím bodu.</w:t>
            </w:r>
          </w:p>
        </w:tc>
        <w:tc>
          <w:tcPr>
            <w:tcW w:w="1548" w:type="pct"/>
            <w:vMerge w:val="restart"/>
            <w:vAlign w:val="top"/>
            <w:hideMark/>
          </w:tcPr>
          <w:p w14:paraId="57A389FA" w14:textId="735E4093" w:rsidR="00F00A6F" w:rsidRPr="00EE7D23" w:rsidRDefault="00F00A6F" w:rsidP="007176DE">
            <w:pPr>
              <w:jc w:val="left"/>
              <w:rPr>
                <w:lang w:eastAsia="en-US"/>
              </w:rPr>
            </w:pPr>
            <w:r w:rsidRPr="00EE7D23">
              <w:rPr>
                <w:lang w:eastAsia="en-US"/>
              </w:rPr>
              <w:t>Zadavatel stanovil diskriminační nebo jiná protiprávní kritéria pro vyloučení, požadavky na kvalifikaci dodavatelů, kritéria hodnocení nabídek, podmínky pro plnění zakázky nebo technické specifikace nutné pro účast ve výběrovém/zadávacím řízení (např. požadavky bezprostředně nesouvisely</w:t>
            </w:r>
            <w:r w:rsidR="00A9639A">
              <w:rPr>
                <w:lang w:eastAsia="en-US"/>
              </w:rPr>
              <w:t xml:space="preserve"> s </w:t>
            </w:r>
            <w:r w:rsidRPr="00EE7D23">
              <w:rPr>
                <w:lang w:eastAsia="en-US"/>
              </w:rPr>
              <w:t>předmětem zakázky, nebo hodnotící kritéria nevyjadřovala vztah užitné hodnoty a ceny).</w:t>
            </w:r>
          </w:p>
        </w:tc>
        <w:tc>
          <w:tcPr>
            <w:tcW w:w="1547" w:type="pct"/>
            <w:vAlign w:val="top"/>
            <w:hideMark/>
          </w:tcPr>
          <w:p w14:paraId="37F12B80" w14:textId="2CB25D98" w:rsidR="00F00A6F" w:rsidRPr="00EE7D23" w:rsidRDefault="00F00A6F" w:rsidP="007176DE">
            <w:pPr>
              <w:jc w:val="left"/>
              <w:rPr>
                <w:lang w:eastAsia="en-US"/>
              </w:rPr>
            </w:pPr>
            <w:r w:rsidRPr="00EE7D23">
              <w:rPr>
                <w:lang w:eastAsia="en-US"/>
              </w:rPr>
              <w:t>25</w:t>
            </w:r>
            <w:r w:rsidR="00662F5D">
              <w:rPr>
                <w:lang w:eastAsia="en-US"/>
              </w:rPr>
              <w:t> </w:t>
            </w:r>
            <w:r w:rsidRPr="00EE7D23">
              <w:rPr>
                <w:lang w:eastAsia="en-US"/>
              </w:rPr>
              <w:t>%, pokud stanovené podmínky/požadavky zjevně neodpovídají předmětu zakázky nebo</w:t>
            </w:r>
            <w:r w:rsidR="00A9639A">
              <w:rPr>
                <w:lang w:eastAsia="en-US"/>
              </w:rPr>
              <w:t xml:space="preserve"> v </w:t>
            </w:r>
            <w:r w:rsidRPr="00EE7D23">
              <w:rPr>
                <w:lang w:eastAsia="en-US"/>
              </w:rPr>
              <w:t>případech, kdy toto omezení umožnilo účast pouze jednoho dodavatele a současně účast tohoto jednoho dodavatele není odůvodnitelná specifickým technickým charakterem předmětu zakázky.</w:t>
            </w:r>
          </w:p>
        </w:tc>
      </w:tr>
      <w:tr w:rsidR="00F00A6F" w:rsidRPr="003445F5" w14:paraId="3B18643A" w14:textId="77777777" w:rsidTr="007176DE">
        <w:trPr>
          <w:trHeight w:val="2211"/>
        </w:trPr>
        <w:tc>
          <w:tcPr>
            <w:tcW w:w="0" w:type="auto"/>
            <w:vMerge/>
            <w:vAlign w:val="top"/>
            <w:hideMark/>
          </w:tcPr>
          <w:p w14:paraId="466256A1" w14:textId="77777777" w:rsidR="00F00A6F" w:rsidRPr="00110D17" w:rsidRDefault="00F00A6F" w:rsidP="007176DE">
            <w:pPr>
              <w:jc w:val="left"/>
              <w:rPr>
                <w:lang w:eastAsia="en-US"/>
              </w:rPr>
            </w:pPr>
          </w:p>
        </w:tc>
        <w:tc>
          <w:tcPr>
            <w:tcW w:w="0" w:type="auto"/>
            <w:vMerge/>
            <w:vAlign w:val="top"/>
            <w:hideMark/>
          </w:tcPr>
          <w:p w14:paraId="45A237F4" w14:textId="77777777" w:rsidR="00F00A6F" w:rsidRPr="00110D17" w:rsidRDefault="00F00A6F" w:rsidP="007176DE">
            <w:pPr>
              <w:jc w:val="left"/>
              <w:rPr>
                <w:lang w:eastAsia="en-US"/>
              </w:rPr>
            </w:pPr>
          </w:p>
        </w:tc>
        <w:tc>
          <w:tcPr>
            <w:tcW w:w="0" w:type="auto"/>
            <w:vMerge/>
            <w:vAlign w:val="top"/>
            <w:hideMark/>
          </w:tcPr>
          <w:p w14:paraId="7B4960D5" w14:textId="77777777" w:rsidR="00F00A6F" w:rsidRPr="00110D17" w:rsidRDefault="00F00A6F" w:rsidP="007176DE">
            <w:pPr>
              <w:jc w:val="left"/>
              <w:rPr>
                <w:lang w:eastAsia="en-US"/>
              </w:rPr>
            </w:pPr>
          </w:p>
        </w:tc>
        <w:tc>
          <w:tcPr>
            <w:tcW w:w="1547" w:type="pct"/>
            <w:vAlign w:val="top"/>
            <w:hideMark/>
          </w:tcPr>
          <w:p w14:paraId="4914B960" w14:textId="51BD4B7C" w:rsidR="00F00A6F" w:rsidRPr="00110D17" w:rsidRDefault="00F00A6F" w:rsidP="007176DE">
            <w:pPr>
              <w:jc w:val="left"/>
              <w:rPr>
                <w:lang w:eastAsia="en-US"/>
              </w:rPr>
            </w:pPr>
            <w:r w:rsidRPr="00110D17">
              <w:rPr>
                <w:lang w:eastAsia="en-US"/>
              </w:rPr>
              <w:t>10</w:t>
            </w:r>
            <w:r w:rsidR="00662F5D">
              <w:rPr>
                <w:lang w:eastAsia="en-US"/>
              </w:rPr>
              <w:t> </w:t>
            </w:r>
            <w:r w:rsidRPr="00110D17">
              <w:rPr>
                <w:lang w:eastAsia="en-US"/>
              </w:rPr>
              <w:t>%, pokud tyto podmínky/požadavky souvisí</w:t>
            </w:r>
            <w:r w:rsidR="00A9639A">
              <w:rPr>
                <w:lang w:eastAsia="en-US"/>
              </w:rPr>
              <w:t xml:space="preserve"> s </w:t>
            </w:r>
            <w:r w:rsidRPr="00110D17">
              <w:rPr>
                <w:lang w:eastAsia="en-US"/>
              </w:rPr>
              <w:t>předmětem zakázky, ale nejsou mu přiměřené, nebo</w:t>
            </w:r>
            <w:r w:rsidR="00A9639A">
              <w:rPr>
                <w:lang w:eastAsia="en-US"/>
              </w:rPr>
              <w:t xml:space="preserve"> v </w:t>
            </w:r>
            <w:r w:rsidRPr="00110D17">
              <w:rPr>
                <w:lang w:eastAsia="en-US"/>
              </w:rPr>
              <w:t>případech, kdy požadavky na kvalifikaci byly užity jako hodnotící kritéria, nebo</w:t>
            </w:r>
            <w:r w:rsidR="00A9639A">
              <w:rPr>
                <w:lang w:eastAsia="en-US"/>
              </w:rPr>
              <w:t xml:space="preserve"> v </w:t>
            </w:r>
            <w:r w:rsidRPr="00110D17">
              <w:rPr>
                <w:lang w:eastAsia="en-US"/>
              </w:rPr>
              <w:t>případech stanovení technických podmínek prostřednictvím přímého nebo nepřímého odkazu na určité dodavatele, výrobky, patenty na vynálezy, užitné vzory, průmyslové vzory, ochranné známky nebo označení původu, aniž by byly naplněny zákonné podmínky/podmínky uvedené</w:t>
            </w:r>
            <w:r w:rsidR="00A9639A">
              <w:rPr>
                <w:lang w:eastAsia="en-US"/>
              </w:rPr>
              <w:t xml:space="preserve"> v </w:t>
            </w:r>
            <w:r w:rsidRPr="00110D17">
              <w:rPr>
                <w:lang w:eastAsia="en-US"/>
              </w:rPr>
              <w:t>Pravidlech pro žadatele a příjemce OPD2021</w:t>
            </w:r>
            <w:r>
              <w:rPr>
                <w:lang w:eastAsia="en-US"/>
              </w:rPr>
              <w:t>+</w:t>
            </w:r>
            <w:r w:rsidRPr="00110D17">
              <w:rPr>
                <w:lang w:eastAsia="en-US"/>
              </w:rPr>
              <w:t xml:space="preserve"> pro využití takového odkazu</w:t>
            </w:r>
            <w:r w:rsidR="00A9639A">
              <w:rPr>
                <w:lang w:eastAsia="en-US"/>
              </w:rPr>
              <w:t xml:space="preserve"> </w:t>
            </w:r>
            <w:r w:rsidR="00A9639A">
              <w:rPr>
                <w:lang w:eastAsia="en-US"/>
              </w:rPr>
              <w:lastRenderedPageBreak/>
              <w:t>s </w:t>
            </w:r>
            <w:r w:rsidRPr="00110D17">
              <w:rPr>
                <w:lang w:eastAsia="en-US"/>
              </w:rPr>
              <w:t>výjimkou případů, kdy použití této specifikace se týká pouze doplňkové části zakázky a potenciální dopad na EU rozpočet je pouze formální.</w:t>
            </w:r>
          </w:p>
        </w:tc>
      </w:tr>
      <w:tr w:rsidR="00F00A6F" w:rsidRPr="003445F5" w14:paraId="5FFA9443" w14:textId="77777777" w:rsidTr="007176DE">
        <w:trPr>
          <w:trHeight w:val="1296"/>
        </w:trPr>
        <w:tc>
          <w:tcPr>
            <w:tcW w:w="0" w:type="auto"/>
            <w:vMerge/>
            <w:vAlign w:val="top"/>
            <w:hideMark/>
          </w:tcPr>
          <w:p w14:paraId="31C9E26F" w14:textId="77777777" w:rsidR="00F00A6F" w:rsidRPr="00110D17" w:rsidRDefault="00F00A6F" w:rsidP="007176DE">
            <w:pPr>
              <w:jc w:val="left"/>
              <w:rPr>
                <w:lang w:eastAsia="en-US"/>
              </w:rPr>
            </w:pPr>
          </w:p>
        </w:tc>
        <w:tc>
          <w:tcPr>
            <w:tcW w:w="0" w:type="auto"/>
            <w:vMerge/>
            <w:vAlign w:val="top"/>
            <w:hideMark/>
          </w:tcPr>
          <w:p w14:paraId="29007C3D" w14:textId="77777777" w:rsidR="00F00A6F" w:rsidRPr="00110D17" w:rsidRDefault="00F00A6F" w:rsidP="007176DE">
            <w:pPr>
              <w:jc w:val="left"/>
              <w:rPr>
                <w:lang w:eastAsia="en-US"/>
              </w:rPr>
            </w:pPr>
          </w:p>
        </w:tc>
        <w:tc>
          <w:tcPr>
            <w:tcW w:w="0" w:type="auto"/>
            <w:vMerge/>
            <w:vAlign w:val="top"/>
            <w:hideMark/>
          </w:tcPr>
          <w:p w14:paraId="12AB07AE" w14:textId="77777777" w:rsidR="00F00A6F" w:rsidRPr="00110D17" w:rsidRDefault="00F00A6F" w:rsidP="007176DE">
            <w:pPr>
              <w:jc w:val="left"/>
              <w:rPr>
                <w:lang w:eastAsia="en-US"/>
              </w:rPr>
            </w:pPr>
          </w:p>
        </w:tc>
        <w:tc>
          <w:tcPr>
            <w:tcW w:w="1547" w:type="pct"/>
            <w:vAlign w:val="top"/>
            <w:hideMark/>
          </w:tcPr>
          <w:p w14:paraId="465257AE" w14:textId="5E0B644A" w:rsidR="00F00A6F" w:rsidRPr="00110D17" w:rsidRDefault="00F00A6F" w:rsidP="007176DE">
            <w:pPr>
              <w:jc w:val="left"/>
              <w:rPr>
                <w:lang w:eastAsia="en-US"/>
              </w:rPr>
            </w:pPr>
            <w:r w:rsidRPr="00110D17">
              <w:rPr>
                <w:lang w:eastAsia="en-US"/>
              </w:rPr>
              <w:t>5</w:t>
            </w:r>
            <w:r w:rsidR="00662F5D">
              <w:rPr>
                <w:lang w:eastAsia="en-US"/>
              </w:rPr>
              <w:t> </w:t>
            </w:r>
            <w:r w:rsidRPr="00110D17">
              <w:rPr>
                <w:lang w:eastAsia="en-US"/>
              </w:rPr>
              <w:t>%, pokud i přes užití omezujících podmínek byla zajištěna minimální úroveň hospodářské soutěže.</w:t>
            </w:r>
          </w:p>
        </w:tc>
      </w:tr>
      <w:tr w:rsidR="00F00A6F" w:rsidRPr="003445F5" w14:paraId="13280ECB" w14:textId="77777777" w:rsidTr="007176DE">
        <w:trPr>
          <w:trHeight w:val="20"/>
        </w:trPr>
        <w:tc>
          <w:tcPr>
            <w:tcW w:w="357" w:type="pct"/>
            <w:vAlign w:val="top"/>
          </w:tcPr>
          <w:p w14:paraId="2B16B751" w14:textId="77777777" w:rsidR="00F00A6F" w:rsidRPr="00EE7D23" w:rsidRDefault="00F00A6F" w:rsidP="007176DE">
            <w:pPr>
              <w:jc w:val="left"/>
              <w:rPr>
                <w:lang w:eastAsia="en-US"/>
              </w:rPr>
            </w:pPr>
            <w:r>
              <w:rPr>
                <w:lang w:eastAsia="en-US"/>
              </w:rPr>
              <w:t>12.</w:t>
            </w:r>
          </w:p>
        </w:tc>
        <w:tc>
          <w:tcPr>
            <w:tcW w:w="1548" w:type="pct"/>
            <w:vAlign w:val="top"/>
            <w:hideMark/>
          </w:tcPr>
          <w:p w14:paraId="21836443" w14:textId="77777777" w:rsidR="00F00A6F" w:rsidRPr="00EE7D23" w:rsidRDefault="00F00A6F" w:rsidP="007176DE">
            <w:pPr>
              <w:jc w:val="left"/>
              <w:rPr>
                <w:lang w:eastAsia="en-US"/>
              </w:rPr>
            </w:pPr>
            <w:r w:rsidRPr="00EE7D23">
              <w:rPr>
                <w:lang w:eastAsia="en-US"/>
              </w:rPr>
              <w:t>Nedostatečné či nepřesné vymezení předmětu zakázky.</w:t>
            </w:r>
          </w:p>
        </w:tc>
        <w:tc>
          <w:tcPr>
            <w:tcW w:w="1548" w:type="pct"/>
            <w:vAlign w:val="top"/>
            <w:hideMark/>
          </w:tcPr>
          <w:p w14:paraId="48AA1CE8" w14:textId="77A59CE8" w:rsidR="00F00A6F" w:rsidRPr="00EE7D23" w:rsidRDefault="00F00A6F" w:rsidP="007176DE">
            <w:pPr>
              <w:jc w:val="left"/>
              <w:rPr>
                <w:lang w:eastAsia="en-US"/>
              </w:rPr>
            </w:pPr>
            <w:r w:rsidRPr="00EE7D23">
              <w:rPr>
                <w:lang w:eastAsia="en-US"/>
              </w:rPr>
              <w:t>Zadavatel nevymezil předmět zakázky</w:t>
            </w:r>
            <w:r w:rsidR="00A9639A">
              <w:rPr>
                <w:lang w:eastAsia="en-US"/>
              </w:rPr>
              <w:t xml:space="preserve"> v </w:t>
            </w:r>
            <w:r w:rsidRPr="00EE7D23">
              <w:rPr>
                <w:lang w:eastAsia="en-US"/>
              </w:rPr>
              <w:t>podrobnostech nezbytných pro zpracování nabídky, což mohlo odradit potenciální dodavatele od podání nabídky, předběžné nabídky či žádosti</w:t>
            </w:r>
            <w:r w:rsidR="00A9639A">
              <w:rPr>
                <w:lang w:eastAsia="en-US"/>
              </w:rPr>
              <w:t xml:space="preserve"> o </w:t>
            </w:r>
            <w:r w:rsidRPr="00EE7D23">
              <w:rPr>
                <w:lang w:eastAsia="en-US"/>
              </w:rPr>
              <w:t>účast a tato skutečnost je zřejmá i</w:t>
            </w:r>
            <w:r w:rsidR="00A9639A">
              <w:rPr>
                <w:lang w:eastAsia="en-US"/>
              </w:rPr>
              <w:t xml:space="preserve"> z </w:t>
            </w:r>
            <w:r w:rsidRPr="00EE7D23">
              <w:rPr>
                <w:lang w:eastAsia="en-US"/>
              </w:rPr>
              <w:t>průběhu vysvětlení zadávací dokumentace vedené</w:t>
            </w:r>
            <w:r w:rsidR="00A9639A">
              <w:rPr>
                <w:lang w:eastAsia="en-US"/>
              </w:rPr>
              <w:t xml:space="preserve"> v </w:t>
            </w:r>
            <w:r w:rsidRPr="00EE7D23">
              <w:rPr>
                <w:lang w:eastAsia="en-US"/>
              </w:rPr>
              <w:t>rámci zadávacího/výběrového řízení.</w:t>
            </w:r>
          </w:p>
        </w:tc>
        <w:tc>
          <w:tcPr>
            <w:tcW w:w="1547" w:type="pct"/>
            <w:vAlign w:val="top"/>
            <w:hideMark/>
          </w:tcPr>
          <w:p w14:paraId="4123BD75" w14:textId="761347FA" w:rsidR="00F00A6F" w:rsidRPr="00EE7D23" w:rsidRDefault="00F00A6F" w:rsidP="007176DE">
            <w:pPr>
              <w:jc w:val="left"/>
              <w:rPr>
                <w:lang w:eastAsia="en-US"/>
              </w:rPr>
            </w:pPr>
            <w:r w:rsidRPr="00EE7D23">
              <w:rPr>
                <w:lang w:eastAsia="en-US"/>
              </w:rPr>
              <w:t>10</w:t>
            </w:r>
            <w:r w:rsidR="00662F5D">
              <w:rPr>
                <w:lang w:eastAsia="en-US"/>
              </w:rPr>
              <w:t> </w:t>
            </w:r>
            <w:r w:rsidRPr="00EE7D23">
              <w:rPr>
                <w:lang w:eastAsia="en-US"/>
              </w:rPr>
              <w:t>%</w:t>
            </w:r>
          </w:p>
        </w:tc>
      </w:tr>
      <w:tr w:rsidR="00F00A6F" w:rsidRPr="003445F5" w14:paraId="15687357" w14:textId="77777777" w:rsidTr="007176DE">
        <w:trPr>
          <w:trHeight w:val="20"/>
        </w:trPr>
        <w:tc>
          <w:tcPr>
            <w:tcW w:w="357" w:type="pct"/>
            <w:vAlign w:val="top"/>
          </w:tcPr>
          <w:p w14:paraId="02CC3AB2" w14:textId="77777777" w:rsidR="00F00A6F" w:rsidRPr="00EE7D23" w:rsidRDefault="00F00A6F" w:rsidP="007176DE">
            <w:pPr>
              <w:jc w:val="left"/>
              <w:rPr>
                <w:lang w:eastAsia="en-US"/>
              </w:rPr>
            </w:pPr>
            <w:r>
              <w:rPr>
                <w:lang w:eastAsia="en-US"/>
              </w:rPr>
              <w:t>13.</w:t>
            </w:r>
          </w:p>
        </w:tc>
        <w:tc>
          <w:tcPr>
            <w:tcW w:w="1548" w:type="pct"/>
            <w:vAlign w:val="top"/>
            <w:hideMark/>
          </w:tcPr>
          <w:p w14:paraId="6FF473EF" w14:textId="77777777" w:rsidR="00F00A6F" w:rsidRPr="00EE7D23" w:rsidRDefault="00F00A6F" w:rsidP="007176DE">
            <w:pPr>
              <w:jc w:val="left"/>
              <w:rPr>
                <w:lang w:eastAsia="en-US"/>
              </w:rPr>
            </w:pPr>
            <w:r w:rsidRPr="00EE7D23">
              <w:rPr>
                <w:lang w:eastAsia="en-US"/>
              </w:rPr>
              <w:t>Neoprávněné omezení poddodávek.</w:t>
            </w:r>
          </w:p>
        </w:tc>
        <w:tc>
          <w:tcPr>
            <w:tcW w:w="1548" w:type="pct"/>
            <w:vAlign w:val="top"/>
            <w:hideMark/>
          </w:tcPr>
          <w:p w14:paraId="10109DA7" w14:textId="05241F3B" w:rsidR="00F00A6F" w:rsidRPr="00EE7D23" w:rsidRDefault="00F00A6F" w:rsidP="007176DE">
            <w:pPr>
              <w:jc w:val="left"/>
              <w:rPr>
                <w:lang w:eastAsia="en-US"/>
              </w:rPr>
            </w:pPr>
            <w:r w:rsidRPr="00EE7D23">
              <w:rPr>
                <w:lang w:eastAsia="en-US"/>
              </w:rPr>
              <w:t>Zadavatel omezil možnost využití poddodavatelů při realizaci veřejné zakázky např. procentuálně, a to bez relevantního odůvodnění tohoto omezení</w:t>
            </w:r>
            <w:r w:rsidR="00A9639A">
              <w:rPr>
                <w:lang w:eastAsia="en-US"/>
              </w:rPr>
              <w:t xml:space="preserve"> s </w:t>
            </w:r>
            <w:r w:rsidRPr="00EE7D23">
              <w:rPr>
                <w:lang w:eastAsia="en-US"/>
              </w:rPr>
              <w:t>ohledem na klíčové části zakázky.</w:t>
            </w:r>
          </w:p>
        </w:tc>
        <w:tc>
          <w:tcPr>
            <w:tcW w:w="1547" w:type="pct"/>
            <w:vAlign w:val="top"/>
            <w:hideMark/>
          </w:tcPr>
          <w:p w14:paraId="687CC397" w14:textId="0953F0FC" w:rsidR="00F00A6F" w:rsidRPr="00EE7D23" w:rsidRDefault="00F00A6F" w:rsidP="007176DE">
            <w:pPr>
              <w:jc w:val="left"/>
              <w:rPr>
                <w:lang w:eastAsia="en-US"/>
              </w:rPr>
            </w:pPr>
            <w:r w:rsidRPr="00EE7D23">
              <w:rPr>
                <w:lang w:eastAsia="en-US"/>
              </w:rPr>
              <w:t>5</w:t>
            </w:r>
            <w:r w:rsidR="00662F5D">
              <w:rPr>
                <w:lang w:eastAsia="en-US"/>
              </w:rPr>
              <w:t> </w:t>
            </w:r>
            <w:r w:rsidRPr="00EE7D23">
              <w:rPr>
                <w:lang w:eastAsia="en-US"/>
              </w:rPr>
              <w:t xml:space="preserve">% </w:t>
            </w:r>
          </w:p>
        </w:tc>
      </w:tr>
      <w:tr w:rsidR="00F00A6F" w:rsidRPr="003445F5" w14:paraId="306A8F3A" w14:textId="77777777" w:rsidTr="007176DE">
        <w:trPr>
          <w:trHeight w:val="5745"/>
        </w:trPr>
        <w:tc>
          <w:tcPr>
            <w:tcW w:w="357" w:type="pct"/>
            <w:vAlign w:val="top"/>
          </w:tcPr>
          <w:p w14:paraId="631D9144" w14:textId="77777777" w:rsidR="00F00A6F" w:rsidRPr="00EE7D23" w:rsidRDefault="00F00A6F" w:rsidP="007176DE">
            <w:pPr>
              <w:jc w:val="left"/>
              <w:rPr>
                <w:lang w:eastAsia="en-US"/>
              </w:rPr>
            </w:pPr>
            <w:r>
              <w:rPr>
                <w:lang w:eastAsia="en-US"/>
              </w:rPr>
              <w:lastRenderedPageBreak/>
              <w:t>14.</w:t>
            </w:r>
          </w:p>
        </w:tc>
        <w:tc>
          <w:tcPr>
            <w:tcW w:w="1548" w:type="pct"/>
            <w:vAlign w:val="top"/>
            <w:hideMark/>
          </w:tcPr>
          <w:p w14:paraId="005AD48B" w14:textId="2ACB01F9" w:rsidR="00F00A6F" w:rsidRPr="00EE7D23" w:rsidRDefault="00F00A6F" w:rsidP="007176DE">
            <w:pPr>
              <w:jc w:val="left"/>
              <w:rPr>
                <w:lang w:eastAsia="en-US"/>
              </w:rPr>
            </w:pPr>
            <w:r w:rsidRPr="00EE7D23">
              <w:rPr>
                <w:lang w:eastAsia="en-US"/>
              </w:rPr>
              <w:t>Nedodržení či nesprávná aplikace požadavků na kvalifikaci nebo technických či jiných zadávacích podmínek při posouzení a hodnocení nabídek či žádostí</w:t>
            </w:r>
            <w:r w:rsidR="00A9639A">
              <w:rPr>
                <w:lang w:eastAsia="en-US"/>
              </w:rPr>
              <w:t xml:space="preserve"> o </w:t>
            </w:r>
            <w:r w:rsidRPr="00EE7D23">
              <w:rPr>
                <w:lang w:eastAsia="en-US"/>
              </w:rPr>
              <w:t>účast.</w:t>
            </w:r>
          </w:p>
        </w:tc>
        <w:tc>
          <w:tcPr>
            <w:tcW w:w="1548" w:type="pct"/>
            <w:vAlign w:val="top"/>
            <w:hideMark/>
          </w:tcPr>
          <w:p w14:paraId="37988F1F" w14:textId="54536AF1" w:rsidR="00F00A6F" w:rsidRPr="00EE7D23" w:rsidRDefault="00F00A6F" w:rsidP="007176DE">
            <w:pPr>
              <w:jc w:val="left"/>
              <w:rPr>
                <w:lang w:eastAsia="en-US"/>
              </w:rPr>
            </w:pPr>
            <w:r w:rsidRPr="00EE7D23">
              <w:rPr>
                <w:lang w:eastAsia="en-US"/>
              </w:rPr>
              <w:t>Zadavatel při posouzení a hodnocení nabídek či žádosti</w:t>
            </w:r>
            <w:r w:rsidR="00A9639A">
              <w:rPr>
                <w:lang w:eastAsia="en-US"/>
              </w:rPr>
              <w:t xml:space="preserve"> o </w:t>
            </w:r>
            <w:r w:rsidRPr="00EE7D23">
              <w:rPr>
                <w:lang w:eastAsia="en-US"/>
              </w:rPr>
              <w:t>účast nedodržel stanovené zadávací podmínky, zejména technické podmínky, požadavky na kvalifikaci, obchodní podmínky nebo jiné podmínky účasti ve výběrovém/zadávacím řízení nebo podmínky průběhu výběrového/zadávacího řízení a ve svém důsledku tak změnil zadávací podmínky</w:t>
            </w:r>
            <w:r w:rsidR="00A9639A">
              <w:rPr>
                <w:lang w:eastAsia="en-US"/>
              </w:rPr>
              <w:t xml:space="preserve"> v </w:t>
            </w:r>
            <w:r w:rsidRPr="00EE7D23">
              <w:rPr>
                <w:lang w:eastAsia="en-US"/>
              </w:rPr>
              <w:t>průběhu posouzení a hodnocení nabídek, což mělo za následek přijetí či odmítnutí nabídek či žádostí</w:t>
            </w:r>
            <w:r w:rsidR="00A9639A">
              <w:rPr>
                <w:lang w:eastAsia="en-US"/>
              </w:rPr>
              <w:t xml:space="preserve"> o </w:t>
            </w:r>
            <w:r w:rsidRPr="00EE7D23">
              <w:rPr>
                <w:lang w:eastAsia="en-US"/>
              </w:rPr>
              <w:t>účast, které přijaty/odmítnuty být neměly.</w:t>
            </w:r>
            <w:r w:rsidRPr="00EE7D23">
              <w:rPr>
                <w:rStyle w:val="Znakapoznpodarou"/>
                <w:rFonts w:eastAsiaTheme="majorEastAsia" w:cstheme="minorHAnsi"/>
                <w:szCs w:val="20"/>
                <w:lang w:eastAsia="en-US"/>
              </w:rPr>
              <w:footnoteReference w:id="14"/>
            </w:r>
          </w:p>
        </w:tc>
        <w:tc>
          <w:tcPr>
            <w:tcW w:w="1547" w:type="pct"/>
            <w:vAlign w:val="top"/>
          </w:tcPr>
          <w:p w14:paraId="72B75BB2" w14:textId="09E1D67D" w:rsidR="00F00A6F" w:rsidRPr="00EE7D23" w:rsidRDefault="00F00A6F" w:rsidP="007176DE">
            <w:pPr>
              <w:jc w:val="left"/>
              <w:rPr>
                <w:lang w:eastAsia="en-US"/>
              </w:rPr>
            </w:pPr>
            <w:r w:rsidRPr="00EE7D23">
              <w:rPr>
                <w:lang w:eastAsia="en-US"/>
              </w:rPr>
              <w:t>25</w:t>
            </w:r>
            <w:r w:rsidR="00662F5D">
              <w:rPr>
                <w:lang w:eastAsia="en-US"/>
              </w:rPr>
              <w:t xml:space="preserve"> </w:t>
            </w:r>
            <w:r w:rsidRPr="00EE7D23">
              <w:rPr>
                <w:lang w:eastAsia="en-US"/>
              </w:rPr>
              <w:t>%</w:t>
            </w:r>
          </w:p>
          <w:p w14:paraId="7F45B62B" w14:textId="77777777" w:rsidR="00F00A6F" w:rsidRPr="00EE7D23" w:rsidRDefault="00F00A6F" w:rsidP="007176DE">
            <w:pPr>
              <w:jc w:val="left"/>
              <w:rPr>
                <w:lang w:eastAsia="en-US"/>
              </w:rPr>
            </w:pPr>
          </w:p>
        </w:tc>
      </w:tr>
      <w:tr w:rsidR="00F00A6F" w:rsidRPr="003445F5" w14:paraId="7D4A0525" w14:textId="77777777" w:rsidTr="007176DE">
        <w:trPr>
          <w:trHeight w:val="20"/>
        </w:trPr>
        <w:tc>
          <w:tcPr>
            <w:tcW w:w="357" w:type="pct"/>
            <w:vMerge w:val="restart"/>
            <w:vAlign w:val="top"/>
          </w:tcPr>
          <w:p w14:paraId="03056470" w14:textId="77777777" w:rsidR="00F00A6F" w:rsidRPr="00EE7D23" w:rsidRDefault="00F00A6F" w:rsidP="007176DE">
            <w:pPr>
              <w:jc w:val="left"/>
              <w:rPr>
                <w:lang w:eastAsia="en-US"/>
              </w:rPr>
            </w:pPr>
            <w:r>
              <w:rPr>
                <w:lang w:eastAsia="en-US"/>
              </w:rPr>
              <w:t>15.</w:t>
            </w:r>
          </w:p>
        </w:tc>
        <w:tc>
          <w:tcPr>
            <w:tcW w:w="1548" w:type="pct"/>
            <w:vMerge w:val="restart"/>
            <w:vAlign w:val="top"/>
            <w:hideMark/>
          </w:tcPr>
          <w:p w14:paraId="00EAD14B" w14:textId="25DB0899" w:rsidR="00F00A6F" w:rsidRPr="00EE7D23" w:rsidRDefault="00F00A6F" w:rsidP="007176DE">
            <w:pPr>
              <w:jc w:val="left"/>
              <w:rPr>
                <w:lang w:eastAsia="en-US"/>
              </w:rPr>
            </w:pPr>
            <w:r w:rsidRPr="00EE7D23">
              <w:rPr>
                <w:lang w:eastAsia="en-US"/>
              </w:rPr>
              <w:t>Hodnocení nabídek</w:t>
            </w:r>
            <w:r w:rsidR="00A9639A">
              <w:rPr>
                <w:lang w:eastAsia="en-US"/>
              </w:rPr>
              <w:t xml:space="preserve"> v </w:t>
            </w:r>
            <w:r w:rsidRPr="00EE7D23">
              <w:rPr>
                <w:lang w:eastAsia="en-US"/>
              </w:rPr>
              <w:t xml:space="preserve">rozporu se zadávacími podmínkami </w:t>
            </w:r>
          </w:p>
          <w:p w14:paraId="4B6BCAFE" w14:textId="77777777" w:rsidR="00F00A6F" w:rsidRPr="00EE7D23" w:rsidRDefault="00F00A6F" w:rsidP="007176DE">
            <w:pPr>
              <w:jc w:val="left"/>
              <w:rPr>
                <w:lang w:eastAsia="en-US"/>
              </w:rPr>
            </w:pPr>
            <w:r w:rsidRPr="00EE7D23">
              <w:rPr>
                <w:lang w:eastAsia="en-US"/>
              </w:rPr>
              <w:t>nebo hodnocení nabídek dle dodatečně stanovených kritérií, která nebyla uveřejněna.</w:t>
            </w:r>
          </w:p>
        </w:tc>
        <w:tc>
          <w:tcPr>
            <w:tcW w:w="1548" w:type="pct"/>
            <w:vMerge w:val="restart"/>
            <w:vAlign w:val="top"/>
            <w:hideMark/>
          </w:tcPr>
          <w:p w14:paraId="01574B36" w14:textId="77777777" w:rsidR="00F00A6F" w:rsidRPr="00EE7D23" w:rsidRDefault="00F00A6F" w:rsidP="007176DE">
            <w:pPr>
              <w:jc w:val="left"/>
              <w:rPr>
                <w:lang w:eastAsia="en-US"/>
              </w:rPr>
            </w:pPr>
            <w:r w:rsidRPr="00EE7D23">
              <w:rPr>
                <w:lang w:eastAsia="en-US"/>
              </w:rPr>
              <w:t>Kritéria, která zadavatel stanovil pro hodnocení nabídek, nebyla dodržena či bylo užito dalších hodnotících kritérií, která nebyla uveřejněna.</w:t>
            </w:r>
          </w:p>
        </w:tc>
        <w:tc>
          <w:tcPr>
            <w:tcW w:w="1547" w:type="pct"/>
            <w:vAlign w:val="top"/>
            <w:hideMark/>
          </w:tcPr>
          <w:p w14:paraId="0CED0E4B" w14:textId="37EE29D1" w:rsidR="00F00A6F" w:rsidRPr="00EE7D23" w:rsidRDefault="00F00A6F" w:rsidP="007176DE">
            <w:pPr>
              <w:jc w:val="left"/>
              <w:rPr>
                <w:lang w:eastAsia="en-US"/>
              </w:rPr>
            </w:pPr>
            <w:r w:rsidRPr="00EE7D23">
              <w:rPr>
                <w:lang w:eastAsia="en-US"/>
              </w:rPr>
              <w:t>10</w:t>
            </w:r>
            <w:r w:rsidR="00662F5D">
              <w:rPr>
                <w:lang w:eastAsia="en-US"/>
              </w:rPr>
              <w:t> </w:t>
            </w:r>
            <w:r w:rsidRPr="00EE7D23">
              <w:rPr>
                <w:lang w:eastAsia="en-US"/>
              </w:rPr>
              <w:t xml:space="preserve">% </w:t>
            </w:r>
          </w:p>
        </w:tc>
      </w:tr>
      <w:tr w:rsidR="00F00A6F" w:rsidRPr="003445F5" w14:paraId="109228B0" w14:textId="77777777" w:rsidTr="007176DE">
        <w:trPr>
          <w:trHeight w:val="337"/>
        </w:trPr>
        <w:tc>
          <w:tcPr>
            <w:tcW w:w="0" w:type="auto"/>
            <w:vMerge/>
            <w:vAlign w:val="top"/>
            <w:hideMark/>
          </w:tcPr>
          <w:p w14:paraId="1BB46719" w14:textId="77777777" w:rsidR="00F00A6F" w:rsidRPr="00110D17" w:rsidRDefault="00F00A6F" w:rsidP="007176DE">
            <w:pPr>
              <w:jc w:val="left"/>
              <w:rPr>
                <w:lang w:eastAsia="en-US"/>
              </w:rPr>
            </w:pPr>
          </w:p>
        </w:tc>
        <w:tc>
          <w:tcPr>
            <w:tcW w:w="0" w:type="auto"/>
            <w:vMerge/>
            <w:vAlign w:val="top"/>
            <w:hideMark/>
          </w:tcPr>
          <w:p w14:paraId="72E3F5AF" w14:textId="77777777" w:rsidR="00F00A6F" w:rsidRPr="00110D17" w:rsidRDefault="00F00A6F" w:rsidP="007176DE">
            <w:pPr>
              <w:jc w:val="left"/>
              <w:rPr>
                <w:lang w:eastAsia="en-US"/>
              </w:rPr>
            </w:pPr>
          </w:p>
        </w:tc>
        <w:tc>
          <w:tcPr>
            <w:tcW w:w="0" w:type="auto"/>
            <w:vMerge/>
            <w:vAlign w:val="top"/>
            <w:hideMark/>
          </w:tcPr>
          <w:p w14:paraId="2E551EFB" w14:textId="77777777" w:rsidR="00F00A6F" w:rsidRPr="00110D17" w:rsidRDefault="00F00A6F" w:rsidP="007176DE">
            <w:pPr>
              <w:jc w:val="left"/>
              <w:rPr>
                <w:lang w:eastAsia="en-US"/>
              </w:rPr>
            </w:pPr>
          </w:p>
        </w:tc>
        <w:tc>
          <w:tcPr>
            <w:tcW w:w="1547" w:type="pct"/>
            <w:vAlign w:val="top"/>
            <w:hideMark/>
          </w:tcPr>
          <w:p w14:paraId="129245F3" w14:textId="46C6F770" w:rsidR="00F00A6F" w:rsidRPr="00110D17" w:rsidRDefault="00F00A6F" w:rsidP="007176DE">
            <w:pPr>
              <w:jc w:val="left"/>
              <w:rPr>
                <w:lang w:eastAsia="en-US"/>
              </w:rPr>
            </w:pPr>
            <w:r w:rsidRPr="00110D17">
              <w:rPr>
                <w:lang w:eastAsia="en-US"/>
              </w:rPr>
              <w:t>25</w:t>
            </w:r>
            <w:r w:rsidR="00662F5D">
              <w:rPr>
                <w:lang w:eastAsia="en-US"/>
              </w:rPr>
              <w:t> </w:t>
            </w:r>
            <w:r w:rsidRPr="00110D17">
              <w:rPr>
                <w:lang w:eastAsia="en-US"/>
              </w:rPr>
              <w:t>%, pokud došlo</w:t>
            </w:r>
            <w:r w:rsidR="00A9639A">
              <w:rPr>
                <w:lang w:eastAsia="en-US"/>
              </w:rPr>
              <w:t xml:space="preserve"> k </w:t>
            </w:r>
            <w:r w:rsidRPr="00110D17">
              <w:rPr>
                <w:lang w:eastAsia="en-US"/>
              </w:rPr>
              <w:t>diskriminaci účastníků na základě národních, regionálních či lokálních preferencí.</w:t>
            </w:r>
          </w:p>
        </w:tc>
      </w:tr>
      <w:tr w:rsidR="00F00A6F" w:rsidRPr="003445F5" w14:paraId="6ED9CE42" w14:textId="77777777" w:rsidTr="007176DE">
        <w:trPr>
          <w:trHeight w:val="632"/>
        </w:trPr>
        <w:tc>
          <w:tcPr>
            <w:tcW w:w="357" w:type="pct"/>
            <w:vMerge w:val="restart"/>
            <w:vAlign w:val="top"/>
          </w:tcPr>
          <w:p w14:paraId="522F9E42" w14:textId="77777777" w:rsidR="00F00A6F" w:rsidRPr="00EE7D23" w:rsidRDefault="00F00A6F" w:rsidP="007176DE">
            <w:pPr>
              <w:jc w:val="left"/>
              <w:rPr>
                <w:lang w:eastAsia="en-US"/>
              </w:rPr>
            </w:pPr>
            <w:r>
              <w:rPr>
                <w:lang w:eastAsia="en-US"/>
              </w:rPr>
              <w:t>16.</w:t>
            </w:r>
          </w:p>
        </w:tc>
        <w:tc>
          <w:tcPr>
            <w:tcW w:w="1548" w:type="pct"/>
            <w:vMerge w:val="restart"/>
            <w:vAlign w:val="top"/>
            <w:hideMark/>
          </w:tcPr>
          <w:p w14:paraId="07D73E45" w14:textId="77777777" w:rsidR="00F00A6F" w:rsidRPr="00EE7D23" w:rsidRDefault="00F00A6F" w:rsidP="007176DE">
            <w:pPr>
              <w:jc w:val="left"/>
              <w:rPr>
                <w:lang w:eastAsia="en-US"/>
              </w:rPr>
            </w:pPr>
            <w:r w:rsidRPr="00EE7D23">
              <w:rPr>
                <w:lang w:eastAsia="en-US"/>
              </w:rPr>
              <w:t>Nedostatečná auditní stopa související se zadáním veřejné zakázky.</w:t>
            </w:r>
          </w:p>
        </w:tc>
        <w:tc>
          <w:tcPr>
            <w:tcW w:w="1548" w:type="pct"/>
            <w:vAlign w:val="top"/>
            <w:hideMark/>
          </w:tcPr>
          <w:p w14:paraId="677C8CF2" w14:textId="061F58A9" w:rsidR="00F00A6F" w:rsidRPr="00EE7D23" w:rsidRDefault="00F00A6F" w:rsidP="007176DE">
            <w:pPr>
              <w:jc w:val="left"/>
              <w:rPr>
                <w:lang w:eastAsia="en-US"/>
              </w:rPr>
            </w:pPr>
            <w:r w:rsidRPr="00EE7D23">
              <w:rPr>
                <w:lang w:eastAsia="en-US"/>
              </w:rPr>
              <w:t>V dokumentaci</w:t>
            </w:r>
            <w:r w:rsidR="00A9639A">
              <w:rPr>
                <w:lang w:eastAsia="en-US"/>
              </w:rPr>
              <w:t xml:space="preserve"> k </w:t>
            </w:r>
            <w:r w:rsidRPr="00EE7D23">
              <w:rPr>
                <w:lang w:eastAsia="en-US"/>
              </w:rPr>
              <w:t>zakázce není dostatečně zaznamenán a odůvodněn způsob/postup hodnocení nabídek/výběr nejvhodnější nabídky, což vede</w:t>
            </w:r>
            <w:r w:rsidR="00A9639A">
              <w:rPr>
                <w:lang w:eastAsia="en-US"/>
              </w:rPr>
              <w:t xml:space="preserve"> k </w:t>
            </w:r>
            <w:r w:rsidRPr="00EE7D23">
              <w:rPr>
                <w:lang w:eastAsia="en-US"/>
              </w:rPr>
              <w:t>nedostatečné transparentnosti zadání zakázky.</w:t>
            </w:r>
          </w:p>
        </w:tc>
        <w:tc>
          <w:tcPr>
            <w:tcW w:w="1547" w:type="pct"/>
            <w:vAlign w:val="top"/>
            <w:hideMark/>
          </w:tcPr>
          <w:p w14:paraId="3037FC60" w14:textId="5A0F6C96" w:rsidR="00F00A6F" w:rsidRPr="00EE7D23" w:rsidRDefault="00F00A6F" w:rsidP="007176DE">
            <w:pPr>
              <w:jc w:val="left"/>
              <w:rPr>
                <w:lang w:eastAsia="en-US"/>
              </w:rPr>
            </w:pPr>
            <w:r w:rsidRPr="00EE7D23">
              <w:rPr>
                <w:lang w:eastAsia="en-US"/>
              </w:rPr>
              <w:t>25</w:t>
            </w:r>
            <w:r w:rsidR="00662F5D">
              <w:rPr>
                <w:lang w:eastAsia="en-US"/>
              </w:rPr>
              <w:t> </w:t>
            </w:r>
            <w:r w:rsidRPr="00EE7D23">
              <w:rPr>
                <w:lang w:eastAsia="en-US"/>
              </w:rPr>
              <w:t>%</w:t>
            </w:r>
          </w:p>
        </w:tc>
      </w:tr>
      <w:tr w:rsidR="00F00A6F" w:rsidRPr="003445F5" w14:paraId="3D528180" w14:textId="77777777" w:rsidTr="007176DE">
        <w:trPr>
          <w:trHeight w:val="895"/>
        </w:trPr>
        <w:tc>
          <w:tcPr>
            <w:tcW w:w="0" w:type="auto"/>
            <w:vMerge/>
            <w:vAlign w:val="top"/>
            <w:hideMark/>
          </w:tcPr>
          <w:p w14:paraId="34CA9C95" w14:textId="77777777" w:rsidR="00F00A6F" w:rsidRPr="00110D17" w:rsidRDefault="00F00A6F" w:rsidP="007176DE">
            <w:pPr>
              <w:jc w:val="left"/>
              <w:rPr>
                <w:lang w:eastAsia="en-US"/>
              </w:rPr>
            </w:pPr>
          </w:p>
        </w:tc>
        <w:tc>
          <w:tcPr>
            <w:tcW w:w="0" w:type="auto"/>
            <w:vMerge/>
            <w:vAlign w:val="top"/>
            <w:hideMark/>
          </w:tcPr>
          <w:p w14:paraId="5BE5DB77" w14:textId="77777777" w:rsidR="00F00A6F" w:rsidRPr="00110D17" w:rsidRDefault="00F00A6F" w:rsidP="007176DE">
            <w:pPr>
              <w:jc w:val="left"/>
              <w:rPr>
                <w:lang w:eastAsia="en-US"/>
              </w:rPr>
            </w:pPr>
          </w:p>
        </w:tc>
        <w:tc>
          <w:tcPr>
            <w:tcW w:w="1548" w:type="pct"/>
            <w:vAlign w:val="top"/>
            <w:hideMark/>
          </w:tcPr>
          <w:p w14:paraId="1C214E2E" w14:textId="77777777" w:rsidR="00F00A6F" w:rsidRPr="00110D17" w:rsidRDefault="00F00A6F" w:rsidP="007176DE">
            <w:pPr>
              <w:jc w:val="left"/>
              <w:rPr>
                <w:lang w:eastAsia="en-US"/>
              </w:rPr>
            </w:pPr>
            <w:r w:rsidRPr="00110D17">
              <w:rPr>
                <w:lang w:eastAsia="en-US"/>
              </w:rPr>
              <w:t xml:space="preserve">Odmítnutí zpřístupnění či poskytnutí relevantní dokumentace. </w:t>
            </w:r>
          </w:p>
        </w:tc>
        <w:tc>
          <w:tcPr>
            <w:tcW w:w="1547" w:type="pct"/>
            <w:vAlign w:val="top"/>
            <w:hideMark/>
          </w:tcPr>
          <w:p w14:paraId="44C10E68" w14:textId="1CC59BB9" w:rsidR="00F00A6F" w:rsidRPr="00110D17" w:rsidRDefault="00F00A6F" w:rsidP="007176DE">
            <w:pPr>
              <w:jc w:val="left"/>
              <w:rPr>
                <w:lang w:eastAsia="en-US"/>
              </w:rPr>
            </w:pPr>
            <w:r w:rsidRPr="00110D17">
              <w:rPr>
                <w:lang w:eastAsia="en-US"/>
              </w:rPr>
              <w:t>100</w:t>
            </w:r>
            <w:r w:rsidR="00662F5D">
              <w:rPr>
                <w:lang w:eastAsia="en-US"/>
              </w:rPr>
              <w:t> </w:t>
            </w:r>
            <w:r w:rsidRPr="00110D17">
              <w:rPr>
                <w:lang w:eastAsia="en-US"/>
              </w:rPr>
              <w:t>%</w:t>
            </w:r>
          </w:p>
        </w:tc>
      </w:tr>
      <w:tr w:rsidR="00F00A6F" w:rsidRPr="003445F5" w14:paraId="6398FC47" w14:textId="77777777" w:rsidTr="007176DE">
        <w:trPr>
          <w:trHeight w:val="2595"/>
        </w:trPr>
        <w:tc>
          <w:tcPr>
            <w:tcW w:w="357" w:type="pct"/>
            <w:vAlign w:val="top"/>
          </w:tcPr>
          <w:p w14:paraId="213EDD8C" w14:textId="77777777" w:rsidR="00F00A6F" w:rsidRPr="00EE7D23" w:rsidRDefault="00F00A6F" w:rsidP="007176DE">
            <w:pPr>
              <w:jc w:val="left"/>
              <w:rPr>
                <w:lang w:eastAsia="en-US"/>
              </w:rPr>
            </w:pPr>
            <w:r>
              <w:rPr>
                <w:lang w:eastAsia="en-US"/>
              </w:rPr>
              <w:lastRenderedPageBreak/>
              <w:t>17.</w:t>
            </w:r>
          </w:p>
        </w:tc>
        <w:tc>
          <w:tcPr>
            <w:tcW w:w="1548" w:type="pct"/>
            <w:vAlign w:val="top"/>
            <w:hideMark/>
          </w:tcPr>
          <w:p w14:paraId="03C619BB" w14:textId="275D4F66" w:rsidR="00F00A6F" w:rsidRPr="00EE7D23" w:rsidRDefault="00F00A6F" w:rsidP="007176DE">
            <w:pPr>
              <w:jc w:val="left"/>
              <w:rPr>
                <w:lang w:eastAsia="en-US"/>
              </w:rPr>
            </w:pPr>
            <w:r w:rsidRPr="00EE7D23">
              <w:rPr>
                <w:lang w:eastAsia="en-US"/>
              </w:rPr>
              <w:t>Jednání</w:t>
            </w:r>
            <w:r w:rsidR="00A9639A">
              <w:rPr>
                <w:lang w:eastAsia="en-US"/>
              </w:rPr>
              <w:t xml:space="preserve"> s </w:t>
            </w:r>
            <w:r w:rsidRPr="00EE7D23">
              <w:rPr>
                <w:lang w:eastAsia="en-US"/>
              </w:rPr>
              <w:t>účastníky během řízení včetně změny vítězné nabídky</w:t>
            </w:r>
            <w:r w:rsidR="00A9639A">
              <w:rPr>
                <w:lang w:eastAsia="en-US"/>
              </w:rPr>
              <w:t xml:space="preserve"> v </w:t>
            </w:r>
            <w:r w:rsidRPr="00EE7D23">
              <w:rPr>
                <w:lang w:eastAsia="en-US"/>
              </w:rPr>
              <w:t>průběhu hodnocení.</w:t>
            </w:r>
          </w:p>
        </w:tc>
        <w:tc>
          <w:tcPr>
            <w:tcW w:w="1548" w:type="pct"/>
            <w:vAlign w:val="top"/>
            <w:hideMark/>
          </w:tcPr>
          <w:p w14:paraId="61D5D48D" w14:textId="35F27425" w:rsidR="00F00A6F" w:rsidRPr="00EE7D23" w:rsidRDefault="00F00A6F" w:rsidP="007176DE">
            <w:pPr>
              <w:jc w:val="left"/>
              <w:rPr>
                <w:lang w:eastAsia="en-US"/>
              </w:rPr>
            </w:pPr>
            <w:r w:rsidRPr="00EE7D23">
              <w:rPr>
                <w:lang w:eastAsia="en-US"/>
              </w:rPr>
              <w:t>Zadavatel umožnil účastníkovi změnu nabídky</w:t>
            </w:r>
            <w:r w:rsidR="00A9639A">
              <w:rPr>
                <w:lang w:eastAsia="en-US"/>
              </w:rPr>
              <w:t xml:space="preserve"> v </w:t>
            </w:r>
            <w:r w:rsidRPr="00EE7D23">
              <w:rPr>
                <w:lang w:eastAsia="en-US"/>
              </w:rPr>
              <w:t>průběhu hodnocení nabídek, čímž došlo</w:t>
            </w:r>
            <w:r w:rsidR="00A9639A">
              <w:rPr>
                <w:lang w:eastAsia="en-US"/>
              </w:rPr>
              <w:t xml:space="preserve"> k </w:t>
            </w:r>
            <w:r w:rsidRPr="00EE7D23">
              <w:rPr>
                <w:lang w:eastAsia="en-US"/>
              </w:rPr>
              <w:t xml:space="preserve">výběru tohoto účastníka, </w:t>
            </w:r>
          </w:p>
          <w:p w14:paraId="63481936" w14:textId="0FDA0275" w:rsidR="00F00A6F" w:rsidRPr="00EE7D23" w:rsidRDefault="00F00A6F" w:rsidP="007176DE">
            <w:pPr>
              <w:jc w:val="left"/>
              <w:rPr>
                <w:lang w:eastAsia="en-US"/>
              </w:rPr>
            </w:pPr>
            <w:r w:rsidRPr="00EE7D23">
              <w:rPr>
                <w:lang w:eastAsia="en-US"/>
              </w:rPr>
              <w:t>nebo zadavatel</w:t>
            </w:r>
            <w:r w:rsidR="00A9639A">
              <w:rPr>
                <w:lang w:eastAsia="en-US"/>
              </w:rPr>
              <w:t xml:space="preserve"> v </w:t>
            </w:r>
            <w:r w:rsidRPr="00EE7D23">
              <w:rPr>
                <w:lang w:eastAsia="en-US"/>
              </w:rPr>
              <w:t>rozporu se ZZVZ nebo Pravidly pro žadatele a příjemce OPD2021</w:t>
            </w:r>
            <w:r>
              <w:rPr>
                <w:lang w:eastAsia="en-US"/>
              </w:rPr>
              <w:t>+</w:t>
            </w:r>
            <w:r w:rsidRPr="00EE7D23">
              <w:rPr>
                <w:lang w:eastAsia="en-US"/>
              </w:rPr>
              <w:t xml:space="preserve"> jednal</w:t>
            </w:r>
            <w:r w:rsidR="00A9639A">
              <w:rPr>
                <w:lang w:eastAsia="en-US"/>
              </w:rPr>
              <w:t xml:space="preserve"> v </w:t>
            </w:r>
            <w:r w:rsidRPr="00EE7D23">
              <w:rPr>
                <w:lang w:eastAsia="en-US"/>
              </w:rPr>
              <w:t>průběhu hodnocení nabídek</w:t>
            </w:r>
            <w:r w:rsidR="00A9639A">
              <w:rPr>
                <w:lang w:eastAsia="en-US"/>
              </w:rPr>
              <w:t xml:space="preserve"> s </w:t>
            </w:r>
            <w:r w:rsidRPr="00EE7D23">
              <w:rPr>
                <w:lang w:eastAsia="en-US"/>
              </w:rPr>
              <w:t>účastníky řízení, což vedlo</w:t>
            </w:r>
            <w:r w:rsidR="00A9639A">
              <w:rPr>
                <w:lang w:eastAsia="en-US"/>
              </w:rPr>
              <w:t xml:space="preserve"> k </w:t>
            </w:r>
            <w:r w:rsidRPr="00EE7D23">
              <w:rPr>
                <w:lang w:eastAsia="en-US"/>
              </w:rPr>
              <w:t>podstatné změně zadávacích podmínek, příp. samotné nabídky (netýká se druhů řízení, u nichž je tento postup ZZVZ/Pravidly pro žadatele a příjemce OPD2021</w:t>
            </w:r>
            <w:r>
              <w:rPr>
                <w:lang w:eastAsia="en-US"/>
              </w:rPr>
              <w:t>+</w:t>
            </w:r>
            <w:r w:rsidRPr="00EE7D23">
              <w:rPr>
                <w:lang w:eastAsia="en-US"/>
              </w:rPr>
              <w:t xml:space="preserve"> dovolen a/nebo případů, kde je umožněno provést předložení doplnění, nebo objasnění údajů).</w:t>
            </w:r>
          </w:p>
        </w:tc>
        <w:tc>
          <w:tcPr>
            <w:tcW w:w="1547" w:type="pct"/>
            <w:vAlign w:val="top"/>
            <w:hideMark/>
          </w:tcPr>
          <w:p w14:paraId="5FFC0D59" w14:textId="262A1415" w:rsidR="00F00A6F" w:rsidRPr="00EE7D23" w:rsidRDefault="00F00A6F" w:rsidP="007176DE">
            <w:pPr>
              <w:jc w:val="left"/>
              <w:rPr>
                <w:lang w:eastAsia="en-US"/>
              </w:rPr>
            </w:pPr>
            <w:r w:rsidRPr="00EE7D23">
              <w:rPr>
                <w:lang w:eastAsia="en-US"/>
              </w:rPr>
              <w:t>25</w:t>
            </w:r>
            <w:r w:rsidR="00662F5D">
              <w:rPr>
                <w:lang w:eastAsia="en-US"/>
              </w:rPr>
              <w:t> </w:t>
            </w:r>
            <w:r w:rsidRPr="00EE7D23">
              <w:rPr>
                <w:lang w:eastAsia="en-US"/>
              </w:rPr>
              <w:t>%</w:t>
            </w:r>
          </w:p>
        </w:tc>
      </w:tr>
      <w:tr w:rsidR="00F00A6F" w:rsidRPr="003445F5" w14:paraId="22ECC7E2" w14:textId="77777777" w:rsidTr="007176DE">
        <w:trPr>
          <w:trHeight w:val="2595"/>
        </w:trPr>
        <w:tc>
          <w:tcPr>
            <w:tcW w:w="357" w:type="pct"/>
            <w:vAlign w:val="top"/>
          </w:tcPr>
          <w:p w14:paraId="7F130DAD" w14:textId="77777777" w:rsidR="00F00A6F" w:rsidRPr="00EE7D23" w:rsidRDefault="00F00A6F" w:rsidP="007176DE">
            <w:pPr>
              <w:jc w:val="left"/>
              <w:rPr>
                <w:lang w:eastAsia="en-US"/>
              </w:rPr>
            </w:pPr>
            <w:r>
              <w:rPr>
                <w:lang w:eastAsia="en-US"/>
              </w:rPr>
              <w:t>18.</w:t>
            </w:r>
          </w:p>
        </w:tc>
        <w:tc>
          <w:tcPr>
            <w:tcW w:w="1548" w:type="pct"/>
            <w:vAlign w:val="top"/>
            <w:hideMark/>
          </w:tcPr>
          <w:p w14:paraId="1900968B" w14:textId="77777777" w:rsidR="00F00A6F" w:rsidRPr="00EE7D23" w:rsidRDefault="00F00A6F" w:rsidP="007176DE">
            <w:pPr>
              <w:jc w:val="left"/>
              <w:rPr>
                <w:lang w:eastAsia="en-US"/>
              </w:rPr>
            </w:pPr>
            <w:r w:rsidRPr="00EE7D23">
              <w:rPr>
                <w:lang w:eastAsia="en-US"/>
              </w:rPr>
              <w:t>Neoprávněné předchozí zapojení dodavatelů do přípravy výběrového/zadávacího řízení či obdobná forma spolupráce se zadavatelem při přípravě výběrového/zadávacího řízení</w:t>
            </w:r>
          </w:p>
        </w:tc>
        <w:tc>
          <w:tcPr>
            <w:tcW w:w="1548" w:type="pct"/>
            <w:vAlign w:val="top"/>
            <w:hideMark/>
          </w:tcPr>
          <w:p w14:paraId="469C0D2A" w14:textId="551CB549" w:rsidR="00F00A6F" w:rsidRPr="00EE7D23" w:rsidRDefault="00F00A6F" w:rsidP="007176DE">
            <w:pPr>
              <w:jc w:val="left"/>
              <w:rPr>
                <w:lang w:eastAsia="en-US"/>
              </w:rPr>
            </w:pPr>
            <w:r w:rsidRPr="00EE7D23">
              <w:rPr>
                <w:lang w:eastAsia="en-US"/>
              </w:rPr>
              <w:t>V případech, kdy takovéto zapojení dodavatele do přípravy výběrového/zadávacího řízení má za následek porušení zásad zákazu diskriminace, transparentnosti, rovného zacházení či vedlo</w:t>
            </w:r>
            <w:r w:rsidR="00A9639A">
              <w:rPr>
                <w:lang w:eastAsia="en-US"/>
              </w:rPr>
              <w:t xml:space="preserve"> k </w:t>
            </w:r>
            <w:r w:rsidRPr="00EE7D23">
              <w:rPr>
                <w:lang w:eastAsia="en-US"/>
              </w:rPr>
              <w:t>narušení hospodářské soutěže.</w:t>
            </w:r>
          </w:p>
        </w:tc>
        <w:tc>
          <w:tcPr>
            <w:tcW w:w="1547" w:type="pct"/>
            <w:vAlign w:val="top"/>
            <w:hideMark/>
          </w:tcPr>
          <w:p w14:paraId="6BB1E6B6" w14:textId="4CDE4806" w:rsidR="00F00A6F" w:rsidRPr="00EE7D23" w:rsidRDefault="00F00A6F" w:rsidP="007176DE">
            <w:pPr>
              <w:jc w:val="left"/>
              <w:rPr>
                <w:lang w:eastAsia="en-US"/>
              </w:rPr>
            </w:pPr>
            <w:r w:rsidRPr="00EE7D23">
              <w:rPr>
                <w:lang w:eastAsia="en-US"/>
              </w:rPr>
              <w:t>25</w:t>
            </w:r>
            <w:r w:rsidR="00662F5D">
              <w:rPr>
                <w:lang w:eastAsia="en-US"/>
              </w:rPr>
              <w:t> </w:t>
            </w:r>
            <w:r w:rsidRPr="00EE7D23">
              <w:rPr>
                <w:lang w:eastAsia="en-US"/>
              </w:rPr>
              <w:t>%</w:t>
            </w:r>
          </w:p>
        </w:tc>
      </w:tr>
      <w:tr w:rsidR="00F00A6F" w:rsidRPr="003445F5" w14:paraId="549631D1" w14:textId="77777777" w:rsidTr="007176DE">
        <w:trPr>
          <w:trHeight w:val="2475"/>
        </w:trPr>
        <w:tc>
          <w:tcPr>
            <w:tcW w:w="357" w:type="pct"/>
            <w:vAlign w:val="top"/>
          </w:tcPr>
          <w:p w14:paraId="70BCF500" w14:textId="77777777" w:rsidR="00F00A6F" w:rsidRPr="00EE7D23" w:rsidRDefault="00F00A6F" w:rsidP="007176DE">
            <w:pPr>
              <w:jc w:val="left"/>
              <w:rPr>
                <w:lang w:eastAsia="en-US"/>
              </w:rPr>
            </w:pPr>
            <w:r>
              <w:rPr>
                <w:lang w:eastAsia="en-US"/>
              </w:rPr>
              <w:t>19.</w:t>
            </w:r>
          </w:p>
        </w:tc>
        <w:tc>
          <w:tcPr>
            <w:tcW w:w="1548" w:type="pct"/>
            <w:vAlign w:val="top"/>
            <w:hideMark/>
          </w:tcPr>
          <w:p w14:paraId="1C100148" w14:textId="0DC5F8FD" w:rsidR="00F00A6F" w:rsidRPr="00EE7D23" w:rsidRDefault="00F00A6F" w:rsidP="007176DE">
            <w:pPr>
              <w:jc w:val="left"/>
              <w:rPr>
                <w:lang w:eastAsia="en-US"/>
              </w:rPr>
            </w:pPr>
            <w:r w:rsidRPr="00EE7D23">
              <w:rPr>
                <w:lang w:eastAsia="en-US"/>
              </w:rPr>
              <w:t>Změna původních zadávacích podmínek</w:t>
            </w:r>
            <w:r w:rsidR="00A9639A">
              <w:rPr>
                <w:lang w:eastAsia="en-US"/>
              </w:rPr>
              <w:t xml:space="preserve"> v </w:t>
            </w:r>
            <w:r w:rsidRPr="00EE7D23">
              <w:rPr>
                <w:lang w:eastAsia="en-US"/>
              </w:rPr>
              <w:t>rámci jednacího řízení</w:t>
            </w:r>
            <w:r w:rsidR="00A9639A">
              <w:rPr>
                <w:lang w:eastAsia="en-US"/>
              </w:rPr>
              <w:t xml:space="preserve"> s </w:t>
            </w:r>
            <w:r w:rsidRPr="00EE7D23">
              <w:rPr>
                <w:lang w:eastAsia="en-US"/>
              </w:rPr>
              <w:t>uveřejněním vedoucí</w:t>
            </w:r>
            <w:r w:rsidR="00A9639A">
              <w:rPr>
                <w:lang w:eastAsia="en-US"/>
              </w:rPr>
              <w:t xml:space="preserve"> k </w:t>
            </w:r>
            <w:r w:rsidRPr="00EE7D23">
              <w:rPr>
                <w:lang w:eastAsia="en-US"/>
              </w:rPr>
              <w:t>podstatné změně zadávacích podmínek.</w:t>
            </w:r>
          </w:p>
        </w:tc>
        <w:tc>
          <w:tcPr>
            <w:tcW w:w="1548" w:type="pct"/>
            <w:vAlign w:val="top"/>
            <w:hideMark/>
          </w:tcPr>
          <w:p w14:paraId="2D0DD96F" w14:textId="0323084F" w:rsidR="00F00A6F" w:rsidRPr="00EE7D23" w:rsidRDefault="00F00A6F" w:rsidP="007176DE">
            <w:pPr>
              <w:jc w:val="left"/>
              <w:rPr>
                <w:lang w:eastAsia="en-US"/>
              </w:rPr>
            </w:pPr>
            <w:r w:rsidRPr="00EE7D23">
              <w:rPr>
                <w:lang w:eastAsia="en-US"/>
              </w:rPr>
              <w:t>V průběhu jednacího řízení</w:t>
            </w:r>
            <w:r w:rsidR="00A9639A">
              <w:rPr>
                <w:lang w:eastAsia="en-US"/>
              </w:rPr>
              <w:t xml:space="preserve"> s </w:t>
            </w:r>
            <w:r w:rsidRPr="00EE7D23">
              <w:rPr>
                <w:lang w:eastAsia="en-US"/>
              </w:rPr>
              <w:t>uveřejněním došlo</w:t>
            </w:r>
            <w:r w:rsidR="00A9639A">
              <w:rPr>
                <w:lang w:eastAsia="en-US"/>
              </w:rPr>
              <w:t xml:space="preserve"> k </w:t>
            </w:r>
            <w:r w:rsidRPr="00EE7D23">
              <w:rPr>
                <w:lang w:eastAsia="en-US"/>
              </w:rPr>
              <w:t>podstatným změnám původních zadávacích podmínek, které by měly za následek povinnost nového uveřejnění řízení.</w:t>
            </w:r>
          </w:p>
        </w:tc>
        <w:tc>
          <w:tcPr>
            <w:tcW w:w="1547" w:type="pct"/>
            <w:vAlign w:val="top"/>
            <w:hideMark/>
          </w:tcPr>
          <w:p w14:paraId="075B4C99" w14:textId="067DEBB2" w:rsidR="00F00A6F" w:rsidRPr="00EE7D23" w:rsidRDefault="00F00A6F" w:rsidP="007176DE">
            <w:pPr>
              <w:jc w:val="left"/>
              <w:rPr>
                <w:lang w:eastAsia="en-US"/>
              </w:rPr>
            </w:pPr>
            <w:r w:rsidRPr="00EE7D23">
              <w:rPr>
                <w:lang w:eastAsia="en-US"/>
              </w:rPr>
              <w:t>25</w:t>
            </w:r>
            <w:r w:rsidR="00662F5D">
              <w:rPr>
                <w:lang w:eastAsia="en-US"/>
              </w:rPr>
              <w:t> </w:t>
            </w:r>
            <w:r w:rsidRPr="00EE7D23">
              <w:rPr>
                <w:lang w:eastAsia="en-US"/>
              </w:rPr>
              <w:t>%</w:t>
            </w:r>
          </w:p>
        </w:tc>
      </w:tr>
      <w:tr w:rsidR="00F00A6F" w:rsidRPr="003445F5" w14:paraId="0EC0776A" w14:textId="77777777" w:rsidTr="007176DE">
        <w:trPr>
          <w:trHeight w:val="4328"/>
        </w:trPr>
        <w:tc>
          <w:tcPr>
            <w:tcW w:w="357" w:type="pct"/>
            <w:vAlign w:val="top"/>
          </w:tcPr>
          <w:p w14:paraId="21020D86" w14:textId="77777777" w:rsidR="00F00A6F" w:rsidRPr="00EE7D23" w:rsidRDefault="00F00A6F" w:rsidP="007176DE">
            <w:pPr>
              <w:jc w:val="left"/>
              <w:rPr>
                <w:lang w:eastAsia="en-US"/>
              </w:rPr>
            </w:pPr>
            <w:r>
              <w:rPr>
                <w:lang w:eastAsia="en-US"/>
              </w:rPr>
              <w:lastRenderedPageBreak/>
              <w:t>20.</w:t>
            </w:r>
          </w:p>
        </w:tc>
        <w:tc>
          <w:tcPr>
            <w:tcW w:w="1548" w:type="pct"/>
            <w:vAlign w:val="top"/>
            <w:hideMark/>
          </w:tcPr>
          <w:p w14:paraId="66CD850D" w14:textId="2A92761C" w:rsidR="00F00A6F" w:rsidRPr="00EE7D23" w:rsidRDefault="00F00A6F" w:rsidP="007176DE">
            <w:pPr>
              <w:jc w:val="left"/>
              <w:rPr>
                <w:lang w:eastAsia="en-US"/>
              </w:rPr>
            </w:pPr>
            <w:r w:rsidRPr="00EE7D23">
              <w:rPr>
                <w:lang w:eastAsia="en-US"/>
              </w:rPr>
              <w:t>Neoprávněné vyloučení nabídky</w:t>
            </w:r>
            <w:r w:rsidR="00A9639A">
              <w:rPr>
                <w:lang w:eastAsia="en-US"/>
              </w:rPr>
              <w:t xml:space="preserve"> z </w:t>
            </w:r>
            <w:r w:rsidRPr="00EE7D23">
              <w:rPr>
                <w:lang w:eastAsia="en-US"/>
              </w:rPr>
              <w:t>důvodu mimořádně nízké nabídkové ceny.</w:t>
            </w:r>
          </w:p>
        </w:tc>
        <w:tc>
          <w:tcPr>
            <w:tcW w:w="1548" w:type="pct"/>
            <w:vAlign w:val="top"/>
            <w:hideMark/>
          </w:tcPr>
          <w:p w14:paraId="7576267A" w14:textId="20F0E745" w:rsidR="00F00A6F" w:rsidRPr="00EE7D23" w:rsidRDefault="00F00A6F" w:rsidP="007176DE">
            <w:pPr>
              <w:jc w:val="left"/>
              <w:rPr>
                <w:lang w:eastAsia="en-US"/>
              </w:rPr>
            </w:pPr>
            <w:r w:rsidRPr="00EE7D23">
              <w:rPr>
                <w:lang w:eastAsia="en-US"/>
              </w:rPr>
              <w:t>Zadavatel vyloučil nabídku</w:t>
            </w:r>
            <w:r w:rsidR="00A9639A">
              <w:rPr>
                <w:lang w:eastAsia="en-US"/>
              </w:rPr>
              <w:t xml:space="preserve"> z </w:t>
            </w:r>
            <w:r w:rsidRPr="00EE7D23">
              <w:rPr>
                <w:lang w:eastAsia="en-US"/>
              </w:rPr>
              <w:t>důvodu mimořádně nízké nabídkové ceny, aniž by požádal účastníka výběrového/zadávacího řízení</w:t>
            </w:r>
            <w:r w:rsidR="00A9639A">
              <w:rPr>
                <w:lang w:eastAsia="en-US"/>
              </w:rPr>
              <w:t xml:space="preserve"> o </w:t>
            </w:r>
            <w:r w:rsidRPr="00EE7D23">
              <w:rPr>
                <w:lang w:eastAsia="en-US"/>
              </w:rPr>
              <w:t xml:space="preserve">odpovídající zdůvodnění, </w:t>
            </w:r>
          </w:p>
          <w:p w14:paraId="50AEFF98" w14:textId="11532B64" w:rsidR="00F00A6F" w:rsidRPr="00EE7D23" w:rsidRDefault="00F00A6F" w:rsidP="007176DE">
            <w:pPr>
              <w:jc w:val="left"/>
              <w:rPr>
                <w:lang w:eastAsia="en-US"/>
              </w:rPr>
            </w:pPr>
            <w:r w:rsidRPr="00EE7D23">
              <w:rPr>
                <w:lang w:eastAsia="en-US"/>
              </w:rPr>
              <w:t>nebo</w:t>
            </w:r>
            <w:r w:rsidR="00A9639A">
              <w:rPr>
                <w:lang w:eastAsia="en-US"/>
              </w:rPr>
              <w:t xml:space="preserve"> v </w:t>
            </w:r>
            <w:r w:rsidRPr="00EE7D23">
              <w:rPr>
                <w:lang w:eastAsia="en-US"/>
              </w:rPr>
              <w:t>případě, kdy zadavatel účastníka ke zdůvodnění mimořádně nízké nabídkové ceny vyzval, nicméně není schopen prokázat, že odpovědi účastníků odpovídajícím způsobem posoudil.</w:t>
            </w:r>
          </w:p>
        </w:tc>
        <w:tc>
          <w:tcPr>
            <w:tcW w:w="1547" w:type="pct"/>
            <w:vAlign w:val="top"/>
            <w:hideMark/>
          </w:tcPr>
          <w:p w14:paraId="64904C00" w14:textId="77777777" w:rsidR="00F00A6F" w:rsidRPr="00EE7D23" w:rsidRDefault="00F00A6F" w:rsidP="007176DE">
            <w:pPr>
              <w:jc w:val="left"/>
              <w:rPr>
                <w:lang w:eastAsia="en-US"/>
              </w:rPr>
            </w:pPr>
            <w:r w:rsidRPr="00EE7D23">
              <w:rPr>
                <w:lang w:eastAsia="en-US"/>
              </w:rPr>
              <w:t>25 %</w:t>
            </w:r>
          </w:p>
        </w:tc>
      </w:tr>
      <w:tr w:rsidR="00F00A6F" w:rsidRPr="003445F5" w14:paraId="21C3FD90" w14:textId="77777777" w:rsidTr="007176DE">
        <w:tc>
          <w:tcPr>
            <w:tcW w:w="357" w:type="pct"/>
            <w:vAlign w:val="top"/>
          </w:tcPr>
          <w:p w14:paraId="08B1E811" w14:textId="77777777" w:rsidR="00F00A6F" w:rsidRPr="00EE7D23" w:rsidRDefault="00F00A6F" w:rsidP="007176DE">
            <w:pPr>
              <w:jc w:val="left"/>
              <w:rPr>
                <w:lang w:eastAsia="en-US"/>
              </w:rPr>
            </w:pPr>
            <w:r>
              <w:rPr>
                <w:lang w:eastAsia="en-US"/>
              </w:rPr>
              <w:t>21.</w:t>
            </w:r>
          </w:p>
        </w:tc>
        <w:tc>
          <w:tcPr>
            <w:tcW w:w="1548" w:type="pct"/>
            <w:vAlign w:val="top"/>
          </w:tcPr>
          <w:p w14:paraId="2C207D63" w14:textId="014507D5" w:rsidR="00F00A6F" w:rsidRPr="00EE7D23" w:rsidRDefault="00F00A6F" w:rsidP="007176DE">
            <w:pPr>
              <w:jc w:val="left"/>
              <w:rPr>
                <w:lang w:eastAsia="en-US"/>
              </w:rPr>
            </w:pPr>
            <w:r w:rsidRPr="00EE7D23">
              <w:rPr>
                <w:lang w:eastAsia="en-US"/>
              </w:rPr>
              <w:t>Střet zájmů</w:t>
            </w:r>
            <w:r w:rsidR="00A9639A">
              <w:rPr>
                <w:lang w:eastAsia="en-US"/>
              </w:rPr>
              <w:t xml:space="preserve"> s </w:t>
            </w:r>
            <w:r w:rsidRPr="00EE7D23">
              <w:rPr>
                <w:lang w:eastAsia="en-US"/>
              </w:rPr>
              <w:t>dopadem na výsledek zadávacího/výběrového řízení.</w:t>
            </w:r>
          </w:p>
          <w:p w14:paraId="7577150E" w14:textId="77777777" w:rsidR="00F00A6F" w:rsidRPr="00EE7D23" w:rsidRDefault="00F00A6F" w:rsidP="007176DE">
            <w:pPr>
              <w:jc w:val="left"/>
              <w:rPr>
                <w:lang w:eastAsia="en-US"/>
              </w:rPr>
            </w:pPr>
          </w:p>
        </w:tc>
        <w:tc>
          <w:tcPr>
            <w:tcW w:w="1548" w:type="pct"/>
            <w:vAlign w:val="top"/>
            <w:hideMark/>
          </w:tcPr>
          <w:p w14:paraId="746FAEF9" w14:textId="24997985" w:rsidR="00F00A6F" w:rsidRPr="00EE7D23" w:rsidRDefault="00F00A6F" w:rsidP="007176DE">
            <w:pPr>
              <w:jc w:val="left"/>
              <w:rPr>
                <w:lang w:eastAsia="en-US"/>
              </w:rPr>
            </w:pPr>
            <w:r w:rsidRPr="00EE7D23">
              <w:rPr>
                <w:lang w:eastAsia="en-US"/>
              </w:rPr>
              <w:t>V případě, kdy při zadání veřejné zakázky dojde ke střetu zájmů, přičemž dotčený účastník zvítězí</w:t>
            </w:r>
            <w:r w:rsidR="00A9639A">
              <w:rPr>
                <w:lang w:eastAsia="en-US"/>
              </w:rPr>
              <w:t xml:space="preserve"> v </w:t>
            </w:r>
            <w:r w:rsidRPr="00EE7D23">
              <w:rPr>
                <w:lang w:eastAsia="en-US"/>
              </w:rPr>
              <w:t>zadávacím/výběrovém řízení.</w:t>
            </w:r>
            <w:r w:rsidRPr="00EE7D23">
              <w:rPr>
                <w:rStyle w:val="Znakapoznpodarou"/>
                <w:rFonts w:eastAsiaTheme="majorEastAsia" w:cstheme="minorHAnsi"/>
                <w:szCs w:val="20"/>
                <w:lang w:eastAsia="en-US"/>
              </w:rPr>
              <w:footnoteReference w:id="15"/>
            </w:r>
          </w:p>
        </w:tc>
        <w:tc>
          <w:tcPr>
            <w:tcW w:w="1547" w:type="pct"/>
            <w:vAlign w:val="top"/>
            <w:hideMark/>
          </w:tcPr>
          <w:p w14:paraId="7B986E14" w14:textId="6DA105A2" w:rsidR="00F00A6F" w:rsidRPr="00EE7D23" w:rsidRDefault="00F00A6F" w:rsidP="007176DE">
            <w:pPr>
              <w:jc w:val="left"/>
              <w:rPr>
                <w:lang w:eastAsia="en-US"/>
              </w:rPr>
            </w:pPr>
            <w:r w:rsidRPr="00EE7D23">
              <w:rPr>
                <w:lang w:eastAsia="en-US"/>
              </w:rPr>
              <w:t>100</w:t>
            </w:r>
            <w:r w:rsidR="00662F5D">
              <w:rPr>
                <w:lang w:eastAsia="en-US"/>
              </w:rPr>
              <w:t> </w:t>
            </w:r>
            <w:r w:rsidRPr="00EE7D23">
              <w:rPr>
                <w:lang w:eastAsia="en-US"/>
              </w:rPr>
              <w:t>%</w:t>
            </w:r>
          </w:p>
        </w:tc>
      </w:tr>
      <w:tr w:rsidR="00F00A6F" w:rsidRPr="003445F5" w14:paraId="45EC3A25" w14:textId="77777777" w:rsidTr="007176DE">
        <w:trPr>
          <w:trHeight w:val="115"/>
        </w:trPr>
        <w:tc>
          <w:tcPr>
            <w:tcW w:w="357" w:type="pct"/>
            <w:vMerge w:val="restart"/>
            <w:vAlign w:val="top"/>
          </w:tcPr>
          <w:p w14:paraId="76E3405F" w14:textId="77777777" w:rsidR="00F00A6F" w:rsidRPr="00EE7D23" w:rsidRDefault="00F00A6F" w:rsidP="007176DE">
            <w:pPr>
              <w:jc w:val="left"/>
              <w:rPr>
                <w:lang w:eastAsia="en-US"/>
              </w:rPr>
            </w:pPr>
            <w:r>
              <w:rPr>
                <w:lang w:eastAsia="en-US"/>
              </w:rPr>
              <w:t>22.</w:t>
            </w:r>
          </w:p>
        </w:tc>
        <w:tc>
          <w:tcPr>
            <w:tcW w:w="1548" w:type="pct"/>
            <w:vMerge w:val="restart"/>
            <w:vAlign w:val="top"/>
            <w:hideMark/>
          </w:tcPr>
          <w:p w14:paraId="07296C29" w14:textId="77777777" w:rsidR="00F00A6F" w:rsidRPr="00EE7D23" w:rsidRDefault="00F00A6F" w:rsidP="007176DE">
            <w:pPr>
              <w:jc w:val="left"/>
              <w:rPr>
                <w:lang w:eastAsia="en-US"/>
              </w:rPr>
            </w:pPr>
            <w:proofErr w:type="spellStart"/>
            <w:r w:rsidRPr="00EE7D23">
              <w:rPr>
                <w:lang w:eastAsia="en-US"/>
              </w:rPr>
              <w:t>Bid-rigging</w:t>
            </w:r>
            <w:proofErr w:type="spellEnd"/>
            <w:r w:rsidRPr="00EE7D23">
              <w:rPr>
                <w:lang w:eastAsia="en-US"/>
              </w:rPr>
              <w:t xml:space="preserve"> (zakázaná spolupráce dodavatelů ve výběrovém/zadávacím řízení)</w:t>
            </w:r>
            <w:r w:rsidRPr="00EE7D23">
              <w:rPr>
                <w:rStyle w:val="Znakapoznpodarou"/>
                <w:rFonts w:eastAsiaTheme="majorEastAsia" w:cstheme="minorHAnsi"/>
                <w:szCs w:val="20"/>
                <w:lang w:eastAsia="en-US"/>
              </w:rPr>
              <w:footnoteReference w:id="16"/>
            </w:r>
            <w:r w:rsidRPr="00EE7D23">
              <w:rPr>
                <w:lang w:eastAsia="en-US"/>
              </w:rPr>
              <w:t>.</w:t>
            </w:r>
          </w:p>
        </w:tc>
        <w:tc>
          <w:tcPr>
            <w:tcW w:w="1548" w:type="pct"/>
            <w:vMerge w:val="restart"/>
            <w:vAlign w:val="top"/>
            <w:hideMark/>
          </w:tcPr>
          <w:p w14:paraId="5B2706E2" w14:textId="77777777" w:rsidR="00F00A6F" w:rsidRPr="00EE7D23" w:rsidRDefault="00F00A6F" w:rsidP="007176DE">
            <w:pPr>
              <w:jc w:val="left"/>
              <w:rPr>
                <w:lang w:eastAsia="en-US"/>
              </w:rPr>
            </w:pPr>
            <w:r w:rsidRPr="00EE7D23">
              <w:rPr>
                <w:lang w:eastAsia="en-US"/>
              </w:rPr>
              <w:t>V případě, že soud, Úřad pro ochranu hospodářské soutěže či jiný kompetentní úřad shledá, že při zadávání výběrového/zadávacího řízení došlo ke kartelové dohodě či jiné formě zakázané spolupráce mezi dodavateli.</w:t>
            </w:r>
          </w:p>
        </w:tc>
        <w:tc>
          <w:tcPr>
            <w:tcW w:w="1547" w:type="pct"/>
            <w:vAlign w:val="top"/>
            <w:hideMark/>
          </w:tcPr>
          <w:p w14:paraId="033FE977" w14:textId="71F24DF3" w:rsidR="00F00A6F" w:rsidRPr="00EE7D23" w:rsidRDefault="00F00A6F" w:rsidP="007176DE">
            <w:pPr>
              <w:jc w:val="left"/>
              <w:rPr>
                <w:lang w:eastAsia="en-US"/>
              </w:rPr>
            </w:pPr>
            <w:r w:rsidRPr="00EE7D23">
              <w:rPr>
                <w:lang w:eastAsia="en-US"/>
              </w:rPr>
              <w:t>10</w:t>
            </w:r>
            <w:r w:rsidR="00662F5D">
              <w:rPr>
                <w:lang w:eastAsia="en-US"/>
              </w:rPr>
              <w:t> </w:t>
            </w:r>
            <w:r w:rsidRPr="00EE7D23">
              <w:rPr>
                <w:lang w:eastAsia="en-US"/>
              </w:rPr>
              <w:t xml:space="preserve">%, pokud účastníci, kteří se účastnili na </w:t>
            </w:r>
            <w:proofErr w:type="spellStart"/>
            <w:r w:rsidRPr="00EE7D23">
              <w:rPr>
                <w:lang w:eastAsia="en-US"/>
              </w:rPr>
              <w:t>bid-riggingu</w:t>
            </w:r>
            <w:proofErr w:type="spellEnd"/>
            <w:r w:rsidRPr="00EE7D23">
              <w:rPr>
                <w:lang w:eastAsia="en-US"/>
              </w:rPr>
              <w:t>, postupovali bez pomoci osoby</w:t>
            </w:r>
            <w:r w:rsidR="00A9639A">
              <w:rPr>
                <w:lang w:eastAsia="en-US"/>
              </w:rPr>
              <w:t xml:space="preserve"> v </w:t>
            </w:r>
            <w:r w:rsidRPr="00EE7D23">
              <w:rPr>
                <w:lang w:eastAsia="en-US"/>
              </w:rPr>
              <w:t xml:space="preserve">rámci řídícího a kontrolního systému nebo zadavatele, a společnost podílející se na </w:t>
            </w:r>
            <w:proofErr w:type="spellStart"/>
            <w:r w:rsidRPr="00EE7D23">
              <w:rPr>
                <w:lang w:eastAsia="en-US"/>
              </w:rPr>
              <w:t>bid</w:t>
            </w:r>
            <w:proofErr w:type="spellEnd"/>
            <w:r w:rsidRPr="00EE7D23">
              <w:rPr>
                <w:lang w:eastAsia="en-US"/>
              </w:rPr>
              <w:t xml:space="preserve"> </w:t>
            </w:r>
            <w:proofErr w:type="spellStart"/>
            <w:r w:rsidRPr="00EE7D23">
              <w:rPr>
                <w:lang w:eastAsia="en-US"/>
              </w:rPr>
              <w:t>riggingu</w:t>
            </w:r>
            <w:proofErr w:type="spellEnd"/>
            <w:r w:rsidRPr="00EE7D23">
              <w:rPr>
                <w:lang w:eastAsia="en-US"/>
              </w:rPr>
              <w:t xml:space="preserve"> byla úspěšná při zajištění předmětné zakázky (zakázek)</w:t>
            </w:r>
          </w:p>
        </w:tc>
      </w:tr>
      <w:tr w:rsidR="00F00A6F" w:rsidRPr="003445F5" w14:paraId="776CC249" w14:textId="77777777" w:rsidTr="007176DE">
        <w:trPr>
          <w:trHeight w:val="115"/>
        </w:trPr>
        <w:tc>
          <w:tcPr>
            <w:tcW w:w="0" w:type="auto"/>
            <w:vMerge/>
            <w:vAlign w:val="top"/>
            <w:hideMark/>
          </w:tcPr>
          <w:p w14:paraId="127F74F7" w14:textId="77777777" w:rsidR="00F00A6F" w:rsidRPr="00110D17" w:rsidRDefault="00F00A6F" w:rsidP="007176DE">
            <w:pPr>
              <w:jc w:val="left"/>
              <w:rPr>
                <w:lang w:eastAsia="en-US"/>
              </w:rPr>
            </w:pPr>
          </w:p>
        </w:tc>
        <w:tc>
          <w:tcPr>
            <w:tcW w:w="0" w:type="auto"/>
            <w:vMerge/>
            <w:vAlign w:val="top"/>
            <w:hideMark/>
          </w:tcPr>
          <w:p w14:paraId="3EB6D1D7" w14:textId="77777777" w:rsidR="00F00A6F" w:rsidRPr="00110D17" w:rsidRDefault="00F00A6F" w:rsidP="007176DE">
            <w:pPr>
              <w:jc w:val="left"/>
              <w:rPr>
                <w:lang w:eastAsia="en-US"/>
              </w:rPr>
            </w:pPr>
          </w:p>
        </w:tc>
        <w:tc>
          <w:tcPr>
            <w:tcW w:w="0" w:type="auto"/>
            <w:vMerge/>
            <w:vAlign w:val="top"/>
            <w:hideMark/>
          </w:tcPr>
          <w:p w14:paraId="069D0218" w14:textId="77777777" w:rsidR="00F00A6F" w:rsidRPr="00110D17" w:rsidRDefault="00F00A6F" w:rsidP="007176DE">
            <w:pPr>
              <w:jc w:val="left"/>
              <w:rPr>
                <w:lang w:eastAsia="en-US"/>
              </w:rPr>
            </w:pPr>
          </w:p>
        </w:tc>
        <w:tc>
          <w:tcPr>
            <w:tcW w:w="1547" w:type="pct"/>
            <w:vAlign w:val="top"/>
            <w:hideMark/>
          </w:tcPr>
          <w:p w14:paraId="50661627" w14:textId="77A55A2F" w:rsidR="00F00A6F" w:rsidRPr="00110D17" w:rsidRDefault="00F00A6F" w:rsidP="007176DE">
            <w:pPr>
              <w:jc w:val="left"/>
              <w:rPr>
                <w:lang w:eastAsia="en-US"/>
              </w:rPr>
            </w:pPr>
            <w:r w:rsidRPr="00110D17">
              <w:rPr>
                <w:lang w:eastAsia="en-US"/>
              </w:rPr>
              <w:t>25</w:t>
            </w:r>
            <w:r w:rsidR="002C7534">
              <w:rPr>
                <w:lang w:eastAsia="en-US"/>
              </w:rPr>
              <w:t> </w:t>
            </w:r>
            <w:r w:rsidRPr="00110D17">
              <w:rPr>
                <w:lang w:eastAsia="en-US"/>
              </w:rPr>
              <w:t xml:space="preserve">%, pokud se zadávacího řízení účastnily pouze tajně smluvené společnosti, </w:t>
            </w:r>
          </w:p>
        </w:tc>
      </w:tr>
      <w:tr w:rsidR="00F00A6F" w:rsidRPr="003445F5" w14:paraId="69A8C46E" w14:textId="77777777" w:rsidTr="007176DE">
        <w:trPr>
          <w:trHeight w:val="115"/>
        </w:trPr>
        <w:tc>
          <w:tcPr>
            <w:tcW w:w="0" w:type="auto"/>
            <w:vMerge/>
            <w:vAlign w:val="top"/>
            <w:hideMark/>
          </w:tcPr>
          <w:p w14:paraId="22666ED8" w14:textId="77777777" w:rsidR="00F00A6F" w:rsidRPr="00110D17" w:rsidRDefault="00F00A6F" w:rsidP="007176DE">
            <w:pPr>
              <w:jc w:val="left"/>
              <w:rPr>
                <w:lang w:eastAsia="en-US"/>
              </w:rPr>
            </w:pPr>
          </w:p>
        </w:tc>
        <w:tc>
          <w:tcPr>
            <w:tcW w:w="0" w:type="auto"/>
            <w:vMerge/>
            <w:vAlign w:val="top"/>
            <w:hideMark/>
          </w:tcPr>
          <w:p w14:paraId="4EB725EA" w14:textId="77777777" w:rsidR="00F00A6F" w:rsidRPr="00110D17" w:rsidRDefault="00F00A6F" w:rsidP="007176DE">
            <w:pPr>
              <w:jc w:val="left"/>
              <w:rPr>
                <w:lang w:eastAsia="en-US"/>
              </w:rPr>
            </w:pPr>
          </w:p>
        </w:tc>
        <w:tc>
          <w:tcPr>
            <w:tcW w:w="0" w:type="auto"/>
            <w:vMerge/>
            <w:vAlign w:val="top"/>
            <w:hideMark/>
          </w:tcPr>
          <w:p w14:paraId="63366CDB" w14:textId="77777777" w:rsidR="00F00A6F" w:rsidRPr="00110D17" w:rsidRDefault="00F00A6F" w:rsidP="007176DE">
            <w:pPr>
              <w:jc w:val="left"/>
              <w:rPr>
                <w:lang w:eastAsia="en-US"/>
              </w:rPr>
            </w:pPr>
          </w:p>
        </w:tc>
        <w:tc>
          <w:tcPr>
            <w:tcW w:w="1547" w:type="pct"/>
            <w:vAlign w:val="top"/>
            <w:hideMark/>
          </w:tcPr>
          <w:p w14:paraId="39FAE826" w14:textId="1D81C778" w:rsidR="00F00A6F" w:rsidRPr="00110D17" w:rsidRDefault="00F00A6F" w:rsidP="007176DE">
            <w:pPr>
              <w:jc w:val="left"/>
              <w:rPr>
                <w:lang w:eastAsia="en-US"/>
              </w:rPr>
            </w:pPr>
            <w:r w:rsidRPr="00110D17">
              <w:rPr>
                <w:lang w:eastAsia="en-US"/>
              </w:rPr>
              <w:t>100</w:t>
            </w:r>
            <w:r w:rsidR="002C7534">
              <w:rPr>
                <w:lang w:eastAsia="en-US"/>
              </w:rPr>
              <w:t> </w:t>
            </w:r>
            <w:r w:rsidRPr="00110D17">
              <w:rPr>
                <w:lang w:eastAsia="en-US"/>
              </w:rPr>
              <w:t>%, pokud se osoba</w:t>
            </w:r>
            <w:r w:rsidR="00A9639A">
              <w:rPr>
                <w:lang w:eastAsia="en-US"/>
              </w:rPr>
              <w:t xml:space="preserve"> v </w:t>
            </w:r>
            <w:r w:rsidRPr="00110D17">
              <w:rPr>
                <w:lang w:eastAsia="en-US"/>
              </w:rPr>
              <w:t xml:space="preserve">rámci řídícího a kontrolního systému nebo zadavatel účastnili </w:t>
            </w:r>
            <w:proofErr w:type="spellStart"/>
            <w:r w:rsidRPr="00110D17">
              <w:rPr>
                <w:lang w:eastAsia="en-US"/>
              </w:rPr>
              <w:lastRenderedPageBreak/>
              <w:t>bid</w:t>
            </w:r>
            <w:proofErr w:type="spellEnd"/>
            <w:r w:rsidRPr="00110D17">
              <w:rPr>
                <w:lang w:eastAsia="en-US"/>
              </w:rPr>
              <w:t xml:space="preserve"> </w:t>
            </w:r>
            <w:proofErr w:type="spellStart"/>
            <w:r w:rsidRPr="00110D17">
              <w:rPr>
                <w:lang w:eastAsia="en-US"/>
              </w:rPr>
              <w:t>riggingu</w:t>
            </w:r>
            <w:proofErr w:type="spellEnd"/>
            <w:r w:rsidRPr="00110D17">
              <w:rPr>
                <w:lang w:eastAsia="en-US"/>
              </w:rPr>
              <w:t xml:space="preserve"> tím, že pomáhali tajně smluveným účastníkům, a některá ze společností podílejících se na </w:t>
            </w:r>
            <w:proofErr w:type="spellStart"/>
            <w:r w:rsidRPr="00110D17">
              <w:rPr>
                <w:lang w:eastAsia="en-US"/>
              </w:rPr>
              <w:t>bid</w:t>
            </w:r>
            <w:proofErr w:type="spellEnd"/>
            <w:r w:rsidRPr="00110D17">
              <w:rPr>
                <w:lang w:eastAsia="en-US"/>
              </w:rPr>
              <w:t xml:space="preserve"> </w:t>
            </w:r>
            <w:proofErr w:type="spellStart"/>
            <w:r w:rsidRPr="00110D17">
              <w:rPr>
                <w:lang w:eastAsia="en-US"/>
              </w:rPr>
              <w:t>riggingu</w:t>
            </w:r>
            <w:proofErr w:type="spellEnd"/>
            <w:r w:rsidRPr="00110D17">
              <w:rPr>
                <w:lang w:eastAsia="en-US"/>
              </w:rPr>
              <w:t xml:space="preserve"> byla úspěšná při zajištění předmětné zakázky (zakázek).</w:t>
            </w:r>
          </w:p>
        </w:tc>
      </w:tr>
      <w:tr w:rsidR="00F00A6F" w:rsidRPr="003445F5" w14:paraId="582B558D" w14:textId="77777777" w:rsidTr="007176DE">
        <w:trPr>
          <w:trHeight w:val="2071"/>
        </w:trPr>
        <w:tc>
          <w:tcPr>
            <w:tcW w:w="357" w:type="pct"/>
            <w:vMerge w:val="restart"/>
            <w:vAlign w:val="top"/>
          </w:tcPr>
          <w:p w14:paraId="0A84ACDF" w14:textId="77777777" w:rsidR="00F00A6F" w:rsidRPr="00EE7D23" w:rsidRDefault="00F00A6F" w:rsidP="007176DE">
            <w:pPr>
              <w:jc w:val="left"/>
              <w:rPr>
                <w:lang w:eastAsia="en-US"/>
              </w:rPr>
            </w:pPr>
            <w:r>
              <w:rPr>
                <w:lang w:eastAsia="en-US"/>
              </w:rPr>
              <w:lastRenderedPageBreak/>
              <w:t>23.</w:t>
            </w:r>
          </w:p>
        </w:tc>
        <w:tc>
          <w:tcPr>
            <w:tcW w:w="1548" w:type="pct"/>
            <w:vMerge w:val="restart"/>
            <w:vAlign w:val="top"/>
            <w:hideMark/>
          </w:tcPr>
          <w:p w14:paraId="1EE8929F" w14:textId="77777777" w:rsidR="00F00A6F" w:rsidRPr="00EE7D23" w:rsidRDefault="00F00A6F" w:rsidP="007176DE">
            <w:pPr>
              <w:jc w:val="left"/>
              <w:rPr>
                <w:lang w:eastAsia="en-US"/>
              </w:rPr>
            </w:pPr>
            <w:r w:rsidRPr="00EE7D23">
              <w:rPr>
                <w:lang w:eastAsia="en-US"/>
              </w:rPr>
              <w:t xml:space="preserve">Podstatná změna smlouvy. </w:t>
            </w:r>
          </w:p>
        </w:tc>
        <w:tc>
          <w:tcPr>
            <w:tcW w:w="1548" w:type="pct"/>
            <w:vMerge w:val="restart"/>
            <w:vAlign w:val="top"/>
            <w:hideMark/>
          </w:tcPr>
          <w:p w14:paraId="5B4DACA9" w14:textId="6E0BEA9B" w:rsidR="00F00A6F" w:rsidRPr="00EE7D23" w:rsidRDefault="00F00A6F" w:rsidP="007176DE">
            <w:pPr>
              <w:jc w:val="left"/>
              <w:rPr>
                <w:lang w:eastAsia="en-US"/>
              </w:rPr>
            </w:pPr>
            <w:r w:rsidRPr="00EE7D23">
              <w:rPr>
                <w:lang w:eastAsia="en-US"/>
              </w:rPr>
              <w:t>Zadavatel umožnil podstatnou změnu závazku ze smlouvy na plnění zakázky nebo práv a povinností vyplývajících ze smlouvy na plnění zakázky</w:t>
            </w:r>
            <w:r w:rsidR="00A9639A">
              <w:rPr>
                <w:lang w:eastAsia="en-US"/>
              </w:rPr>
              <w:t xml:space="preserve"> v </w:t>
            </w:r>
            <w:r w:rsidRPr="00EE7D23">
              <w:rPr>
                <w:lang w:eastAsia="en-US"/>
              </w:rPr>
              <w:t>rozporu se ZZVZ nebo</w:t>
            </w:r>
            <w:r w:rsidR="00A9639A">
              <w:rPr>
                <w:lang w:eastAsia="en-US"/>
              </w:rPr>
              <w:t xml:space="preserve"> s </w:t>
            </w:r>
            <w:r w:rsidRPr="00EE7D23">
              <w:rPr>
                <w:lang w:eastAsia="en-US"/>
              </w:rPr>
              <w:t>Pravidly pro žadatele a příjemce OPD2021</w:t>
            </w:r>
            <w:r>
              <w:rPr>
                <w:lang w:eastAsia="en-US"/>
              </w:rPr>
              <w:t>+</w:t>
            </w:r>
            <w:r w:rsidRPr="00EE7D23">
              <w:rPr>
                <w:lang w:eastAsia="en-US"/>
              </w:rPr>
              <w:t xml:space="preserve">. </w:t>
            </w:r>
          </w:p>
        </w:tc>
        <w:tc>
          <w:tcPr>
            <w:tcW w:w="1547" w:type="pct"/>
            <w:vAlign w:val="top"/>
          </w:tcPr>
          <w:p w14:paraId="4DE5B380" w14:textId="574FBB1C" w:rsidR="00F00A6F" w:rsidRPr="00EE7D23" w:rsidRDefault="00F00A6F" w:rsidP="007176DE">
            <w:pPr>
              <w:jc w:val="left"/>
              <w:rPr>
                <w:lang w:eastAsia="en-US"/>
              </w:rPr>
            </w:pPr>
            <w:r w:rsidRPr="00EE7D23">
              <w:rPr>
                <w:lang w:eastAsia="en-US"/>
              </w:rPr>
              <w:t>25</w:t>
            </w:r>
            <w:r w:rsidR="002C7534">
              <w:rPr>
                <w:lang w:eastAsia="en-US"/>
              </w:rPr>
              <w:t> </w:t>
            </w:r>
            <w:r w:rsidRPr="00EE7D23">
              <w:rPr>
                <w:lang w:eastAsia="en-US"/>
              </w:rPr>
              <w:t>%</w:t>
            </w:r>
            <w:r w:rsidR="00A9639A">
              <w:rPr>
                <w:lang w:eastAsia="en-US"/>
              </w:rPr>
              <w:t xml:space="preserve"> z </w:t>
            </w:r>
            <w:r w:rsidRPr="00EE7D23">
              <w:rPr>
                <w:lang w:eastAsia="en-US"/>
              </w:rPr>
              <w:t>ceny původní zakázky</w:t>
            </w:r>
          </w:p>
          <w:p w14:paraId="002402C1" w14:textId="77777777" w:rsidR="00F00A6F" w:rsidRPr="00EE7D23" w:rsidRDefault="00F00A6F" w:rsidP="007176DE">
            <w:pPr>
              <w:jc w:val="left"/>
              <w:rPr>
                <w:lang w:eastAsia="en-US"/>
              </w:rPr>
            </w:pPr>
            <w:r w:rsidRPr="00EE7D23">
              <w:rPr>
                <w:lang w:eastAsia="en-US"/>
              </w:rPr>
              <w:t>a dále</w:t>
            </w:r>
          </w:p>
          <w:p w14:paraId="008A6402" w14:textId="28C9FD1C" w:rsidR="00F00A6F" w:rsidRPr="00EE7D23" w:rsidRDefault="00F00A6F" w:rsidP="007176DE">
            <w:pPr>
              <w:jc w:val="left"/>
              <w:rPr>
                <w:lang w:eastAsia="en-US"/>
              </w:rPr>
            </w:pPr>
            <w:r w:rsidRPr="00EE7D23">
              <w:rPr>
                <w:lang w:eastAsia="en-US"/>
              </w:rPr>
              <w:t>25</w:t>
            </w:r>
            <w:r w:rsidR="002C7534">
              <w:rPr>
                <w:lang w:eastAsia="en-US"/>
              </w:rPr>
              <w:t> </w:t>
            </w:r>
            <w:r w:rsidRPr="00EE7D23">
              <w:rPr>
                <w:lang w:eastAsia="en-US"/>
              </w:rPr>
              <w:t>%</w:t>
            </w:r>
            <w:r w:rsidR="00A9639A">
              <w:rPr>
                <w:lang w:eastAsia="en-US"/>
              </w:rPr>
              <w:t xml:space="preserve"> z </w:t>
            </w:r>
            <w:r w:rsidRPr="00EE7D23">
              <w:rPr>
                <w:lang w:eastAsia="en-US"/>
              </w:rPr>
              <w:t>hodnoty dodatečných/nových stavebních prací, dodávek nebo služeb (tzv. vícepráce).</w:t>
            </w:r>
          </w:p>
        </w:tc>
      </w:tr>
      <w:tr w:rsidR="00F00A6F" w:rsidRPr="003445F5" w14:paraId="16DB3DE0" w14:textId="77777777" w:rsidTr="007176DE">
        <w:trPr>
          <w:trHeight w:val="2310"/>
        </w:trPr>
        <w:tc>
          <w:tcPr>
            <w:tcW w:w="0" w:type="auto"/>
            <w:vMerge/>
            <w:vAlign w:val="top"/>
            <w:hideMark/>
          </w:tcPr>
          <w:p w14:paraId="117DEC9C" w14:textId="77777777" w:rsidR="00F00A6F" w:rsidRPr="00110D17" w:rsidRDefault="00F00A6F" w:rsidP="007176DE">
            <w:pPr>
              <w:jc w:val="left"/>
              <w:rPr>
                <w:lang w:eastAsia="en-US"/>
              </w:rPr>
            </w:pPr>
          </w:p>
        </w:tc>
        <w:tc>
          <w:tcPr>
            <w:tcW w:w="0" w:type="auto"/>
            <w:vMerge/>
            <w:vAlign w:val="top"/>
            <w:hideMark/>
          </w:tcPr>
          <w:p w14:paraId="26EAE86D" w14:textId="77777777" w:rsidR="00F00A6F" w:rsidRPr="00110D17" w:rsidRDefault="00F00A6F" w:rsidP="007176DE">
            <w:pPr>
              <w:jc w:val="left"/>
              <w:rPr>
                <w:lang w:eastAsia="en-US"/>
              </w:rPr>
            </w:pPr>
          </w:p>
        </w:tc>
        <w:tc>
          <w:tcPr>
            <w:tcW w:w="0" w:type="auto"/>
            <w:vMerge/>
            <w:vAlign w:val="top"/>
            <w:hideMark/>
          </w:tcPr>
          <w:p w14:paraId="1CE36994" w14:textId="77777777" w:rsidR="00F00A6F" w:rsidRPr="00110D17" w:rsidRDefault="00F00A6F" w:rsidP="007176DE">
            <w:pPr>
              <w:jc w:val="left"/>
              <w:rPr>
                <w:lang w:eastAsia="en-US"/>
              </w:rPr>
            </w:pPr>
          </w:p>
        </w:tc>
        <w:tc>
          <w:tcPr>
            <w:tcW w:w="1547" w:type="pct"/>
            <w:vAlign w:val="top"/>
            <w:hideMark/>
          </w:tcPr>
          <w:p w14:paraId="5B560D49" w14:textId="67FFF023" w:rsidR="00F00A6F" w:rsidRPr="00110D17" w:rsidRDefault="00F00A6F" w:rsidP="007176DE">
            <w:pPr>
              <w:jc w:val="left"/>
              <w:rPr>
                <w:lang w:eastAsia="en-US"/>
              </w:rPr>
            </w:pPr>
            <w:r w:rsidRPr="00110D17">
              <w:rPr>
                <w:lang w:eastAsia="en-US"/>
              </w:rPr>
              <w:t>25</w:t>
            </w:r>
            <w:r w:rsidR="002C7534">
              <w:rPr>
                <w:lang w:eastAsia="en-US"/>
              </w:rPr>
              <w:t> </w:t>
            </w:r>
            <w:r w:rsidRPr="00110D17">
              <w:rPr>
                <w:lang w:eastAsia="en-US"/>
              </w:rPr>
              <w:t>%</w:t>
            </w:r>
            <w:r w:rsidR="00A9639A">
              <w:rPr>
                <w:lang w:eastAsia="en-US"/>
              </w:rPr>
              <w:t xml:space="preserve"> z </w:t>
            </w:r>
            <w:r w:rsidRPr="00110D17">
              <w:rPr>
                <w:lang w:eastAsia="en-US"/>
              </w:rPr>
              <w:t xml:space="preserve">ceny původní zakázky </w:t>
            </w:r>
          </w:p>
          <w:p w14:paraId="0F487E0B" w14:textId="77777777" w:rsidR="00F00A6F" w:rsidRPr="00110D17" w:rsidRDefault="00F00A6F" w:rsidP="007176DE">
            <w:pPr>
              <w:jc w:val="left"/>
              <w:rPr>
                <w:lang w:eastAsia="en-US"/>
              </w:rPr>
            </w:pPr>
            <w:r w:rsidRPr="00110D17">
              <w:rPr>
                <w:lang w:eastAsia="en-US"/>
              </w:rPr>
              <w:t>a dále</w:t>
            </w:r>
          </w:p>
          <w:p w14:paraId="6B181B46" w14:textId="520B4056" w:rsidR="00F00A6F" w:rsidRPr="00110D17" w:rsidRDefault="00F00A6F" w:rsidP="007176DE">
            <w:pPr>
              <w:jc w:val="left"/>
              <w:rPr>
                <w:lang w:eastAsia="en-US"/>
              </w:rPr>
            </w:pPr>
            <w:r w:rsidRPr="00110D17">
              <w:rPr>
                <w:lang w:eastAsia="en-US"/>
              </w:rPr>
              <w:t>100</w:t>
            </w:r>
            <w:r w:rsidR="002C7534">
              <w:rPr>
                <w:lang w:eastAsia="en-US"/>
              </w:rPr>
              <w:t> </w:t>
            </w:r>
            <w:r w:rsidRPr="00110D17">
              <w:rPr>
                <w:lang w:eastAsia="en-US"/>
              </w:rPr>
              <w:t>% částky,</w:t>
            </w:r>
            <w:r w:rsidR="00A9639A">
              <w:rPr>
                <w:lang w:eastAsia="en-US"/>
              </w:rPr>
              <w:t xml:space="preserve"> o </w:t>
            </w:r>
            <w:r w:rsidRPr="00110D17">
              <w:rPr>
                <w:lang w:eastAsia="en-US"/>
              </w:rPr>
              <w:t>kterou byla případně zvýšena cena veřejné zakázky</w:t>
            </w:r>
            <w:r w:rsidR="00A9639A">
              <w:rPr>
                <w:lang w:eastAsia="en-US"/>
              </w:rPr>
              <w:t xml:space="preserve"> v </w:t>
            </w:r>
            <w:r w:rsidRPr="00110D17">
              <w:rPr>
                <w:lang w:eastAsia="en-US"/>
              </w:rPr>
              <w:t>případě, že takové zvýšení převyšuje</w:t>
            </w:r>
            <w:r w:rsidR="002C7534">
              <w:rPr>
                <w:lang w:eastAsia="en-US"/>
              </w:rPr>
              <w:t> </w:t>
            </w:r>
            <w:r w:rsidRPr="00110D17">
              <w:rPr>
                <w:lang w:eastAsia="en-US"/>
              </w:rPr>
              <w:t>50 % hodnoty původní zakázky.</w:t>
            </w:r>
          </w:p>
        </w:tc>
      </w:tr>
      <w:tr w:rsidR="00F00A6F" w:rsidRPr="003445F5" w14:paraId="7DE1E4EE" w14:textId="77777777" w:rsidTr="007176DE">
        <w:trPr>
          <w:trHeight w:val="20"/>
        </w:trPr>
        <w:tc>
          <w:tcPr>
            <w:tcW w:w="357" w:type="pct"/>
            <w:vMerge w:val="restart"/>
            <w:vAlign w:val="top"/>
          </w:tcPr>
          <w:p w14:paraId="73E16E26" w14:textId="77777777" w:rsidR="00F00A6F" w:rsidRPr="00EE7D23" w:rsidRDefault="00F00A6F" w:rsidP="007176DE">
            <w:pPr>
              <w:jc w:val="left"/>
              <w:rPr>
                <w:lang w:eastAsia="en-US"/>
              </w:rPr>
            </w:pPr>
            <w:r>
              <w:rPr>
                <w:lang w:eastAsia="en-US"/>
              </w:rPr>
              <w:t>24.</w:t>
            </w:r>
          </w:p>
        </w:tc>
        <w:tc>
          <w:tcPr>
            <w:tcW w:w="1548" w:type="pct"/>
            <w:vMerge w:val="restart"/>
            <w:vAlign w:val="top"/>
            <w:hideMark/>
          </w:tcPr>
          <w:p w14:paraId="2A4B955A" w14:textId="77777777" w:rsidR="00F00A6F" w:rsidRPr="00EE7D23" w:rsidRDefault="00F00A6F" w:rsidP="007176DE">
            <w:pPr>
              <w:jc w:val="left"/>
              <w:rPr>
                <w:lang w:eastAsia="en-US"/>
              </w:rPr>
            </w:pPr>
            <w:r w:rsidRPr="00EE7D23">
              <w:rPr>
                <w:lang w:eastAsia="en-US"/>
              </w:rPr>
              <w:t>Jiné porušení.</w:t>
            </w:r>
          </w:p>
        </w:tc>
        <w:tc>
          <w:tcPr>
            <w:tcW w:w="1548" w:type="pct"/>
            <w:vMerge w:val="restart"/>
            <w:vAlign w:val="top"/>
            <w:hideMark/>
          </w:tcPr>
          <w:p w14:paraId="30AD66C0" w14:textId="77777777" w:rsidR="00F00A6F" w:rsidRPr="00EE7D23" w:rsidRDefault="00F00A6F" w:rsidP="007176DE">
            <w:pPr>
              <w:jc w:val="left"/>
              <w:rPr>
                <w:lang w:eastAsia="en-US"/>
              </w:rPr>
            </w:pPr>
            <w:r w:rsidRPr="00EE7D23">
              <w:rPr>
                <w:lang w:eastAsia="en-US"/>
              </w:rPr>
              <w:t>Zadavatel se dopustil jiného porušení, než jsou výše definovaná, které mělo nebo mohlo mít vliv na výběr dodavatele.</w:t>
            </w:r>
          </w:p>
        </w:tc>
        <w:tc>
          <w:tcPr>
            <w:tcW w:w="1547" w:type="pct"/>
            <w:vAlign w:val="top"/>
            <w:hideMark/>
          </w:tcPr>
          <w:p w14:paraId="074BB16A" w14:textId="14AFFF7B" w:rsidR="00F00A6F" w:rsidRPr="00EE7D23" w:rsidRDefault="00F00A6F" w:rsidP="007176DE">
            <w:pPr>
              <w:jc w:val="left"/>
              <w:rPr>
                <w:lang w:eastAsia="en-US"/>
              </w:rPr>
            </w:pPr>
            <w:r w:rsidRPr="00EE7D23">
              <w:rPr>
                <w:lang w:eastAsia="en-US"/>
              </w:rPr>
              <w:t>25</w:t>
            </w:r>
            <w:r w:rsidR="002C7534">
              <w:rPr>
                <w:lang w:eastAsia="en-US"/>
              </w:rPr>
              <w:t> </w:t>
            </w:r>
            <w:r w:rsidRPr="00EE7D23">
              <w:rPr>
                <w:lang w:eastAsia="en-US"/>
              </w:rPr>
              <w:t>%</w:t>
            </w:r>
          </w:p>
        </w:tc>
      </w:tr>
      <w:tr w:rsidR="00F00A6F" w:rsidRPr="003445F5" w14:paraId="67D6F3DE" w14:textId="77777777" w:rsidTr="007176DE">
        <w:trPr>
          <w:trHeight w:val="757"/>
        </w:trPr>
        <w:tc>
          <w:tcPr>
            <w:tcW w:w="0" w:type="auto"/>
            <w:vMerge/>
            <w:vAlign w:val="top"/>
            <w:hideMark/>
          </w:tcPr>
          <w:p w14:paraId="5E186BDB" w14:textId="77777777" w:rsidR="00F00A6F" w:rsidRPr="00110D17" w:rsidRDefault="00F00A6F" w:rsidP="007176DE">
            <w:pPr>
              <w:jc w:val="left"/>
              <w:rPr>
                <w:lang w:eastAsia="en-US"/>
              </w:rPr>
            </w:pPr>
          </w:p>
        </w:tc>
        <w:tc>
          <w:tcPr>
            <w:tcW w:w="0" w:type="auto"/>
            <w:vMerge/>
            <w:vAlign w:val="top"/>
            <w:hideMark/>
          </w:tcPr>
          <w:p w14:paraId="69EE91E3" w14:textId="77777777" w:rsidR="00F00A6F" w:rsidRPr="00110D17" w:rsidRDefault="00F00A6F" w:rsidP="007176DE">
            <w:pPr>
              <w:jc w:val="left"/>
              <w:rPr>
                <w:lang w:eastAsia="en-US"/>
              </w:rPr>
            </w:pPr>
          </w:p>
        </w:tc>
        <w:tc>
          <w:tcPr>
            <w:tcW w:w="0" w:type="auto"/>
            <w:vMerge/>
            <w:vAlign w:val="top"/>
            <w:hideMark/>
          </w:tcPr>
          <w:p w14:paraId="005FAFCC" w14:textId="77777777" w:rsidR="00F00A6F" w:rsidRPr="00110D17" w:rsidRDefault="00F00A6F" w:rsidP="007176DE">
            <w:pPr>
              <w:jc w:val="left"/>
              <w:rPr>
                <w:lang w:eastAsia="en-US"/>
              </w:rPr>
            </w:pPr>
          </w:p>
        </w:tc>
        <w:tc>
          <w:tcPr>
            <w:tcW w:w="1547" w:type="pct"/>
            <w:vAlign w:val="top"/>
            <w:hideMark/>
          </w:tcPr>
          <w:p w14:paraId="71E7E206" w14:textId="77777777" w:rsidR="00F00A6F" w:rsidRPr="00EE7D23" w:rsidRDefault="00F00A6F" w:rsidP="007176DE">
            <w:pPr>
              <w:jc w:val="left"/>
              <w:rPr>
                <w:lang w:eastAsia="en-US"/>
              </w:rPr>
            </w:pPr>
            <w:r w:rsidRPr="00110D17">
              <w:rPr>
                <w:lang w:eastAsia="en-US"/>
              </w:rPr>
              <w:t>V závislosti na závažnosti daného porušení lze snížit výši sankce na (2</w:t>
            </w:r>
            <w:r>
              <w:rPr>
                <w:lang w:eastAsia="en-US"/>
              </w:rPr>
              <w:t> </w:t>
            </w:r>
            <w:r w:rsidRPr="00110D17">
              <w:rPr>
                <w:lang w:eastAsia="en-US"/>
              </w:rPr>
              <w:t>% nebo 5</w:t>
            </w:r>
            <w:r>
              <w:rPr>
                <w:lang w:eastAsia="en-US"/>
              </w:rPr>
              <w:t> </w:t>
            </w:r>
            <w:r w:rsidRPr="00110D17">
              <w:rPr>
                <w:lang w:eastAsia="en-US"/>
              </w:rPr>
              <w:t>% nebo 10</w:t>
            </w:r>
            <w:r>
              <w:rPr>
                <w:lang w:eastAsia="en-US"/>
              </w:rPr>
              <w:t> </w:t>
            </w:r>
            <w:r w:rsidRPr="00110D17">
              <w:rPr>
                <w:lang w:eastAsia="en-US"/>
              </w:rPr>
              <w:t>%)</w:t>
            </w:r>
            <w:r w:rsidRPr="00EE7D23">
              <w:rPr>
                <w:rStyle w:val="Znakapoznpodarou"/>
                <w:rFonts w:eastAsiaTheme="majorEastAsia" w:cstheme="minorHAnsi"/>
                <w:szCs w:val="20"/>
                <w:lang w:eastAsia="en-US"/>
              </w:rPr>
              <w:footnoteReference w:id="17"/>
            </w:r>
            <w:r w:rsidRPr="00EE7D23">
              <w:rPr>
                <w:lang w:eastAsia="en-US"/>
              </w:rPr>
              <w:t>.</w:t>
            </w:r>
          </w:p>
        </w:tc>
      </w:tr>
    </w:tbl>
    <w:p w14:paraId="3C568542" w14:textId="77777777" w:rsidR="00F00A6F" w:rsidRDefault="00F00A6F" w:rsidP="00F00A6F"/>
    <w:p w14:paraId="5E43073F" w14:textId="392E9B80" w:rsidR="00F00A6F" w:rsidRDefault="00F00A6F" w:rsidP="00F00A6F">
      <w:pPr>
        <w:pStyle w:val="Odsazen"/>
      </w:pPr>
      <w:r>
        <w:t>Pro případ, kdy bude identifikováno porušení pravidel pro zadávání veřejných zakázek neupravené</w:t>
      </w:r>
      <w:r w:rsidR="00A9639A">
        <w:t xml:space="preserve"> v </w:t>
      </w:r>
      <w:r>
        <w:t>tabulce typizovaných porušení, bude stanovena sankce analogicky</w:t>
      </w:r>
      <w:r w:rsidR="00A9639A">
        <w:t xml:space="preserve"> k </w:t>
      </w:r>
      <w:r>
        <w:t>výše uvedeným typizovaným porušením, resp. typizovaným porušením uvedeným</w:t>
      </w:r>
      <w:r w:rsidR="00A9639A">
        <w:t xml:space="preserve"> v </w:t>
      </w:r>
      <w:r>
        <w:t>rozhodnutí Komise C(2019)</w:t>
      </w:r>
      <w:r w:rsidR="002C7534">
        <w:t> </w:t>
      </w:r>
      <w:r>
        <w:t>3452, a</w:t>
      </w:r>
      <w:r w:rsidR="00A9639A">
        <w:t xml:space="preserve"> v </w:t>
      </w:r>
      <w:r>
        <w:t>souladu se zásadou přiměřenosti.</w:t>
      </w:r>
    </w:p>
    <w:p w14:paraId="4C79E6A9" w14:textId="73E9639F" w:rsidR="00F00A6F" w:rsidRDefault="00F00A6F" w:rsidP="00F00A6F">
      <w:pPr>
        <w:pStyle w:val="Odsazen"/>
      </w:pPr>
      <w:r>
        <w:t>Vyskytne-li se</w:t>
      </w:r>
      <w:r w:rsidR="00A9639A">
        <w:t xml:space="preserve"> v </w:t>
      </w:r>
      <w:r>
        <w:t>jednom zadávacím/výběrovém řízení více porušení povinností či pravidel, sazby sankcí se nesčítají, sankce bude stanovena</w:t>
      </w:r>
      <w:r w:rsidR="00A9639A">
        <w:t xml:space="preserve"> s </w:t>
      </w:r>
      <w:r>
        <w:t>ohledem na nejzávažnější typ porušení.</w:t>
      </w:r>
    </w:p>
    <w:p w14:paraId="7B92B503" w14:textId="4C55E64E" w:rsidR="00F00A6F" w:rsidRDefault="00F00A6F" w:rsidP="007D780F">
      <w:pPr>
        <w:pStyle w:val="123odstavec"/>
      </w:pPr>
      <w:r w:rsidRPr="00ED2FF9">
        <w:t>Pokud bude zjištěno kontrolou provedenou poskytovatelem nebo Řídícím orgánem nebo jiným kontrolním orgánem</w:t>
      </w:r>
      <w:r>
        <w:t xml:space="preserve"> uvedeným</w:t>
      </w:r>
      <w:r w:rsidR="00A9639A">
        <w:t xml:space="preserve"> v </w:t>
      </w:r>
      <w:r>
        <w:t>odst. 8.A.10. této Smlouvy</w:t>
      </w:r>
      <w:r w:rsidRPr="00ED2FF9">
        <w:t xml:space="preserve">, že </w:t>
      </w:r>
      <w:r w:rsidRPr="00ED2FF9">
        <w:lastRenderedPageBreak/>
        <w:t>příjemce porušil povinnosti stanovené ve Smlouvě nebo právními předpisy před tím, než mu byly finanční prostředky uvolněny, informuje poskytovatel</w:t>
      </w:r>
      <w:r w:rsidR="00A9639A">
        <w:t xml:space="preserve"> o </w:t>
      </w:r>
      <w:r w:rsidRPr="00ED2FF9">
        <w:t>této skutečnosti Řídicí orgán a současně může rozhodnout</w:t>
      </w:r>
      <w:r w:rsidR="00A9639A">
        <w:t xml:space="preserve"> o </w:t>
      </w:r>
      <w:r w:rsidRPr="00ED2FF9">
        <w:t>provedení finanční opravy u poskytovaných finančních prostředků</w:t>
      </w:r>
      <w:r w:rsidR="00A9639A">
        <w:t xml:space="preserve"> v </w:t>
      </w:r>
      <w:r w:rsidRPr="00ED2FF9">
        <w:t>rozsahu sankcí uvedených</w:t>
      </w:r>
      <w:r w:rsidR="00A9639A">
        <w:t xml:space="preserve"> v </w:t>
      </w:r>
      <w:r w:rsidRPr="00ED2FF9">
        <w:t>odst. 10.4</w:t>
      </w:r>
      <w:r w:rsidR="003534F1">
        <w:t>.</w:t>
      </w:r>
      <w:r w:rsidRPr="00ED2FF9">
        <w:t xml:space="preserve"> až 10.</w:t>
      </w:r>
      <w:r>
        <w:t>7.</w:t>
      </w:r>
      <w:r w:rsidRPr="00ED2FF9">
        <w:t xml:space="preserve"> podle toho,</w:t>
      </w:r>
      <w:r w:rsidR="00A9639A">
        <w:t xml:space="preserve"> k </w:t>
      </w:r>
      <w:r w:rsidRPr="00ED2FF9">
        <w:t>jakému konkrétnímu porušení povinnosti ze strany příjemce došlo. Pokud Řídicí orgán potvrdí finanční opravu, nebo upraví výši této finanční opravy</w:t>
      </w:r>
      <w:r w:rsidR="00A9639A">
        <w:t xml:space="preserve"> v </w:t>
      </w:r>
      <w:r w:rsidRPr="00ED2FF9">
        <w:t>návaznosti na případná vlastní či jiná zjištění, poskytovatel nevyplatí příjemci touto finanční opravou dotčenou částku poskytovaných finančních prostředků.</w:t>
      </w:r>
      <w:r w:rsidR="00A9639A">
        <w:t xml:space="preserve"> O </w:t>
      </w:r>
      <w:r w:rsidRPr="00ED2FF9">
        <w:t>provedení těchto sankčních opatření poskytovatel bezodkladně příjemce písemně informuje. Proti provedeným sankčním opatřením může příjemce podat poskytovateli námitky ve lhůtě 15 dnů od doručení písemného oznámení</w:t>
      </w:r>
      <w:r w:rsidR="00A9639A">
        <w:t xml:space="preserve"> o </w:t>
      </w:r>
      <w:r w:rsidRPr="00ED2FF9">
        <w:t>sankčních opatřeních, není-li poskytovatelem</w:t>
      </w:r>
      <w:r w:rsidR="00A9639A">
        <w:t xml:space="preserve"> v </w:t>
      </w:r>
      <w:r w:rsidRPr="00ED2FF9">
        <w:t>oznámení stanoveno jinak. Poskytovatel si vyžádá</w:t>
      </w:r>
      <w:r w:rsidR="00A9639A">
        <w:t xml:space="preserve"> k </w:t>
      </w:r>
      <w:r w:rsidRPr="00ED2FF9">
        <w:t>podaným námitkám příjemce stanovisko Řídicího orgánu. Na základě stanoviska Řídicího orgánu</w:t>
      </w:r>
      <w:r w:rsidR="00A9639A">
        <w:t xml:space="preserve"> k </w:t>
      </w:r>
      <w:r w:rsidRPr="00ED2FF9">
        <w:t>podaným námitkám rozhoduje</w:t>
      </w:r>
      <w:r w:rsidR="00A9639A">
        <w:t xml:space="preserve"> o </w:t>
      </w:r>
      <w:r w:rsidRPr="00ED2FF9">
        <w:t>podaných námitkách příjemce a</w:t>
      </w:r>
      <w:r w:rsidR="00A9639A">
        <w:t xml:space="preserve"> o </w:t>
      </w:r>
      <w:r w:rsidRPr="00ED2FF9">
        <w:t>oprávněnosti provedených sankčních opatření ředitel SFDI. Proti rozhodnutí</w:t>
      </w:r>
      <w:r w:rsidR="00A9639A">
        <w:t xml:space="preserve"> o </w:t>
      </w:r>
      <w:r w:rsidRPr="00ED2FF9">
        <w:t>námitkách se nelze odvolat.</w:t>
      </w:r>
      <w:r w:rsidR="00A9639A">
        <w:t xml:space="preserve"> O </w:t>
      </w:r>
      <w:r w:rsidRPr="00ED2FF9">
        <w:t>provedených sankčních opatřeních a</w:t>
      </w:r>
      <w:r w:rsidR="00A9639A">
        <w:t xml:space="preserve"> o </w:t>
      </w:r>
      <w:r w:rsidRPr="00ED2FF9">
        <w:t>rozhodnutí</w:t>
      </w:r>
      <w:r w:rsidR="00A9639A">
        <w:t xml:space="preserve"> o </w:t>
      </w:r>
      <w:r w:rsidRPr="00ED2FF9">
        <w:t>námitkách poskytovatel následně bez zbytečného odkladu písemně informuje Řídicí orgán a příslušný finanční úřad.</w:t>
      </w:r>
    </w:p>
    <w:p w14:paraId="46372934" w14:textId="77777777" w:rsidR="00F00A6F" w:rsidRDefault="00F00A6F" w:rsidP="007D780F">
      <w:pPr>
        <w:pStyle w:val="lnku"/>
      </w:pPr>
    </w:p>
    <w:p w14:paraId="4D348622" w14:textId="77777777" w:rsidR="00F00A6F" w:rsidRDefault="00F00A6F" w:rsidP="00F00A6F">
      <w:pPr>
        <w:pStyle w:val="Nzevlnku"/>
      </w:pPr>
      <w:r>
        <w:t>Ostatní ujednání</w:t>
      </w:r>
    </w:p>
    <w:p w14:paraId="730AA2CF" w14:textId="23EA6F93" w:rsidR="00F00A6F" w:rsidRDefault="00F00A6F" w:rsidP="007D780F">
      <w:pPr>
        <w:pStyle w:val="123odstavec"/>
      </w:pPr>
      <w:r w:rsidRPr="00ED2FF9">
        <w:t>Finanční prostředky poskytované podle této Smlouvy mají ve smyslu zákona č.</w:t>
      </w:r>
      <w:r>
        <w:t> </w:t>
      </w:r>
      <w:r w:rsidRPr="00ED2FF9">
        <w:t>586/1992 Sb.,</w:t>
      </w:r>
      <w:r w:rsidR="00A9639A">
        <w:t xml:space="preserve"> o </w:t>
      </w:r>
      <w:r w:rsidRPr="00ED2FF9">
        <w:t>dani</w:t>
      </w:r>
      <w:r w:rsidR="00A9639A">
        <w:t xml:space="preserve"> z </w:t>
      </w:r>
      <w:r w:rsidRPr="00ED2FF9">
        <w:t>příjmu, ve znění pozdějších předpisů, charakter dotace a</w:t>
      </w:r>
      <w:r w:rsidR="00A9639A">
        <w:t xml:space="preserve"> o </w:t>
      </w:r>
      <w:r w:rsidRPr="00ED2FF9">
        <w:t>jejich výši se pro účely odpisů snižuje u Projektu vstupní cena hmotného majetku,</w:t>
      </w:r>
      <w:r w:rsidR="00A9639A">
        <w:t xml:space="preserve"> k </w:t>
      </w:r>
      <w:r w:rsidRPr="00ED2FF9">
        <w:t>jehož pořízení byly tyto finanční prostředky použity.</w:t>
      </w:r>
    </w:p>
    <w:p w14:paraId="7A14E4F1" w14:textId="77777777" w:rsidR="00F00A6F" w:rsidRDefault="00F00A6F" w:rsidP="007D780F">
      <w:pPr>
        <w:pStyle w:val="lnku"/>
      </w:pPr>
    </w:p>
    <w:p w14:paraId="0E9FFA99" w14:textId="77777777" w:rsidR="00F00A6F" w:rsidRDefault="00F00A6F" w:rsidP="00F00A6F">
      <w:pPr>
        <w:pStyle w:val="Nzevlnku"/>
      </w:pPr>
      <w:r>
        <w:t>Závěrečná ujednání</w:t>
      </w:r>
    </w:p>
    <w:p w14:paraId="2A5D7B9A" w14:textId="6AFA9FC2" w:rsidR="00F00A6F" w:rsidRPr="00AE526C" w:rsidRDefault="00F00A6F" w:rsidP="007D780F">
      <w:pPr>
        <w:pStyle w:val="123odstavec"/>
      </w:pPr>
      <w:r w:rsidRPr="00ED2FF9">
        <w:t>Tato Smlouva nabývá platnosti dnem jejího podpisu poslední smluvní stranou a</w:t>
      </w:r>
      <w:r w:rsidR="002C7534">
        <w:t> </w:t>
      </w:r>
      <w:r w:rsidRPr="00AE526C">
        <w:t>účinnosti dnem jejího zveřejnění prostřednictvím registru smluv. Smlouva je uzavírána na celou dobu realizace a finančního vypořádání Projektu. Tím nejsou dotčena ustanovení Smlouvy, která svou úpravou přesahují uvedený časový rámec.</w:t>
      </w:r>
    </w:p>
    <w:p w14:paraId="5F5B8960" w14:textId="77777777" w:rsidR="00F00A6F" w:rsidRDefault="00F00A6F" w:rsidP="007D780F">
      <w:pPr>
        <w:pStyle w:val="123odstavec"/>
      </w:pPr>
      <w:r w:rsidRPr="00AE526C">
        <w:t>Smlouva</w:t>
      </w:r>
      <w:r>
        <w:t xml:space="preserve"> má přílohy.</w:t>
      </w:r>
    </w:p>
    <w:p w14:paraId="55B21E30" w14:textId="77777777" w:rsidR="00F00A6F" w:rsidRDefault="00F00A6F" w:rsidP="00F00A6F">
      <w:pPr>
        <w:pStyle w:val="Odsazen"/>
      </w:pPr>
      <w:r>
        <w:t>Příloha č. 1: Schvalovací protokol</w:t>
      </w:r>
    </w:p>
    <w:p w14:paraId="2D3CEA03" w14:textId="2BCFCEDD" w:rsidR="00F00A6F" w:rsidRDefault="00F00A6F" w:rsidP="00F00A6F">
      <w:pPr>
        <w:pStyle w:val="Odsazen"/>
      </w:pPr>
      <w:r>
        <w:t>Příloha č. 2: Specifikace</w:t>
      </w:r>
    </w:p>
    <w:p w14:paraId="14EA2F03" w14:textId="77777777" w:rsidR="00F00A6F" w:rsidRDefault="00F00A6F" w:rsidP="007D780F">
      <w:pPr>
        <w:pStyle w:val="123odstavec"/>
      </w:pPr>
      <w:r w:rsidRPr="00ED2FF9">
        <w:t>Veškeré změny a doplňky této Smlouvy mohou být činěny formou číslovaných písemných dodatků ke Smlouvě, a nabývají účinnosti datem zveřejnění dodatku prostřednictvím registru smluv.</w:t>
      </w:r>
    </w:p>
    <w:p w14:paraId="771A4939" w14:textId="77777777" w:rsidR="00F00A6F" w:rsidRDefault="00F00A6F" w:rsidP="007D780F">
      <w:pPr>
        <w:pStyle w:val="123odstavec"/>
      </w:pPr>
      <w:r w:rsidRPr="00ED2FF9">
        <w:t>Práva a povinnosti touto Smlouvou neupravené se řídí ustanoveními občanského zákoníku a dalšími platnými právními předpisy ČR.</w:t>
      </w:r>
    </w:p>
    <w:p w14:paraId="46780652" w14:textId="2BF50C03" w:rsidR="00F00A6F" w:rsidRDefault="00F00A6F" w:rsidP="007D780F">
      <w:pPr>
        <w:pStyle w:val="123odstavec"/>
      </w:pPr>
      <w:r w:rsidRPr="00ED2FF9">
        <w:t>Smluvní strany prohlašují, že tato Smlouva byla sepsána na základě jejich svobodné, vážné, omylu prosté a pravé vůle a že se řádně seznámily</w:t>
      </w:r>
      <w:r w:rsidR="00A9639A">
        <w:t xml:space="preserve"> s </w:t>
      </w:r>
      <w:r w:rsidRPr="00ED2FF9">
        <w:t xml:space="preserve">textem </w:t>
      </w:r>
      <w:r w:rsidRPr="00ED2FF9">
        <w:lastRenderedPageBreak/>
        <w:t>této Smlouvy a neshledávají</w:t>
      </w:r>
      <w:r w:rsidR="00A9639A">
        <w:t xml:space="preserve"> v </w:t>
      </w:r>
      <w:r w:rsidRPr="00ED2FF9">
        <w:t>něm žádných vad. Na důkaz toho připojují své podpisy pod text této Smlouvy.</w:t>
      </w:r>
    </w:p>
    <w:p w14:paraId="05973FF3" w14:textId="58D7CBB4" w:rsidR="00F00A6F" w:rsidRDefault="00F00A6F" w:rsidP="007D780F">
      <w:pPr>
        <w:pStyle w:val="123odstavec"/>
      </w:pPr>
      <w:r w:rsidRPr="00ED2FF9">
        <w:t>Obě smluvní strany se zavazují neprodleně informovat druhou stranu</w:t>
      </w:r>
      <w:r w:rsidR="00A9639A">
        <w:t xml:space="preserve"> o </w:t>
      </w:r>
      <w:r w:rsidRPr="00ED2FF9">
        <w:t>všech závažných skutečnostech, které by zakládaly jakoukoliv změnu tohoto smluvního vztahu.</w:t>
      </w:r>
    </w:p>
    <w:p w14:paraId="167CFDAF" w14:textId="3C6022E2" w:rsidR="00F00A6F" w:rsidRDefault="00F00A6F" w:rsidP="007D780F">
      <w:pPr>
        <w:pStyle w:val="123odstavec"/>
      </w:pPr>
      <w:r>
        <w:t xml:space="preserve">Ve věcech </w:t>
      </w:r>
      <w:r w:rsidR="009D0C0D">
        <w:t xml:space="preserve">finančního </w:t>
      </w:r>
      <w:r>
        <w:t>vypořádání prostředků, které byly na základě této Smlouvy</w:t>
      </w:r>
      <w:r w:rsidR="009D0C0D">
        <w:t xml:space="preserve"> příjemci</w:t>
      </w:r>
      <w:r>
        <w:t xml:space="preserve"> poskytnuty, jedná za příjemce</w:t>
      </w:r>
      <w:r w:rsidR="009D0C0D">
        <w:t xml:space="preserve"> osoba: </w:t>
      </w:r>
      <w:proofErr w:type="spellStart"/>
      <w:r w:rsidR="002F69DA">
        <w:t>xxxxxxxx</w:t>
      </w:r>
      <w:proofErr w:type="spellEnd"/>
      <w:r w:rsidR="007928BF">
        <w:t xml:space="preserve"> </w:t>
      </w:r>
      <w:proofErr w:type="spellStart"/>
      <w:r w:rsidR="002F69DA">
        <w:t>xxxxxxx</w:t>
      </w:r>
      <w:proofErr w:type="spellEnd"/>
      <w:r>
        <w:t xml:space="preserve">, jejíž kontaktní e-mail je: </w:t>
      </w:r>
      <w:proofErr w:type="spellStart"/>
      <w:r w:rsidR="00404EBA">
        <w:t>xxxxx</w:t>
      </w:r>
      <w:r w:rsidR="007928BF">
        <w:t>.</w:t>
      </w:r>
      <w:r w:rsidR="00404EBA">
        <w:t>xxxxx</w:t>
      </w:r>
      <w:proofErr w:type="spellEnd"/>
      <w:r w:rsidR="007928BF">
        <w:rPr>
          <w:lang w:val="en-US"/>
        </w:rPr>
        <w:t>@</w:t>
      </w:r>
      <w:r w:rsidR="002F69DA">
        <w:rPr>
          <w:lang w:val="en-US"/>
        </w:rPr>
        <w:t>xxxxxxx</w:t>
      </w:r>
      <w:r w:rsidR="007928BF">
        <w:t>.</w:t>
      </w:r>
      <w:proofErr w:type="spellStart"/>
      <w:r w:rsidR="00404EBA">
        <w:t>xxx</w:t>
      </w:r>
      <w:proofErr w:type="spellEnd"/>
      <w:r w:rsidR="00404EBA">
        <w:t>.</w:t>
      </w:r>
    </w:p>
    <w:p w14:paraId="541CE316" w14:textId="3BA4E646" w:rsidR="00F00A6F" w:rsidRDefault="00F00A6F" w:rsidP="00AE526C">
      <w:pPr>
        <w:pStyle w:val="Odsazen"/>
      </w:pPr>
      <w:r>
        <w:t>Příjemce je oprávněn změnit tuto osobu nebo její kontaktní e-mail, bez nutnosti uzavírání dodatku</w:t>
      </w:r>
      <w:r w:rsidR="00A9639A">
        <w:t xml:space="preserve"> k </w:t>
      </w:r>
      <w:r>
        <w:t>této Smlouvě, a to</w:t>
      </w:r>
      <w:r w:rsidR="00A9639A">
        <w:t xml:space="preserve"> s </w:t>
      </w:r>
      <w:r>
        <w:t>účinností dnem následujícím po dni prokazatelného doručení oznámení</w:t>
      </w:r>
      <w:r w:rsidR="00A9639A">
        <w:t xml:space="preserve"> o </w:t>
      </w:r>
      <w:r>
        <w:t>této změně poskytovateli.</w:t>
      </w:r>
    </w:p>
    <w:p w14:paraId="7340ABE4" w14:textId="6283B301" w:rsidR="00F00A6F" w:rsidRDefault="00F00A6F" w:rsidP="007D780F">
      <w:pPr>
        <w:pStyle w:val="123odstavec"/>
      </w:pPr>
      <w:r w:rsidRPr="00834674">
        <w:t>Smluvní strany výslovně prohlašují, že obsah Smlouvy není předmětem utajení a</w:t>
      </w:r>
      <w:r w:rsidR="002C7534">
        <w:t> </w:t>
      </w:r>
      <w:r w:rsidRPr="00834674">
        <w:t xml:space="preserve">že souhlasí se zveřejněním Smlouvy a jejích případných dodatků na </w:t>
      </w:r>
      <w:hyperlink r:id="rId20" w:history="1">
        <w:r w:rsidR="00652173" w:rsidRPr="00652173">
          <w:rPr>
            <w:rStyle w:val="Hypertextovodkaz"/>
          </w:rPr>
          <w:t>sfdi.gov.cz</w:t>
        </w:r>
      </w:hyperlink>
      <w:r w:rsidRPr="00834674">
        <w:t xml:space="preserve"> bez stanovení dalších podmínek. Poskytovatel zajistí zveřejnění Smlouvy a jejich dodatků prostřednictvím registru smluv</w:t>
      </w:r>
      <w:r w:rsidR="00A9639A">
        <w:t xml:space="preserve"> v </w:t>
      </w:r>
      <w:r w:rsidRPr="00834674">
        <w:t>souladu se zákonem č.</w:t>
      </w:r>
      <w:r w:rsidR="002C7534">
        <w:t> </w:t>
      </w:r>
      <w:r w:rsidRPr="00834674">
        <w:t>340/2015 Sb.,</w:t>
      </w:r>
      <w:r w:rsidR="00A9639A">
        <w:t xml:space="preserve"> o </w:t>
      </w:r>
      <w:r w:rsidRPr="00834674">
        <w:t>zvláštních podmínkách účinnosti některých smluv, uveřejňování těchto smluv a</w:t>
      </w:r>
      <w:r w:rsidR="003534F1">
        <w:t> </w:t>
      </w:r>
      <w:r w:rsidR="00A9639A">
        <w:t>o </w:t>
      </w:r>
      <w:r w:rsidRPr="00834674">
        <w:t>registru smluv (zákon</w:t>
      </w:r>
      <w:r w:rsidR="00A9639A">
        <w:t xml:space="preserve"> o </w:t>
      </w:r>
      <w:r w:rsidRPr="00834674">
        <w:t>registru smluv)</w:t>
      </w:r>
      <w:r>
        <w:t>, ve znění pozdějších předpisů</w:t>
      </w:r>
      <w:r w:rsidRPr="00834674">
        <w:t>.</w:t>
      </w:r>
    </w:p>
    <w:p w14:paraId="130F2F0F" w14:textId="6891E26B" w:rsidR="00624EA8" w:rsidRDefault="00F00A6F" w:rsidP="007D780F">
      <w:pPr>
        <w:pStyle w:val="123odstavec"/>
      </w:pPr>
      <w:r>
        <w:t>Smluvní strany shodně konstatují, že</w:t>
      </w:r>
      <w:r w:rsidR="00A9639A">
        <w:t xml:space="preserve"> v </w:t>
      </w:r>
      <w:r>
        <w:t>souvislosti</w:t>
      </w:r>
      <w:r w:rsidR="00A9639A">
        <w:t xml:space="preserve"> s </w:t>
      </w:r>
      <w:r>
        <w:t>uzavřením této Smlouvy a na jejím základě si smluvní strany vzájemně předávají a i do budoucna budou předávat za účelem zajištění řádného plnění Smlouvy osobní údaje kontaktních osob, které se podílejí nebo budou podílet na plnění této Smlouvy,</w:t>
      </w:r>
      <w:r w:rsidR="00A9639A">
        <w:t xml:space="preserve"> s </w:t>
      </w:r>
      <w:r>
        <w:t>uvedením jejich osobních údajů: jméno, příjmení, titul, funkce, telefonický a e-mailový kontakt, u kterých právním důvodem pro jejich zpracování smluvními stranami, jako správci těchto osobních údajů, je jejich oprávněný zájem na splnění této Smlouvy, na kterém se</w:t>
      </w:r>
      <w:r w:rsidR="00A9639A">
        <w:t xml:space="preserve"> v </w:t>
      </w:r>
      <w:r>
        <w:t>mezích své kompetence podílejí subjekty údajů.</w:t>
      </w:r>
      <w:r w:rsidR="00A9639A">
        <w:t xml:space="preserve"> V </w:t>
      </w:r>
      <w:r>
        <w:t>souvislosti</w:t>
      </w:r>
      <w:r w:rsidR="00A9639A">
        <w:t xml:space="preserve"> s </w:t>
      </w:r>
      <w:r>
        <w:t>tím se každá smluvní strana zavazuje</w:t>
      </w:r>
      <w:r w:rsidR="00A9639A">
        <w:t xml:space="preserve"> v </w:t>
      </w:r>
      <w:r>
        <w:t>rámci svých povinností, jako správce předaných osobních údajů, zajistit, aby subjekty těchto údajů byly při poskytnutí osobních údajů informovány dle článku 13 Nařízení Evropského parlamentu a Rady (EU) č.</w:t>
      </w:r>
      <w:r w:rsidR="002C7534">
        <w:t> </w:t>
      </w:r>
      <w:r>
        <w:t>2016/679 ze dne 27. dubna 2016</w:t>
      </w:r>
      <w:r w:rsidR="00A9639A">
        <w:t xml:space="preserve"> o </w:t>
      </w:r>
      <w:r>
        <w:t>ochraně fyzických osob</w:t>
      </w:r>
      <w:r w:rsidR="00A9639A">
        <w:t xml:space="preserve"> v </w:t>
      </w:r>
      <w:r>
        <w:t>souvislosti se zpracováním osobních údajů a</w:t>
      </w:r>
      <w:r w:rsidR="00A9639A">
        <w:t xml:space="preserve"> o </w:t>
      </w:r>
      <w:r>
        <w:t>volném pohybu těchto údajů a</w:t>
      </w:r>
      <w:r w:rsidR="00A9639A">
        <w:t xml:space="preserve"> o </w:t>
      </w:r>
      <w:r>
        <w:t xml:space="preserve">zrušení </w:t>
      </w:r>
      <w:r w:rsidRPr="00AE526C">
        <w:t>směrnice 95/46/ES (obecné nařízení</w:t>
      </w:r>
      <w:r w:rsidR="00A9639A" w:rsidRPr="00AE526C">
        <w:t xml:space="preserve"> o </w:t>
      </w:r>
      <w:r w:rsidRPr="00AE526C">
        <w:t>ochraně osobních údajů)</w:t>
      </w:r>
      <w:r w:rsidR="00A9639A" w:rsidRPr="00AE526C">
        <w:t xml:space="preserve"> o </w:t>
      </w:r>
      <w:r w:rsidRPr="00AE526C">
        <w:t>zpracování poskytnutých osobních údajů pro účel plnění této Smlouvy, a že toto zpracování je</w:t>
      </w:r>
      <w:r w:rsidR="00A9639A" w:rsidRPr="00AE526C">
        <w:t xml:space="preserve"> v </w:t>
      </w:r>
      <w:r w:rsidRPr="00AE526C">
        <w:t>souladu</w:t>
      </w:r>
      <w:r w:rsidR="00A9639A" w:rsidRPr="00AE526C">
        <w:t xml:space="preserve"> s </w:t>
      </w:r>
      <w:r w:rsidRPr="00AE526C">
        <w:t>úpravou dle článku 6 odst. 1 písm. f) uvedeného nařízení a se zákonem č.</w:t>
      </w:r>
      <w:r w:rsidR="002C7534">
        <w:t> </w:t>
      </w:r>
      <w:r w:rsidRPr="00AE526C">
        <w:t>110/2019 Sb.,</w:t>
      </w:r>
      <w:r w:rsidR="00A9639A" w:rsidRPr="00AE526C">
        <w:t xml:space="preserve"> o </w:t>
      </w:r>
      <w:r w:rsidRPr="00AE526C">
        <w:t>zpracování osobních údajů, a dále, aby subjekty údajů byly informovány</w:t>
      </w:r>
      <w:r w:rsidR="00A9639A" w:rsidRPr="00AE526C">
        <w:t xml:space="preserve"> o </w:t>
      </w:r>
      <w:r w:rsidRPr="00AE526C">
        <w:t>svých právech</w:t>
      </w:r>
      <w:r w:rsidR="00A9639A" w:rsidRPr="00AE526C">
        <w:t xml:space="preserve"> v </w:t>
      </w:r>
      <w:r w:rsidRPr="00AE526C">
        <w:t>rozsahu, jak pro ně vyplývají</w:t>
      </w:r>
      <w:r w:rsidR="00A9639A" w:rsidRPr="00AE526C">
        <w:t xml:space="preserve"> z </w:t>
      </w:r>
      <w:r w:rsidRPr="00AE526C">
        <w:t>uvedeného nařízení a</w:t>
      </w:r>
      <w:r w:rsidR="00A9639A" w:rsidRPr="00AE526C">
        <w:t xml:space="preserve"> z </w:t>
      </w:r>
      <w:r w:rsidRPr="00AE526C">
        <w:t>citovaného zákona.</w:t>
      </w:r>
    </w:p>
    <w:p w14:paraId="3FA81C7B" w14:textId="77777777" w:rsidR="00624EA8" w:rsidRDefault="00624EA8">
      <w:pPr>
        <w:spacing w:before="240" w:line="276" w:lineRule="auto"/>
        <w:ind w:right="227"/>
        <w:jc w:val="left"/>
      </w:pPr>
      <w:r>
        <w:br w:type="page"/>
      </w:r>
    </w:p>
    <w:p w14:paraId="488D1536" w14:textId="77777777" w:rsidR="00F00A6F" w:rsidRDefault="00F00A6F" w:rsidP="007D780F">
      <w:pPr>
        <w:pStyle w:val="123odstavec"/>
      </w:pPr>
      <w:r w:rsidRPr="00AE526C">
        <w:lastRenderedPageBreak/>
        <w:t>Smlouva</w:t>
      </w:r>
      <w:r w:rsidRPr="00834674">
        <w:t xml:space="preserve"> je uzavřena elektronicky. Po podepsání Smlouvy oběma smluvními stranami obdrží podepsanou Smlouvu také Řídicí orgán.</w:t>
      </w:r>
    </w:p>
    <w:p w14:paraId="7BA85712" w14:textId="77777777" w:rsidR="00DD313C" w:rsidRDefault="00DD313C" w:rsidP="00DD313C">
      <w:pPr>
        <w:pStyle w:val="123odstavec"/>
        <w:numPr>
          <w:ilvl w:val="0"/>
          <w:numId w:val="0"/>
        </w:numPr>
        <w:ind w:left="851"/>
      </w:pPr>
    </w:p>
    <w:p w14:paraId="0DD296A3" w14:textId="77777777" w:rsidR="00DD313C" w:rsidRDefault="00DD313C" w:rsidP="00DD313C">
      <w:pPr>
        <w:pStyle w:val="123odstavec"/>
        <w:numPr>
          <w:ilvl w:val="0"/>
          <w:numId w:val="0"/>
        </w:numPr>
        <w:ind w:left="851"/>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00A6F" w:rsidRPr="00261FB1" w14:paraId="7DD7CE53" w14:textId="77777777" w:rsidTr="007176DE">
        <w:trPr>
          <w:cnfStyle w:val="100000000000" w:firstRow="1" w:lastRow="0" w:firstColumn="0" w:lastColumn="0" w:oddVBand="0" w:evenVBand="0" w:oddHBand="0"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4530" w:type="dxa"/>
            <w:shd w:val="clear" w:color="auto" w:fill="auto"/>
          </w:tcPr>
          <w:p w14:paraId="0CB66A99" w14:textId="77777777" w:rsidR="00F00A6F" w:rsidRPr="00261FB1" w:rsidRDefault="00F00A6F" w:rsidP="007176DE">
            <w:pPr>
              <w:rPr>
                <w:b w:val="0"/>
                <w:bCs/>
              </w:rPr>
            </w:pPr>
            <w:r w:rsidRPr="00261FB1">
              <w:rPr>
                <w:b w:val="0"/>
                <w:bCs/>
              </w:rPr>
              <w:t>V Praze dne</w:t>
            </w:r>
          </w:p>
        </w:tc>
        <w:tc>
          <w:tcPr>
            <w:tcW w:w="4530" w:type="dxa"/>
            <w:shd w:val="clear" w:color="auto" w:fill="auto"/>
          </w:tcPr>
          <w:p w14:paraId="4D241F76" w14:textId="41AC526E" w:rsidR="00F00A6F" w:rsidRPr="00521C15" w:rsidRDefault="00F00A6F" w:rsidP="007176DE">
            <w:pPr>
              <w:cnfStyle w:val="100000000000" w:firstRow="1" w:lastRow="0" w:firstColumn="0" w:lastColumn="0" w:oddVBand="0" w:evenVBand="0" w:oddHBand="0" w:evenHBand="0" w:firstRowFirstColumn="0" w:firstRowLastColumn="0" w:lastRowFirstColumn="0" w:lastRowLastColumn="0"/>
              <w:rPr>
                <w:b w:val="0"/>
                <w:bCs/>
              </w:rPr>
            </w:pPr>
            <w:r w:rsidRPr="00521C15">
              <w:rPr>
                <w:b w:val="0"/>
                <w:bCs/>
              </w:rPr>
              <w:t xml:space="preserve">V </w:t>
            </w:r>
            <w:r w:rsidR="00624EA8">
              <w:rPr>
                <w:b w:val="0"/>
                <w:bCs/>
              </w:rPr>
              <w:t>Paskově</w:t>
            </w:r>
            <w:r w:rsidRPr="00521C15">
              <w:rPr>
                <w:b w:val="0"/>
                <w:bCs/>
              </w:rPr>
              <w:t xml:space="preserve"> dne</w:t>
            </w:r>
          </w:p>
        </w:tc>
      </w:tr>
      <w:tr w:rsidR="00F00A6F" w:rsidRPr="00C8505E" w14:paraId="4913E59E" w14:textId="77777777" w:rsidTr="007176DE">
        <w:tc>
          <w:tcPr>
            <w:cnfStyle w:val="001000000000" w:firstRow="0" w:lastRow="0" w:firstColumn="1" w:lastColumn="0" w:oddVBand="0" w:evenVBand="0" w:oddHBand="0" w:evenHBand="0" w:firstRowFirstColumn="0" w:firstRowLastColumn="0" w:lastRowFirstColumn="0" w:lastRowLastColumn="0"/>
            <w:tcW w:w="4530" w:type="dxa"/>
            <w:shd w:val="clear" w:color="auto" w:fill="auto"/>
          </w:tcPr>
          <w:p w14:paraId="5B134BE6" w14:textId="77777777" w:rsidR="00F00A6F" w:rsidRPr="00C8505E" w:rsidRDefault="00F00A6F" w:rsidP="007176DE">
            <w:pPr>
              <w:rPr>
                <w:b w:val="0"/>
                <w:bCs/>
              </w:rPr>
            </w:pPr>
            <w:r w:rsidRPr="00C8505E">
              <w:rPr>
                <w:b w:val="0"/>
                <w:bCs/>
              </w:rPr>
              <w:t>…………………………………………</w:t>
            </w:r>
          </w:p>
          <w:p w14:paraId="2E363408" w14:textId="77777777" w:rsidR="00624EA8" w:rsidRPr="00624EA8" w:rsidRDefault="00624EA8" w:rsidP="00624EA8">
            <w:r w:rsidRPr="00624EA8">
              <w:t>Ing. Zbyněk Hořelica</w:t>
            </w:r>
          </w:p>
          <w:p w14:paraId="382A751B" w14:textId="77777777" w:rsidR="00F00A6F" w:rsidRPr="00C8505E" w:rsidRDefault="00F00A6F" w:rsidP="007176DE">
            <w:pPr>
              <w:rPr>
                <w:b w:val="0"/>
                <w:bCs/>
              </w:rPr>
            </w:pPr>
            <w:r w:rsidRPr="00C8505E">
              <w:rPr>
                <w:b w:val="0"/>
                <w:bCs/>
              </w:rPr>
              <w:t>ředitel</w:t>
            </w:r>
          </w:p>
          <w:p w14:paraId="4FDB4C46" w14:textId="77777777" w:rsidR="00F00A6F" w:rsidRPr="00C8505E" w:rsidRDefault="00F00A6F" w:rsidP="007176DE">
            <w:pPr>
              <w:rPr>
                <w:b w:val="0"/>
                <w:bCs/>
              </w:rPr>
            </w:pPr>
            <w:r w:rsidRPr="00C8505E">
              <w:rPr>
                <w:b w:val="0"/>
                <w:bCs/>
              </w:rPr>
              <w:t>Státní fond dopravní infrastruktury</w:t>
            </w:r>
          </w:p>
        </w:tc>
        <w:tc>
          <w:tcPr>
            <w:tcW w:w="4530" w:type="dxa"/>
          </w:tcPr>
          <w:p w14:paraId="2B09ED80" w14:textId="77777777" w:rsidR="00F00A6F" w:rsidRPr="00C8505E" w:rsidRDefault="00F00A6F" w:rsidP="007176DE">
            <w:pPr>
              <w:cnfStyle w:val="000000000000" w:firstRow="0" w:lastRow="0" w:firstColumn="0" w:lastColumn="0" w:oddVBand="0" w:evenVBand="0" w:oddHBand="0" w:evenHBand="0" w:firstRowFirstColumn="0" w:firstRowLastColumn="0" w:lastRowFirstColumn="0" w:lastRowLastColumn="0"/>
              <w:rPr>
                <w:bCs/>
              </w:rPr>
            </w:pPr>
            <w:r w:rsidRPr="00C8505E">
              <w:rPr>
                <w:bCs/>
              </w:rPr>
              <w:t>…………………………………………</w:t>
            </w:r>
          </w:p>
          <w:p w14:paraId="36E919B2" w14:textId="5944AFB0" w:rsidR="00F00A6F" w:rsidRPr="00C8505E" w:rsidRDefault="00624EA8" w:rsidP="007176DE">
            <w:pPr>
              <w:cnfStyle w:val="000000000000" w:firstRow="0" w:lastRow="0" w:firstColumn="0" w:lastColumn="0" w:oddVBand="0" w:evenVBand="0" w:oddHBand="0" w:evenHBand="0" w:firstRowFirstColumn="0" w:firstRowLastColumn="0" w:lastRowFirstColumn="0" w:lastRowLastColumn="0"/>
              <w:rPr>
                <w:b/>
              </w:rPr>
            </w:pPr>
            <w:r>
              <w:rPr>
                <w:b/>
              </w:rPr>
              <w:t>Ing. Kateřina Kupková</w:t>
            </w:r>
          </w:p>
          <w:p w14:paraId="278BA578" w14:textId="66326429" w:rsidR="00F00A6F" w:rsidRPr="00C8505E" w:rsidRDefault="00624EA8" w:rsidP="007176DE">
            <w:pPr>
              <w:cnfStyle w:val="000000000000" w:firstRow="0" w:lastRow="0" w:firstColumn="0" w:lastColumn="0" w:oddVBand="0" w:evenVBand="0" w:oddHBand="0" w:evenHBand="0" w:firstRowFirstColumn="0" w:firstRowLastColumn="0" w:lastRowFirstColumn="0" w:lastRowLastColumn="0"/>
              <w:rPr>
                <w:bCs/>
              </w:rPr>
            </w:pPr>
            <w:r>
              <w:rPr>
                <w:bCs/>
              </w:rPr>
              <w:t>předsedkyně správní rady</w:t>
            </w:r>
          </w:p>
          <w:p w14:paraId="3357C456" w14:textId="30370CF2" w:rsidR="00F00A6F" w:rsidRPr="00C8505E" w:rsidRDefault="00624EA8" w:rsidP="007176DE">
            <w:pPr>
              <w:cnfStyle w:val="000000000000" w:firstRow="0" w:lastRow="0" w:firstColumn="0" w:lastColumn="0" w:oddVBand="0" w:evenVBand="0" w:oddHBand="0" w:evenHBand="0" w:firstRowFirstColumn="0" w:firstRowLastColumn="0" w:lastRowFirstColumn="0" w:lastRowLastColumn="0"/>
              <w:rPr>
                <w:bCs/>
              </w:rPr>
            </w:pPr>
            <w:proofErr w:type="spellStart"/>
            <w:r>
              <w:rPr>
                <w:bCs/>
              </w:rPr>
              <w:t>Lenzing</w:t>
            </w:r>
            <w:proofErr w:type="spellEnd"/>
            <w:r>
              <w:rPr>
                <w:bCs/>
              </w:rPr>
              <w:t xml:space="preserve"> Biocel Paskov a.s.</w:t>
            </w:r>
          </w:p>
        </w:tc>
      </w:tr>
    </w:tbl>
    <w:p w14:paraId="1B5CB817" w14:textId="77777777" w:rsidR="00F00A6F" w:rsidRDefault="00F00A6F" w:rsidP="00F00A6F"/>
    <w:p w14:paraId="4980C982" w14:textId="77777777" w:rsidR="00624EA8" w:rsidRDefault="00624EA8" w:rsidP="00F00A6F"/>
    <w:p w14:paraId="04CF45C4" w14:textId="77777777" w:rsidR="00624EA8" w:rsidRPr="00832C75" w:rsidRDefault="00624EA8" w:rsidP="00F00A6F"/>
    <w:p w14:paraId="4C469388" w14:textId="77777777" w:rsidR="00624EA8" w:rsidRPr="00624EA8" w:rsidRDefault="00624EA8" w:rsidP="00624EA8">
      <w:pPr>
        <w:spacing w:after="0"/>
        <w:ind w:left="4678"/>
        <w:rPr>
          <w:bCs/>
        </w:rPr>
      </w:pPr>
      <w:r w:rsidRPr="00624EA8">
        <w:rPr>
          <w:bCs/>
        </w:rPr>
        <w:t>…………………………………………</w:t>
      </w:r>
    </w:p>
    <w:p w14:paraId="4A96B32E" w14:textId="4D52723A" w:rsidR="00624EA8" w:rsidRPr="00624EA8" w:rsidRDefault="00624EA8" w:rsidP="00624EA8">
      <w:pPr>
        <w:spacing w:after="0"/>
        <w:ind w:left="4678"/>
        <w:rPr>
          <w:b/>
        </w:rPr>
      </w:pPr>
      <w:r w:rsidRPr="00624EA8">
        <w:rPr>
          <w:b/>
        </w:rPr>
        <w:t xml:space="preserve">Ing. </w:t>
      </w:r>
      <w:r>
        <w:rPr>
          <w:b/>
        </w:rPr>
        <w:t>Vojtěch</w:t>
      </w:r>
      <w:r w:rsidRPr="00624EA8">
        <w:rPr>
          <w:b/>
        </w:rPr>
        <w:t xml:space="preserve"> </w:t>
      </w:r>
      <w:proofErr w:type="spellStart"/>
      <w:r>
        <w:rPr>
          <w:b/>
        </w:rPr>
        <w:t>Podmol</w:t>
      </w:r>
      <w:r w:rsidRPr="00624EA8">
        <w:rPr>
          <w:b/>
        </w:rPr>
        <w:t>ík</w:t>
      </w:r>
      <w:proofErr w:type="spellEnd"/>
    </w:p>
    <w:p w14:paraId="1264BF56" w14:textId="50931DFC" w:rsidR="00624EA8" w:rsidRPr="00624EA8" w:rsidRDefault="004C6B02" w:rsidP="00624EA8">
      <w:pPr>
        <w:spacing w:after="0"/>
        <w:ind w:left="4678"/>
        <w:rPr>
          <w:bCs/>
        </w:rPr>
      </w:pPr>
      <w:r>
        <w:rPr>
          <w:bCs/>
        </w:rPr>
        <w:t>člen správní rady</w:t>
      </w:r>
    </w:p>
    <w:p w14:paraId="3E0CEEA1" w14:textId="4A7A15BD" w:rsidR="00624EA8" w:rsidRPr="00624EA8" w:rsidRDefault="00624EA8" w:rsidP="00624EA8">
      <w:pPr>
        <w:ind w:left="4678"/>
      </w:pPr>
      <w:proofErr w:type="spellStart"/>
      <w:r w:rsidRPr="00624EA8">
        <w:rPr>
          <w:bCs/>
        </w:rPr>
        <w:t>Le</w:t>
      </w:r>
      <w:r w:rsidR="004C6B02">
        <w:rPr>
          <w:bCs/>
        </w:rPr>
        <w:t>nz</w:t>
      </w:r>
      <w:r w:rsidRPr="00624EA8">
        <w:rPr>
          <w:bCs/>
        </w:rPr>
        <w:t>i</w:t>
      </w:r>
      <w:r w:rsidR="004C6B02">
        <w:rPr>
          <w:bCs/>
        </w:rPr>
        <w:t>ng</w:t>
      </w:r>
      <w:proofErr w:type="spellEnd"/>
      <w:r w:rsidR="004C6B02">
        <w:rPr>
          <w:bCs/>
        </w:rPr>
        <w:t xml:space="preserve"> Biocel Paskov</w:t>
      </w:r>
      <w:r w:rsidRPr="00624EA8">
        <w:rPr>
          <w:bCs/>
        </w:rPr>
        <w:t xml:space="preserve"> a.s.</w:t>
      </w:r>
    </w:p>
    <w:p w14:paraId="051A5CE8" w14:textId="77777777" w:rsidR="00041BEA" w:rsidRPr="00666711" w:rsidRDefault="00041BEA" w:rsidP="00666711"/>
    <w:sectPr w:rsidR="00041BEA" w:rsidRPr="00666711" w:rsidSect="00505089">
      <w:headerReference w:type="default" r:id="rId21"/>
      <w:footerReference w:type="default" r:id="rId22"/>
      <w:headerReference w:type="first" r:id="rId23"/>
      <w:footerReference w:type="first" r:id="rId24"/>
      <w:pgSz w:w="11906" w:h="16838"/>
      <w:pgMar w:top="1985"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0CF8" w14:textId="77777777" w:rsidR="001C5C7B" w:rsidRDefault="001C5C7B" w:rsidP="00AF4F11">
      <w:r>
        <w:separator/>
      </w:r>
    </w:p>
  </w:endnote>
  <w:endnote w:type="continuationSeparator" w:id="0">
    <w:p w14:paraId="3527562E" w14:textId="77777777" w:rsidR="001C5C7B" w:rsidRDefault="001C5C7B" w:rsidP="00AF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Pro Light">
    <w:charset w:val="00"/>
    <w:family w:val="swiss"/>
    <w:pitch w:val="variable"/>
    <w:sig w:usb0="80000287" w:usb1="00000043"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C31F" w14:textId="60D7E6BB" w:rsidR="00C215EE" w:rsidRPr="000B0E82" w:rsidRDefault="000B0E82" w:rsidP="000B0E82">
    <w:pPr>
      <w:pStyle w:val="Zpat"/>
    </w:pPr>
    <w:r w:rsidRPr="000B0E82">
      <w:tab/>
    </w:r>
    <w:r w:rsidRPr="000B0E82">
      <w:tab/>
    </w:r>
    <w:r w:rsidRPr="000B0E82">
      <w:fldChar w:fldCharType="begin"/>
    </w:r>
    <w:r w:rsidRPr="000B0E82">
      <w:instrText>PAGE  \* Arabic  \* MERGEFORMAT</w:instrText>
    </w:r>
    <w:r w:rsidRPr="000B0E82">
      <w:fldChar w:fldCharType="separate"/>
    </w:r>
    <w:r w:rsidRPr="000B0E82">
      <w:t>1</w:t>
    </w:r>
    <w:r w:rsidRPr="000B0E82">
      <w:fldChar w:fldCharType="end"/>
    </w:r>
    <w:r w:rsidRPr="000B0E82">
      <w:t>/</w:t>
    </w:r>
    <w:fldSimple w:instr="NUMPAGES  \* Arabic  \* MERGEFORMAT">
      <w:r w:rsidRPr="000B0E82">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89D3" w14:textId="5EABA0D3" w:rsidR="001547A7" w:rsidRPr="001547A7" w:rsidRDefault="001547A7" w:rsidP="001547A7">
    <w:pPr>
      <w:tabs>
        <w:tab w:val="center" w:pos="4536"/>
        <w:tab w:val="right" w:pos="9180"/>
      </w:tabs>
      <w:spacing w:after="0" w:line="264" w:lineRule="auto"/>
      <w:jc w:val="left"/>
      <w:rPr>
        <w:rFonts w:asciiTheme="minorHAnsi" w:eastAsiaTheme="minorHAnsi" w:hAnsiTheme="minorHAnsi" w:cstheme="minorBidi"/>
        <w:noProof/>
        <w:color w:val="00447A" w:themeColor="text1"/>
        <w:sz w:val="16"/>
        <w:szCs w:val="22"/>
      </w:rPr>
    </w:pPr>
    <w:r w:rsidRPr="001547A7">
      <w:rPr>
        <w:rFonts w:asciiTheme="minorHAnsi" w:eastAsiaTheme="minorHAnsi" w:hAnsiTheme="minorHAnsi" w:cstheme="minorBidi"/>
        <w:noProof/>
        <w:color w:val="00447A" w:themeColor="text1"/>
        <w:sz w:val="16"/>
        <w:szCs w:val="22"/>
      </w:rPr>
      <w:tab/>
    </w:r>
    <w:r w:rsidRPr="001547A7">
      <w:rPr>
        <w:rFonts w:asciiTheme="minorHAnsi" w:eastAsiaTheme="minorHAnsi" w:hAnsiTheme="minorHAnsi" w:cstheme="minorBidi"/>
        <w:noProof/>
        <w:color w:val="00447A" w:themeColor="text1"/>
        <w:sz w:val="16"/>
        <w:szCs w:val="22"/>
      </w:rPr>
      <w:tab/>
    </w:r>
    <w:r w:rsidRPr="001547A7">
      <w:rPr>
        <w:rFonts w:asciiTheme="minorHAnsi" w:eastAsiaTheme="minorHAnsi" w:hAnsiTheme="minorHAnsi" w:cstheme="minorBidi"/>
        <w:noProof/>
        <w:color w:val="00447A" w:themeColor="text1"/>
        <w:sz w:val="16"/>
        <w:szCs w:val="22"/>
      </w:rPr>
      <w:fldChar w:fldCharType="begin"/>
    </w:r>
    <w:r w:rsidRPr="001547A7">
      <w:rPr>
        <w:rFonts w:asciiTheme="minorHAnsi" w:eastAsiaTheme="minorHAnsi" w:hAnsiTheme="minorHAnsi" w:cstheme="minorBidi"/>
        <w:noProof/>
        <w:color w:val="00447A" w:themeColor="text1"/>
        <w:sz w:val="16"/>
        <w:szCs w:val="22"/>
      </w:rPr>
      <w:instrText>PAGE  \* Arabic  \* MERGEFORMAT</w:instrText>
    </w:r>
    <w:r w:rsidRPr="001547A7">
      <w:rPr>
        <w:rFonts w:asciiTheme="minorHAnsi" w:eastAsiaTheme="minorHAnsi" w:hAnsiTheme="minorHAnsi" w:cstheme="minorBidi"/>
        <w:noProof/>
        <w:color w:val="00447A" w:themeColor="text1"/>
        <w:sz w:val="16"/>
        <w:szCs w:val="22"/>
      </w:rPr>
      <w:fldChar w:fldCharType="separate"/>
    </w:r>
    <w:r w:rsidRPr="001547A7">
      <w:rPr>
        <w:rFonts w:asciiTheme="minorHAnsi" w:eastAsiaTheme="minorHAnsi" w:hAnsiTheme="minorHAnsi" w:cstheme="minorBidi"/>
        <w:noProof/>
        <w:color w:val="00447A" w:themeColor="text1"/>
        <w:sz w:val="16"/>
        <w:szCs w:val="22"/>
      </w:rPr>
      <w:t>2</w:t>
    </w:r>
    <w:r w:rsidRPr="001547A7">
      <w:rPr>
        <w:rFonts w:asciiTheme="minorHAnsi" w:eastAsiaTheme="minorHAnsi" w:hAnsiTheme="minorHAnsi" w:cstheme="minorBidi"/>
        <w:noProof/>
        <w:color w:val="00447A" w:themeColor="text1"/>
        <w:sz w:val="16"/>
        <w:szCs w:val="22"/>
      </w:rPr>
      <w:fldChar w:fldCharType="end"/>
    </w:r>
    <w:r w:rsidRPr="001547A7">
      <w:rPr>
        <w:rFonts w:asciiTheme="minorHAnsi" w:eastAsiaTheme="minorHAnsi" w:hAnsiTheme="minorHAnsi" w:cstheme="minorBidi"/>
        <w:noProof/>
        <w:color w:val="00447A" w:themeColor="text1"/>
        <w:sz w:val="16"/>
        <w:szCs w:val="22"/>
      </w:rPr>
      <w:t>/</w:t>
    </w:r>
    <w:r w:rsidRPr="001547A7">
      <w:rPr>
        <w:rFonts w:asciiTheme="minorHAnsi" w:eastAsiaTheme="minorHAnsi" w:hAnsiTheme="minorHAnsi" w:cstheme="minorBidi"/>
        <w:noProof/>
        <w:color w:val="00447A" w:themeColor="text1"/>
        <w:sz w:val="16"/>
        <w:szCs w:val="22"/>
      </w:rPr>
      <w:fldChar w:fldCharType="begin"/>
    </w:r>
    <w:r w:rsidRPr="001547A7">
      <w:rPr>
        <w:rFonts w:asciiTheme="minorHAnsi" w:eastAsiaTheme="minorHAnsi" w:hAnsiTheme="minorHAnsi" w:cstheme="minorBidi"/>
        <w:noProof/>
        <w:color w:val="00447A" w:themeColor="text1"/>
        <w:sz w:val="16"/>
        <w:szCs w:val="22"/>
      </w:rPr>
      <w:instrText>NUMPAGES  \* Arabic  \* MERGEFORMAT</w:instrText>
    </w:r>
    <w:r w:rsidRPr="001547A7">
      <w:rPr>
        <w:rFonts w:asciiTheme="minorHAnsi" w:eastAsiaTheme="minorHAnsi" w:hAnsiTheme="minorHAnsi" w:cstheme="minorBidi"/>
        <w:noProof/>
        <w:color w:val="00447A" w:themeColor="text1"/>
        <w:sz w:val="16"/>
        <w:szCs w:val="22"/>
      </w:rPr>
      <w:fldChar w:fldCharType="separate"/>
    </w:r>
    <w:r w:rsidRPr="001547A7">
      <w:rPr>
        <w:rFonts w:asciiTheme="minorHAnsi" w:eastAsiaTheme="minorHAnsi" w:hAnsiTheme="minorHAnsi" w:cstheme="minorBidi"/>
        <w:noProof/>
        <w:color w:val="00447A" w:themeColor="text1"/>
        <w:sz w:val="16"/>
        <w:szCs w:val="22"/>
      </w:rPr>
      <w:t>21</w:t>
    </w:r>
    <w:r w:rsidRPr="001547A7">
      <w:rPr>
        <w:rFonts w:asciiTheme="minorHAnsi" w:eastAsiaTheme="minorHAnsi" w:hAnsiTheme="minorHAnsi" w:cstheme="minorBidi"/>
        <w:noProof/>
        <w:color w:val="00447A" w:themeColor="text1"/>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9D17" w14:textId="77777777" w:rsidR="001C5C7B" w:rsidRDefault="001C5C7B" w:rsidP="00AF4F11">
      <w:r>
        <w:separator/>
      </w:r>
    </w:p>
  </w:footnote>
  <w:footnote w:type="continuationSeparator" w:id="0">
    <w:p w14:paraId="4069095A" w14:textId="77777777" w:rsidR="001C5C7B" w:rsidRDefault="001C5C7B" w:rsidP="00AF4F11">
      <w:r>
        <w:continuationSeparator/>
      </w:r>
    </w:p>
  </w:footnote>
  <w:footnote w:id="1">
    <w:p w14:paraId="4F0F0E17" w14:textId="77777777" w:rsidR="00F00A6F" w:rsidRDefault="00F00A6F" w:rsidP="00F00A6F">
      <w:pPr>
        <w:pStyle w:val="Textpoznpodarou"/>
      </w:pPr>
      <w:r>
        <w:rPr>
          <w:rStyle w:val="Znakapoznpodarou"/>
          <w:rFonts w:eastAsiaTheme="majorEastAsia"/>
        </w:rPr>
        <w:footnoteRef/>
      </w:r>
      <w:r>
        <w:t xml:space="preserve"> </w:t>
      </w:r>
      <w:r w:rsidRPr="009030E1">
        <w:t>V případě snížení celkových způsobilých výdajů Projektu bude výše finančních prostředků na financování národního podílu upravena v návaznosti na výši procentuálního podílu národního financování na snížených způsobilých výdajích Projektu.</w:t>
      </w:r>
    </w:p>
  </w:footnote>
  <w:footnote w:id="2">
    <w:p w14:paraId="0F9C69FE" w14:textId="481349D2" w:rsidR="00F00A6F" w:rsidRDefault="00F00A6F" w:rsidP="00F00A6F">
      <w:pPr>
        <w:pStyle w:val="Textpoznpodarou"/>
      </w:pPr>
      <w:r>
        <w:rPr>
          <w:rStyle w:val="Znakapoznpodarou"/>
          <w:rFonts w:eastAsiaTheme="majorEastAsia"/>
        </w:rPr>
        <w:footnoteRef/>
      </w:r>
      <w:r>
        <w:t xml:space="preserve"> </w:t>
      </w:r>
      <w:r w:rsidRPr="00672742">
        <w:rPr>
          <w:szCs w:val="18"/>
        </w:rPr>
        <w:t>Pro vyloučení pochybností se uvádí, že výdaje související</w:t>
      </w:r>
      <w:r w:rsidR="00A9639A">
        <w:rPr>
          <w:szCs w:val="18"/>
        </w:rPr>
        <w:t xml:space="preserve"> s </w:t>
      </w:r>
      <w:r w:rsidRPr="00672742">
        <w:rPr>
          <w:szCs w:val="18"/>
        </w:rPr>
        <w:t>realizací Projektu, které příjemce vydal před podáním 1. žádosti</w:t>
      </w:r>
      <w:r w:rsidR="00A9639A">
        <w:rPr>
          <w:szCs w:val="18"/>
        </w:rPr>
        <w:t xml:space="preserve"> o </w:t>
      </w:r>
      <w:r w:rsidRPr="00672742">
        <w:rPr>
          <w:szCs w:val="18"/>
        </w:rPr>
        <w:t>platbu, a které budou příjemcem zpětně vyúčtovány v rámci žádosti</w:t>
      </w:r>
      <w:r w:rsidR="00A9639A">
        <w:rPr>
          <w:szCs w:val="18"/>
        </w:rPr>
        <w:t xml:space="preserve"> o </w:t>
      </w:r>
      <w:r w:rsidRPr="00672742">
        <w:rPr>
          <w:szCs w:val="18"/>
        </w:rPr>
        <w:t>platbu, nemusely být uhrazeny</w:t>
      </w:r>
      <w:r w:rsidR="00A9639A">
        <w:rPr>
          <w:szCs w:val="18"/>
        </w:rPr>
        <w:t xml:space="preserve"> z </w:t>
      </w:r>
      <w:r w:rsidRPr="00672742">
        <w:rPr>
          <w:szCs w:val="18"/>
        </w:rPr>
        <w:t>účtu uvedeného v tomto článku Smlouvy.</w:t>
      </w:r>
    </w:p>
  </w:footnote>
  <w:footnote w:id="3">
    <w:p w14:paraId="7E9ADC62" w14:textId="1B5F13FB" w:rsidR="00F00A6F" w:rsidRDefault="00F00A6F" w:rsidP="00F00A6F">
      <w:pPr>
        <w:pStyle w:val="Textpoznpodarou"/>
      </w:pPr>
      <w:r>
        <w:rPr>
          <w:rStyle w:val="Znakapoznpodarou"/>
        </w:rPr>
        <w:footnoteRef/>
      </w:r>
      <w:r>
        <w:t xml:space="preserve"> Kvalifikovaným (§</w:t>
      </w:r>
      <w:r w:rsidR="006357BF">
        <w:t> </w:t>
      </w:r>
      <w:r>
        <w:t>5) nebo uznávaným (§</w:t>
      </w:r>
      <w:r w:rsidR="006357BF">
        <w:t> </w:t>
      </w:r>
      <w:r>
        <w:t>6) elektronickým podpisem podle zákona č.</w:t>
      </w:r>
      <w:r w:rsidR="006357BF">
        <w:t> </w:t>
      </w:r>
      <w:r>
        <w:t>276/2016 Sb.,</w:t>
      </w:r>
      <w:r w:rsidR="00A9639A">
        <w:t xml:space="preserve"> o </w:t>
      </w:r>
      <w:r w:rsidRPr="00107C70">
        <w:t>službách vytvářejících důvěru pro elektronické transakce</w:t>
      </w:r>
      <w:r>
        <w:t>, ve znění pozdějších předpisů.</w:t>
      </w:r>
    </w:p>
  </w:footnote>
  <w:footnote w:id="4">
    <w:p w14:paraId="160594C3" w14:textId="77777777" w:rsidR="00F00A6F" w:rsidRDefault="00F00A6F" w:rsidP="00F00A6F">
      <w:pPr>
        <w:pStyle w:val="Textpoznpodarou"/>
      </w:pPr>
      <w:r>
        <w:rPr>
          <w:rStyle w:val="Znakapoznpodarou"/>
          <w:rFonts w:eastAsiaTheme="majorEastAsia"/>
        </w:rPr>
        <w:footnoteRef/>
      </w:r>
      <w:r>
        <w:t xml:space="preserve"> </w:t>
      </w:r>
      <w:r w:rsidRPr="00672742">
        <w:t>Poskytovatel stanoví příjemci pro odstranění nedostatků či předložení úplných podkladů přiměřenou lhůtu</w:t>
      </w:r>
      <w:r>
        <w:t>.</w:t>
      </w:r>
    </w:p>
  </w:footnote>
  <w:footnote w:id="5">
    <w:p w14:paraId="6F28CBBD" w14:textId="751037FF" w:rsidR="00F00A6F" w:rsidRDefault="00F00A6F" w:rsidP="00F00A6F">
      <w:pPr>
        <w:pStyle w:val="Textpoznpodarou"/>
      </w:pPr>
      <w:r>
        <w:rPr>
          <w:rStyle w:val="Znakapoznpodarou"/>
          <w:rFonts w:eastAsiaTheme="majorEastAsia"/>
        </w:rPr>
        <w:footnoteRef/>
      </w:r>
      <w:r>
        <w:t xml:space="preserve"> </w:t>
      </w:r>
      <w:r w:rsidRPr="00672742">
        <w:t>Po uplynutí lhůty pro podání námitek, resp. po jejich vyřízení, pokračuje lhůta pro administraci žádosti</w:t>
      </w:r>
      <w:r w:rsidR="00A9639A">
        <w:t xml:space="preserve"> o </w:t>
      </w:r>
      <w:r w:rsidRPr="00672742">
        <w:t xml:space="preserve">platbu </w:t>
      </w:r>
      <w:r>
        <w:t>tam, kde se zastavila</w:t>
      </w:r>
      <w:r w:rsidRPr="00672742">
        <w:t>.</w:t>
      </w:r>
    </w:p>
  </w:footnote>
  <w:footnote w:id="6">
    <w:p w14:paraId="0B1CF5C5" w14:textId="02417582" w:rsidR="00F00A6F" w:rsidRDefault="00F00A6F" w:rsidP="00F00A6F">
      <w:pPr>
        <w:pStyle w:val="Textpoznpodarou"/>
      </w:pPr>
      <w:r>
        <w:rPr>
          <w:rStyle w:val="Znakapoznpodarou"/>
          <w:rFonts w:eastAsiaTheme="majorEastAsia"/>
        </w:rPr>
        <w:footnoteRef/>
      </w:r>
      <w:r>
        <w:t xml:space="preserve"> </w:t>
      </w:r>
      <w:r w:rsidRPr="00672742">
        <w:rPr>
          <w:szCs w:val="18"/>
        </w:rPr>
        <w:t>Pro vyloučení pochybností se uvádí, že způsobilé výdaje související</w:t>
      </w:r>
      <w:r w:rsidR="00A9639A">
        <w:rPr>
          <w:szCs w:val="18"/>
        </w:rPr>
        <w:t xml:space="preserve"> s </w:t>
      </w:r>
      <w:r w:rsidRPr="00672742">
        <w:rPr>
          <w:szCs w:val="18"/>
        </w:rPr>
        <w:t>realizací Projektu, které příjemce vydal před podáním 1. žádosti</w:t>
      </w:r>
      <w:r w:rsidR="00A9639A">
        <w:rPr>
          <w:szCs w:val="18"/>
        </w:rPr>
        <w:t xml:space="preserve"> o </w:t>
      </w:r>
      <w:r w:rsidRPr="00672742">
        <w:rPr>
          <w:szCs w:val="18"/>
        </w:rPr>
        <w:t>platbu, a které budou příjemci uhrazeny způsobem ex-post, nemusely být uhrazeny</w:t>
      </w:r>
      <w:r w:rsidR="00A9639A">
        <w:rPr>
          <w:szCs w:val="18"/>
        </w:rPr>
        <w:t xml:space="preserve"> z </w:t>
      </w:r>
      <w:r w:rsidRPr="00672742">
        <w:rPr>
          <w:szCs w:val="18"/>
        </w:rPr>
        <w:t>účtu uvedeného v tomto článku Smlouvy.</w:t>
      </w:r>
    </w:p>
  </w:footnote>
  <w:footnote w:id="7">
    <w:p w14:paraId="66B133F6" w14:textId="653BB56E" w:rsidR="007A12C3" w:rsidRDefault="007A12C3">
      <w:pPr>
        <w:pStyle w:val="Textpoznpodarou"/>
      </w:pPr>
      <w:r>
        <w:rPr>
          <w:rStyle w:val="Znakapoznpodarou"/>
        </w:rPr>
        <w:footnoteRef/>
      </w:r>
      <w:r>
        <w:t xml:space="preserve"> </w:t>
      </w:r>
      <w:r w:rsidR="00B40A51">
        <w:t>Ustanovení se nevztahuje na projekty, které jsou financovány pouze formou ex-post.</w:t>
      </w:r>
    </w:p>
  </w:footnote>
  <w:footnote w:id="8">
    <w:p w14:paraId="710D2D74" w14:textId="3324F7C0" w:rsidR="00F00A6F" w:rsidRDefault="00F00A6F" w:rsidP="00F00A6F">
      <w:pPr>
        <w:pStyle w:val="Textpoznpodarou"/>
      </w:pPr>
      <w:r>
        <w:rPr>
          <w:rStyle w:val="Znakapoznpodarou"/>
          <w:rFonts w:eastAsiaTheme="majorEastAsia"/>
        </w:rPr>
        <w:footnoteRef/>
      </w:r>
      <w:r>
        <w:t xml:space="preserve"> </w:t>
      </w:r>
      <w:r w:rsidRPr="0033441D">
        <w:rPr>
          <w:szCs w:val="18"/>
        </w:rPr>
        <w:t>Je vhodné, aby si příjemce vyžádal předchozí souhlas Řídicího orgánu před tím, než se příjemce rozhodne zlikvidovat jakékoliv dokumenty</w:t>
      </w:r>
      <w:r w:rsidR="00A9639A">
        <w:rPr>
          <w:szCs w:val="18"/>
        </w:rPr>
        <w:t xml:space="preserve"> k </w:t>
      </w:r>
      <w:r w:rsidRPr="0033441D">
        <w:rPr>
          <w:szCs w:val="18"/>
        </w:rPr>
        <w:t>Projektu nebo nesrovnalostem.</w:t>
      </w:r>
    </w:p>
  </w:footnote>
  <w:footnote w:id="9">
    <w:p w14:paraId="21959F66" w14:textId="43CF2DD9" w:rsidR="00F00A6F" w:rsidRDefault="00F00A6F" w:rsidP="00F00A6F">
      <w:pPr>
        <w:pStyle w:val="Textpoznpodarou"/>
      </w:pPr>
      <w:r>
        <w:rPr>
          <w:rStyle w:val="Znakapoznpodarou"/>
          <w:rFonts w:eastAsiaTheme="majorEastAsia"/>
        </w:rPr>
        <w:footnoteRef/>
      </w:r>
      <w:r>
        <w:t xml:space="preserve"> </w:t>
      </w:r>
      <w:r w:rsidRPr="0033441D">
        <w:rPr>
          <w:szCs w:val="18"/>
        </w:rPr>
        <w:t>Pro vyloučení pochybností se uvádí, že výkonem některého kontrolního oprávnění může být jedním</w:t>
      </w:r>
      <w:r w:rsidR="00A9639A">
        <w:rPr>
          <w:szCs w:val="18"/>
        </w:rPr>
        <w:t xml:space="preserve"> z </w:t>
      </w:r>
      <w:r w:rsidRPr="0033441D">
        <w:rPr>
          <w:szCs w:val="18"/>
        </w:rPr>
        <w:t>oprávněných subjektů pověřen i třetí subjekt (např. supervizor).</w:t>
      </w:r>
    </w:p>
  </w:footnote>
  <w:footnote w:id="10">
    <w:p w14:paraId="2B8B0F17" w14:textId="4E31A1AF" w:rsidR="00987EEA" w:rsidRDefault="00987EEA">
      <w:pPr>
        <w:pStyle w:val="Textpoznpodarou"/>
      </w:pPr>
      <w:r>
        <w:rPr>
          <w:rStyle w:val="Znakapoznpodarou"/>
        </w:rPr>
        <w:footnoteRef/>
      </w:r>
      <w:r>
        <w:t xml:space="preserve"> </w:t>
      </w:r>
      <w:r w:rsidRPr="00987EEA">
        <w:t xml:space="preserve">Indikátor je považován za </w:t>
      </w:r>
      <w:r w:rsidR="00051F37">
        <w:t>s</w:t>
      </w:r>
      <w:r>
        <w:t>plněný</w:t>
      </w:r>
      <w:r w:rsidR="00E97C8B">
        <w:t>,</w:t>
      </w:r>
      <w:r w:rsidRPr="00987EEA">
        <w:t xml:space="preserve"> i</w:t>
      </w:r>
      <w:r>
        <w:t xml:space="preserve"> </w:t>
      </w:r>
      <w:r w:rsidRPr="00987EEA">
        <w:t>když v rámci zaměření při vypracování Dokumentace skutečného provedení stavby jsou zjištěné odchylky oproti Projektové dokumentaci, které nevyžadují Změnu stavby před dokončením.</w:t>
      </w:r>
    </w:p>
  </w:footnote>
  <w:footnote w:id="11">
    <w:p w14:paraId="3210A03F" w14:textId="6990A924" w:rsidR="004B0A6E" w:rsidRDefault="004B0A6E" w:rsidP="004B0A6E">
      <w:pPr>
        <w:pStyle w:val="Textpoznpodarou"/>
      </w:pPr>
      <w:r>
        <w:rPr>
          <w:rStyle w:val="Znakapoznpodarou"/>
        </w:rPr>
        <w:footnoteRef/>
      </w:r>
      <w:r>
        <w:t xml:space="preserve"> V případě neplnění indikátoru do 10</w:t>
      </w:r>
      <w:r w:rsidR="00FF477D">
        <w:t> </w:t>
      </w:r>
      <w:r>
        <w:t>% včetně bude korekce 10</w:t>
      </w:r>
      <w:r w:rsidR="00FF477D">
        <w:t> </w:t>
      </w:r>
      <w:r>
        <w:t>% vykázaných způsobilých výdajů; v rozmezí neplnění indikátoru 10</w:t>
      </w:r>
      <w:r w:rsidR="00FF477D">
        <w:t> </w:t>
      </w:r>
      <w:r>
        <w:t>% až</w:t>
      </w:r>
      <w:r w:rsidR="00FF477D">
        <w:t> </w:t>
      </w:r>
      <w:r>
        <w:t xml:space="preserve">30 % včetně bude výše korekce odpovídat procentu neplnění; </w:t>
      </w:r>
      <w:r w:rsidRPr="00E85FC1">
        <w:t>při neplnění indikátoru nad 30</w:t>
      </w:r>
      <w:r w:rsidR="007B695E">
        <w:t> </w:t>
      </w:r>
      <w:r w:rsidRPr="00E85FC1">
        <w:t>% (tzn. indikátor je naplněn</w:t>
      </w:r>
      <w:r>
        <w:t xml:space="preserve"> na</w:t>
      </w:r>
      <w:r w:rsidRPr="00E85FC1">
        <w:t xml:space="preserve"> </w:t>
      </w:r>
      <w:r>
        <w:t xml:space="preserve">méně než </w:t>
      </w:r>
      <w:r w:rsidRPr="00E85FC1">
        <w:t>70</w:t>
      </w:r>
      <w:r w:rsidR="007B695E">
        <w:t> </w:t>
      </w:r>
      <w:r w:rsidRPr="00E85FC1">
        <w:t>%) indikátor nebyl naplněn a náleží zde korekce za nenaplněný indikátor</w:t>
      </w:r>
      <w:r>
        <w:t>. Korekce v procentech bude zaokrouhlena matematicky na jedno desetinné místo.</w:t>
      </w:r>
    </w:p>
    <w:p w14:paraId="42E06747" w14:textId="7018951B" w:rsidR="004B0A6E" w:rsidRDefault="004B0A6E" w:rsidP="004B0A6E">
      <w:pPr>
        <w:pStyle w:val="Textpoznpodarou"/>
      </w:pPr>
      <w:r>
        <w:t>Příklad: výchozí hodnota 25, cílová hodnota 200, vykázáno 150. Vykázán nárůst indikátoru 125 (150-25), příjemce byl zavázán</w:t>
      </w:r>
      <w:r w:rsidR="00A9639A">
        <w:t xml:space="preserve"> k </w:t>
      </w:r>
      <w:r>
        <w:t>nárůstu 175 (200-25). Procento neplnění = 100 – (125/175) * 100 = 28,57</w:t>
      </w:r>
      <w:r w:rsidR="007B695E">
        <w:t> </w:t>
      </w:r>
      <w:r>
        <w:t>%. Korekce je tedy 28,6</w:t>
      </w:r>
      <w:r w:rsidR="007B695E">
        <w:t> </w:t>
      </w:r>
      <w:r>
        <w:t>% vykázaných způsobilých výdajů.</w:t>
      </w:r>
    </w:p>
  </w:footnote>
  <w:footnote w:id="12">
    <w:p w14:paraId="35E6F931" w14:textId="72FA1489" w:rsidR="004B0A6E" w:rsidRDefault="004B0A6E" w:rsidP="004B0A6E">
      <w:pPr>
        <w:pStyle w:val="Textpoznpodarou"/>
      </w:pPr>
      <w:r>
        <w:rPr>
          <w:rStyle w:val="Znakapoznpodarou"/>
        </w:rPr>
        <w:footnoteRef/>
      </w:r>
      <w:r>
        <w:t xml:space="preserve"> V případě neplnění indikátoru do 10</w:t>
      </w:r>
      <w:r w:rsidR="007B695E">
        <w:t> </w:t>
      </w:r>
      <w:r>
        <w:t>% včetně bude korekce 10</w:t>
      </w:r>
      <w:r w:rsidR="007B695E">
        <w:t> </w:t>
      </w:r>
      <w:r>
        <w:t>% vykázaných způsobilých výdajů; v rozmezí neplnění indikátoru 10</w:t>
      </w:r>
      <w:r w:rsidR="007B695E">
        <w:t> </w:t>
      </w:r>
      <w:r>
        <w:t>% až 90</w:t>
      </w:r>
      <w:r w:rsidR="007B695E">
        <w:t> </w:t>
      </w:r>
      <w:r>
        <w:t xml:space="preserve">% včetně bude výše korekce odpovídat procentu neplnění; </w:t>
      </w:r>
      <w:r w:rsidRPr="00E85FC1">
        <w:t>při neplnění indikátoru nad</w:t>
      </w:r>
      <w:r>
        <w:t xml:space="preserve"> 9</w:t>
      </w:r>
      <w:r w:rsidRPr="00E85FC1">
        <w:t>0</w:t>
      </w:r>
      <w:r w:rsidR="00741C98">
        <w:t> </w:t>
      </w:r>
      <w:r w:rsidRPr="00E85FC1">
        <w:t>% (tzn. indikátor je naplněn</w:t>
      </w:r>
      <w:r>
        <w:t xml:space="preserve"> na méně než 1</w:t>
      </w:r>
      <w:r w:rsidRPr="00E85FC1">
        <w:t>0</w:t>
      </w:r>
      <w:r w:rsidR="00741C98">
        <w:t> </w:t>
      </w:r>
      <w:r w:rsidRPr="00E85FC1">
        <w:t>%) indikátor nebyl naplněn a náleží zde korekce za nenaplněný indikátor</w:t>
      </w:r>
      <w:r>
        <w:t>. Korekce v procentech bude zaokrouhlena matematicky na jedno desetinné místo.</w:t>
      </w:r>
    </w:p>
    <w:p w14:paraId="78F2A3F0" w14:textId="4223882B" w:rsidR="004B0A6E" w:rsidRDefault="004B0A6E" w:rsidP="004B0A6E">
      <w:pPr>
        <w:pStyle w:val="Textpoznpodarou"/>
      </w:pPr>
      <w:r>
        <w:t>Příklad: výchozí hodnota 25, cílová hodnota 200, vykázáno 150. Vykázán nárůst indikátoru 125 (150-25), příjemce byl zavázán</w:t>
      </w:r>
      <w:r w:rsidR="00A9639A">
        <w:t xml:space="preserve"> k </w:t>
      </w:r>
      <w:r>
        <w:t>nárůstu 175 (200-25). Procento neplnění = 100 – (125/175) * 100 = 28,57</w:t>
      </w:r>
      <w:r w:rsidR="00741C98">
        <w:t> </w:t>
      </w:r>
      <w:r>
        <w:t>%. Korekce je tedy 28,6</w:t>
      </w:r>
      <w:r w:rsidR="00741C98">
        <w:t> </w:t>
      </w:r>
      <w:r>
        <w:t>% vykázaných způsobilých výdajů.</w:t>
      </w:r>
    </w:p>
  </w:footnote>
  <w:footnote w:id="13">
    <w:p w14:paraId="105A9C79" w14:textId="77777777" w:rsidR="00F00A6F" w:rsidRPr="005A0279" w:rsidRDefault="00F00A6F" w:rsidP="00F00A6F">
      <w:pPr>
        <w:pStyle w:val="Textpoznpodarou"/>
        <w:rPr>
          <w:szCs w:val="18"/>
        </w:rPr>
      </w:pPr>
      <w:r w:rsidRPr="008F2CDB">
        <w:rPr>
          <w:rStyle w:val="Znakapoznpodarou"/>
          <w:rFonts w:ascii="Times New Roman" w:eastAsiaTheme="majorEastAsia" w:hAnsi="Times New Roman"/>
        </w:rPr>
        <w:footnoteRef/>
      </w:r>
      <w:r w:rsidRPr="008F2CDB">
        <w:rPr>
          <w:rFonts w:ascii="Times New Roman" w:hAnsi="Times New Roman"/>
          <w:sz w:val="20"/>
        </w:rPr>
        <w:t xml:space="preserve"> </w:t>
      </w:r>
      <w:r w:rsidRPr="008D62ED">
        <w:rPr>
          <w:szCs w:val="18"/>
        </w:rPr>
        <w:t>Kromě případů, kdy nesrovnalost spadá pod jiný typ porušení.</w:t>
      </w:r>
    </w:p>
  </w:footnote>
  <w:footnote w:id="14">
    <w:p w14:paraId="7F317D4F" w14:textId="77777777" w:rsidR="00F00A6F" w:rsidRPr="00ED2FF9" w:rsidRDefault="00F00A6F" w:rsidP="00F00A6F">
      <w:pPr>
        <w:pStyle w:val="Textpoznpodarou"/>
        <w:rPr>
          <w:szCs w:val="18"/>
        </w:rPr>
      </w:pPr>
      <w:r w:rsidRPr="008F2CDB">
        <w:rPr>
          <w:rStyle w:val="Znakapoznpodarou"/>
          <w:rFonts w:ascii="Times New Roman" w:eastAsiaTheme="majorEastAsia" w:hAnsi="Times New Roman"/>
        </w:rPr>
        <w:footnoteRef/>
      </w:r>
      <w:r w:rsidRPr="008F2CDB">
        <w:rPr>
          <w:rFonts w:ascii="Times New Roman" w:hAnsi="Times New Roman"/>
          <w:sz w:val="20"/>
        </w:rPr>
        <w:t xml:space="preserve"> </w:t>
      </w:r>
      <w:r w:rsidRPr="008D62ED">
        <w:rPr>
          <w:szCs w:val="18"/>
        </w:rPr>
        <w:t>Uvedené neplatí, pokud by zadavatel jednoznačně prokázal, že by odmítnutá nabídka v žádném případě nebyla vítěznou nabídkou.</w:t>
      </w:r>
    </w:p>
  </w:footnote>
  <w:footnote w:id="15">
    <w:p w14:paraId="28A1381C" w14:textId="77777777" w:rsidR="00F00A6F" w:rsidRPr="00EE7D23" w:rsidRDefault="00F00A6F" w:rsidP="00F00A6F">
      <w:pPr>
        <w:pStyle w:val="Textpoznpodarou"/>
        <w:rPr>
          <w:szCs w:val="18"/>
        </w:rPr>
      </w:pPr>
      <w:r w:rsidRPr="008F2CDB">
        <w:rPr>
          <w:rStyle w:val="Znakapoznpodarou"/>
          <w:rFonts w:ascii="Times New Roman" w:eastAsiaTheme="majorEastAsia" w:hAnsi="Times New Roman"/>
        </w:rPr>
        <w:footnoteRef/>
      </w:r>
      <w:r w:rsidRPr="008F2CDB">
        <w:rPr>
          <w:rFonts w:ascii="Times New Roman" w:hAnsi="Times New Roman"/>
          <w:sz w:val="20"/>
        </w:rPr>
        <w:t xml:space="preserve"> </w:t>
      </w:r>
      <w:r w:rsidRPr="00EE7D23">
        <w:rPr>
          <w:szCs w:val="18"/>
        </w:rPr>
        <w:t>Střet zájmů může nastat již ve fázi přípravy projektu, pokud měla příprava projektu vliv na zadávací dokumentaci/zadávací řízení.</w:t>
      </w:r>
    </w:p>
  </w:footnote>
  <w:footnote w:id="16">
    <w:p w14:paraId="4BF2601D" w14:textId="216C72D1" w:rsidR="00F00A6F" w:rsidRPr="005A0279" w:rsidRDefault="00F00A6F" w:rsidP="00F00A6F">
      <w:pPr>
        <w:pStyle w:val="Textpoznpodarou"/>
        <w:rPr>
          <w:szCs w:val="18"/>
        </w:rPr>
      </w:pPr>
      <w:r w:rsidRPr="00EE7D23">
        <w:rPr>
          <w:rStyle w:val="Znakapoznpodarou"/>
          <w:rFonts w:eastAsiaTheme="majorEastAsia"/>
          <w:szCs w:val="18"/>
        </w:rPr>
        <w:footnoteRef/>
      </w:r>
      <w:r w:rsidR="00A9639A">
        <w:rPr>
          <w:szCs w:val="18"/>
        </w:rPr>
        <w:t xml:space="preserve"> o </w:t>
      </w:r>
      <w:proofErr w:type="spellStart"/>
      <w:r w:rsidRPr="00EE7D23">
        <w:rPr>
          <w:szCs w:val="18"/>
        </w:rPr>
        <w:t>bid</w:t>
      </w:r>
      <w:proofErr w:type="spellEnd"/>
      <w:r w:rsidRPr="00EE7D23">
        <w:rPr>
          <w:szCs w:val="18"/>
        </w:rPr>
        <w:t xml:space="preserve"> </w:t>
      </w:r>
      <w:proofErr w:type="spellStart"/>
      <w:r w:rsidRPr="00EE7D23">
        <w:rPr>
          <w:szCs w:val="18"/>
        </w:rPr>
        <w:t>rigging</w:t>
      </w:r>
      <w:proofErr w:type="spellEnd"/>
      <w:r w:rsidRPr="00EE7D23">
        <w:rPr>
          <w:szCs w:val="18"/>
        </w:rPr>
        <w:t xml:space="preserve"> se jedná, když se dodavatelé tajně dohodnou na zvýšení cen nebo na snížení kvality dodávek služeb, nebo prací nabízených v rámci zadávacích řízení. Uložení opravy není odůvodněno v případě, kdy dodavatelé, kteří se účastnili </w:t>
      </w:r>
      <w:proofErr w:type="spellStart"/>
      <w:r w:rsidRPr="00EE7D23">
        <w:rPr>
          <w:szCs w:val="18"/>
        </w:rPr>
        <w:t>bid</w:t>
      </w:r>
      <w:proofErr w:type="spellEnd"/>
      <w:r w:rsidRPr="00EE7D23">
        <w:rPr>
          <w:szCs w:val="18"/>
        </w:rPr>
        <w:t xml:space="preserve"> </w:t>
      </w:r>
      <w:proofErr w:type="spellStart"/>
      <w:r w:rsidRPr="00EE7D23">
        <w:rPr>
          <w:szCs w:val="18"/>
        </w:rPr>
        <w:t>riggingu</w:t>
      </w:r>
      <w:proofErr w:type="spellEnd"/>
      <w:r w:rsidRPr="00EE7D23">
        <w:rPr>
          <w:szCs w:val="18"/>
        </w:rPr>
        <w:t>, postupovali bez pomoci osoby v rámci řídícího a kontrolního systému nebo zadavatele a žádný</w:t>
      </w:r>
      <w:r w:rsidR="00A9639A">
        <w:rPr>
          <w:szCs w:val="18"/>
        </w:rPr>
        <w:t xml:space="preserve"> z </w:t>
      </w:r>
      <w:r w:rsidRPr="00EE7D23">
        <w:rPr>
          <w:szCs w:val="18"/>
        </w:rPr>
        <w:t>těchto dodavatelů nebyl úspěšný v zadávacím řízení</w:t>
      </w:r>
      <w:r>
        <w:rPr>
          <w:szCs w:val="18"/>
        </w:rPr>
        <w:t>.</w:t>
      </w:r>
    </w:p>
  </w:footnote>
  <w:footnote w:id="17">
    <w:p w14:paraId="2C5E1F7D" w14:textId="012C602A" w:rsidR="00F00A6F" w:rsidRDefault="00F00A6F" w:rsidP="00F00A6F">
      <w:pPr>
        <w:pStyle w:val="Textpoznpodarou"/>
      </w:pPr>
      <w:r w:rsidRPr="00EE7D23">
        <w:rPr>
          <w:rStyle w:val="Znakapoznpodarou"/>
          <w:rFonts w:eastAsiaTheme="majorEastAsia"/>
          <w:szCs w:val="18"/>
        </w:rPr>
        <w:footnoteRef/>
      </w:r>
      <w:r w:rsidRPr="00EE7D23">
        <w:rPr>
          <w:szCs w:val="18"/>
        </w:rPr>
        <w:t xml:space="preserve"> Kategorii tzv. „jiného porušení“ uvedenou pod č.</w:t>
      </w:r>
      <w:r w:rsidR="002C7534">
        <w:rPr>
          <w:szCs w:val="18"/>
        </w:rPr>
        <w:t> </w:t>
      </w:r>
      <w:r w:rsidRPr="00EE7D23">
        <w:rPr>
          <w:szCs w:val="18"/>
        </w:rPr>
        <w:t>24 v tabulce typizovaných porušení lze pro stanovení příslušné sankce užít pouze tehdy, je-li</w:t>
      </w:r>
      <w:r w:rsidR="00A9639A">
        <w:rPr>
          <w:szCs w:val="18"/>
        </w:rPr>
        <w:t xml:space="preserve"> z </w:t>
      </w:r>
      <w:r w:rsidRPr="00EE7D23">
        <w:rPr>
          <w:szCs w:val="18"/>
        </w:rPr>
        <w:t>důvodu specifičnosti skutkové podstaty a</w:t>
      </w:r>
      <w:r w:rsidR="002C7534">
        <w:rPr>
          <w:szCs w:val="18"/>
        </w:rPr>
        <w:t> </w:t>
      </w:r>
      <w:r w:rsidRPr="00EE7D23">
        <w:rPr>
          <w:szCs w:val="18"/>
        </w:rPr>
        <w:t>nepřiměřenosti sankce připadající na dané porušení vyloučena analogická aplikace výše uvedených typizovaných porušení, resp. typizovaných porušení rozhodnutí Komise C(2019)</w:t>
      </w:r>
      <w:r w:rsidR="002C7534">
        <w:rPr>
          <w:szCs w:val="18"/>
        </w:rPr>
        <w:t> </w:t>
      </w:r>
      <w:r w:rsidRPr="00EE7D23">
        <w:rPr>
          <w:szCs w:val="18"/>
        </w:rPr>
        <w:t>3452</w:t>
      </w:r>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E1113CD" w14:paraId="0191F127" w14:textId="77777777" w:rsidTr="4E1113CD">
      <w:tc>
        <w:tcPr>
          <w:tcW w:w="3020" w:type="dxa"/>
        </w:tcPr>
        <w:p w14:paraId="2BCB74B2" w14:textId="792A2879" w:rsidR="4E1113CD" w:rsidRDefault="4E1113CD" w:rsidP="4E1113CD">
          <w:pPr>
            <w:pStyle w:val="Zhlav"/>
            <w:ind w:left="-115"/>
            <w:jc w:val="left"/>
            <w:rPr>
              <w:szCs w:val="20"/>
            </w:rPr>
          </w:pPr>
        </w:p>
      </w:tc>
      <w:tc>
        <w:tcPr>
          <w:tcW w:w="3020" w:type="dxa"/>
        </w:tcPr>
        <w:p w14:paraId="52F17CEB" w14:textId="13BA8BE3" w:rsidR="4E1113CD" w:rsidRDefault="4E1113CD" w:rsidP="4E1113CD">
          <w:pPr>
            <w:pStyle w:val="Zhlav"/>
            <w:jc w:val="center"/>
            <w:rPr>
              <w:szCs w:val="20"/>
            </w:rPr>
          </w:pPr>
        </w:p>
      </w:tc>
      <w:tc>
        <w:tcPr>
          <w:tcW w:w="3020" w:type="dxa"/>
        </w:tcPr>
        <w:p w14:paraId="47AB8F14" w14:textId="1FFBB32C" w:rsidR="4E1113CD" w:rsidRDefault="4E1113CD" w:rsidP="4E1113CD">
          <w:pPr>
            <w:pStyle w:val="Zhlav"/>
            <w:ind w:right="-115"/>
            <w:jc w:val="right"/>
            <w:rPr>
              <w:szCs w:val="20"/>
            </w:rPr>
          </w:pPr>
        </w:p>
      </w:tc>
    </w:tr>
  </w:tbl>
  <w:p w14:paraId="7D69FF8E" w14:textId="092C078C" w:rsidR="00C84C35" w:rsidRDefault="00C84C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3242" w14:textId="77777777" w:rsidR="00021D74" w:rsidRDefault="00021D74" w:rsidP="00021D74">
    <w:pPr>
      <w:spacing w:after="0"/>
      <w:rPr>
        <w:szCs w:val="20"/>
      </w:rPr>
    </w:pPr>
    <w:bookmarkStart w:id="7" w:name="_Hlk166681516"/>
  </w:p>
  <w:bookmarkEnd w:id="7"/>
  <w:p w14:paraId="1A7AE658" w14:textId="69F156AE" w:rsidR="00C16D4B" w:rsidRDefault="00E3717F" w:rsidP="00CC6503">
    <w:pPr>
      <w:pStyle w:val="Zhlav"/>
    </w:pPr>
    <w:r w:rsidRPr="00B53098">
      <w:rPr>
        <w:rFonts w:cstheme="minorHAnsi"/>
        <w:noProof/>
        <w:szCs w:val="20"/>
      </w:rPr>
      <w:drawing>
        <wp:inline distT="0" distB="0" distL="0" distR="0" wp14:anchorId="29696822" wp14:editId="3F1D930C">
          <wp:extent cx="5759450" cy="6762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720" w:hanging="360"/>
      </w:pPr>
      <w:rPr>
        <w:b w:val="0"/>
        <w:bCs/>
        <w:color w:val="000000"/>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color w:val="000000"/>
        <w:sz w:val="24"/>
        <w:szCs w:val="24"/>
        <w:lang w:eastAsia="ar-SA" w:bidi="ar-SA"/>
      </w:rPr>
    </w:lvl>
  </w:abstractNum>
  <w:abstractNum w:abstractNumId="2" w15:restartNumberingAfterBreak="0">
    <w:nsid w:val="0000001A"/>
    <w:multiLevelType w:val="multilevel"/>
    <w:tmpl w:val="0E5A0F58"/>
    <w:lvl w:ilvl="0">
      <w:start w:val="1"/>
      <w:numFmt w:val="lowerLetter"/>
      <w:pStyle w:val="odrkya"/>
      <w:lvlText w:val="%1)"/>
      <w:lvlJc w:val="left"/>
      <w:pPr>
        <w:tabs>
          <w:tab w:val="num" w:pos="0"/>
        </w:tabs>
        <w:ind w:left="947" w:hanging="360"/>
      </w:pPr>
      <w:rPr>
        <w:rFonts w:eastAsia="Times New Roman"/>
        <w:b w:val="0"/>
        <w:bCs/>
        <w:color w:val="auto"/>
        <w:sz w:val="24"/>
        <w:szCs w:val="24"/>
        <w:lang w:eastAsia="ar-SA" w:bidi="ar-SA"/>
      </w:rPr>
    </w:lvl>
    <w:lvl w:ilvl="1">
      <w:start w:val="1"/>
      <w:numFmt w:val="lowerLetter"/>
      <w:lvlText w:val="%2."/>
      <w:lvlJc w:val="left"/>
      <w:pPr>
        <w:tabs>
          <w:tab w:val="num" w:pos="0"/>
        </w:tabs>
        <w:ind w:left="1667" w:hanging="360"/>
      </w:pPr>
    </w:lvl>
    <w:lvl w:ilvl="2">
      <w:start w:val="1"/>
      <w:numFmt w:val="lowerRoman"/>
      <w:lvlText w:val="%3."/>
      <w:lvlJc w:val="right"/>
      <w:pPr>
        <w:tabs>
          <w:tab w:val="num" w:pos="0"/>
        </w:tabs>
        <w:ind w:left="2387" w:hanging="180"/>
      </w:pPr>
    </w:lvl>
    <w:lvl w:ilvl="3">
      <w:start w:val="1"/>
      <w:numFmt w:val="decimal"/>
      <w:lvlText w:val="%4."/>
      <w:lvlJc w:val="left"/>
      <w:pPr>
        <w:tabs>
          <w:tab w:val="num" w:pos="0"/>
        </w:tabs>
        <w:ind w:left="3107" w:hanging="360"/>
      </w:pPr>
    </w:lvl>
    <w:lvl w:ilvl="4">
      <w:start w:val="1"/>
      <w:numFmt w:val="lowerLetter"/>
      <w:lvlText w:val="%5."/>
      <w:lvlJc w:val="left"/>
      <w:pPr>
        <w:tabs>
          <w:tab w:val="num" w:pos="0"/>
        </w:tabs>
        <w:ind w:left="3827" w:hanging="360"/>
      </w:pPr>
    </w:lvl>
    <w:lvl w:ilvl="5">
      <w:start w:val="1"/>
      <w:numFmt w:val="lowerRoman"/>
      <w:lvlText w:val="%6."/>
      <w:lvlJc w:val="right"/>
      <w:pPr>
        <w:tabs>
          <w:tab w:val="num" w:pos="0"/>
        </w:tabs>
        <w:ind w:left="4547" w:hanging="180"/>
      </w:pPr>
    </w:lvl>
    <w:lvl w:ilvl="6">
      <w:start w:val="1"/>
      <w:numFmt w:val="decimal"/>
      <w:lvlText w:val="%7."/>
      <w:lvlJc w:val="left"/>
      <w:pPr>
        <w:tabs>
          <w:tab w:val="num" w:pos="0"/>
        </w:tabs>
        <w:ind w:left="5267" w:hanging="360"/>
      </w:pPr>
    </w:lvl>
    <w:lvl w:ilvl="7">
      <w:start w:val="1"/>
      <w:numFmt w:val="lowerLetter"/>
      <w:lvlText w:val="%8."/>
      <w:lvlJc w:val="left"/>
      <w:pPr>
        <w:tabs>
          <w:tab w:val="num" w:pos="0"/>
        </w:tabs>
        <w:ind w:left="5987" w:hanging="360"/>
      </w:pPr>
    </w:lvl>
    <w:lvl w:ilvl="8">
      <w:start w:val="1"/>
      <w:numFmt w:val="lowerRoman"/>
      <w:lvlText w:val="%9."/>
      <w:lvlJc w:val="right"/>
      <w:pPr>
        <w:tabs>
          <w:tab w:val="num" w:pos="0"/>
        </w:tabs>
        <w:ind w:left="6707" w:hanging="180"/>
      </w:pPr>
    </w:lvl>
  </w:abstractNum>
  <w:abstractNum w:abstractNumId="3" w15:restartNumberingAfterBreak="0">
    <w:nsid w:val="1F041A5B"/>
    <w:multiLevelType w:val="multilevel"/>
    <w:tmpl w:val="43D6CBA6"/>
    <w:lvl w:ilvl="0">
      <w:start w:val="1"/>
      <w:numFmt w:val="bullet"/>
      <w:pStyle w:val="Odrky"/>
      <w:lvlText w:val="–"/>
      <w:lvlJc w:val="left"/>
      <w:pPr>
        <w:ind w:left="1021" w:hanging="341"/>
      </w:pPr>
      <w:rPr>
        <w:rFonts w:ascii="Verdana" w:hAnsi="Verdana" w:hint="default"/>
        <w:color w:val="auto"/>
      </w:rPr>
    </w:lvl>
    <w:lvl w:ilvl="1">
      <w:start w:val="1"/>
      <w:numFmt w:val="bullet"/>
      <w:lvlText w:val="–"/>
      <w:lvlJc w:val="left"/>
      <w:pPr>
        <w:ind w:left="1361" w:hanging="340"/>
      </w:pPr>
      <w:rPr>
        <w:rFonts w:ascii="Verdana" w:hAnsi="Verdana" w:hint="default"/>
        <w:color w:val="CD003A" w:themeColor="accent1"/>
      </w:rPr>
    </w:lvl>
    <w:lvl w:ilvl="2">
      <w:start w:val="1"/>
      <w:numFmt w:val="bullet"/>
      <w:lvlText w:val=""/>
      <w:lvlJc w:val="left"/>
      <w:pPr>
        <w:ind w:left="6236" w:hanging="360"/>
      </w:pPr>
      <w:rPr>
        <w:rFonts w:ascii="Wingdings" w:hAnsi="Wingdings" w:hint="default"/>
      </w:rPr>
    </w:lvl>
    <w:lvl w:ilvl="3">
      <w:start w:val="1"/>
      <w:numFmt w:val="bullet"/>
      <w:lvlText w:val=""/>
      <w:lvlJc w:val="left"/>
      <w:pPr>
        <w:ind w:left="6956" w:hanging="360"/>
      </w:pPr>
      <w:rPr>
        <w:rFonts w:ascii="Symbol" w:hAnsi="Symbol" w:hint="default"/>
      </w:rPr>
    </w:lvl>
    <w:lvl w:ilvl="4">
      <w:start w:val="1"/>
      <w:numFmt w:val="bullet"/>
      <w:lvlText w:val="o"/>
      <w:lvlJc w:val="left"/>
      <w:pPr>
        <w:ind w:left="7676" w:hanging="360"/>
      </w:pPr>
      <w:rPr>
        <w:rFonts w:ascii="Courier New" w:hAnsi="Courier New" w:cs="Courier New" w:hint="default"/>
      </w:rPr>
    </w:lvl>
    <w:lvl w:ilvl="5">
      <w:start w:val="1"/>
      <w:numFmt w:val="bullet"/>
      <w:lvlText w:val=""/>
      <w:lvlJc w:val="left"/>
      <w:pPr>
        <w:ind w:left="8396" w:hanging="360"/>
      </w:pPr>
      <w:rPr>
        <w:rFonts w:ascii="Wingdings" w:hAnsi="Wingdings" w:hint="default"/>
      </w:rPr>
    </w:lvl>
    <w:lvl w:ilvl="6">
      <w:start w:val="1"/>
      <w:numFmt w:val="bullet"/>
      <w:lvlText w:val=""/>
      <w:lvlJc w:val="left"/>
      <w:pPr>
        <w:ind w:left="9116" w:hanging="360"/>
      </w:pPr>
      <w:rPr>
        <w:rFonts w:ascii="Symbol" w:hAnsi="Symbol" w:hint="default"/>
      </w:rPr>
    </w:lvl>
    <w:lvl w:ilvl="7">
      <w:start w:val="1"/>
      <w:numFmt w:val="bullet"/>
      <w:lvlText w:val="o"/>
      <w:lvlJc w:val="left"/>
      <w:pPr>
        <w:ind w:left="9836" w:hanging="360"/>
      </w:pPr>
      <w:rPr>
        <w:rFonts w:ascii="Courier New" w:hAnsi="Courier New" w:cs="Courier New" w:hint="default"/>
      </w:rPr>
    </w:lvl>
    <w:lvl w:ilvl="8">
      <w:start w:val="1"/>
      <w:numFmt w:val="bullet"/>
      <w:lvlText w:val=""/>
      <w:lvlJc w:val="left"/>
      <w:pPr>
        <w:ind w:left="10556" w:hanging="360"/>
      </w:pPr>
      <w:rPr>
        <w:rFonts w:ascii="Wingdings" w:hAnsi="Wingdings" w:hint="default"/>
      </w:rPr>
    </w:lvl>
  </w:abstractNum>
  <w:abstractNum w:abstractNumId="4" w15:restartNumberingAfterBreak="0">
    <w:nsid w:val="367C6504"/>
    <w:multiLevelType w:val="multilevel"/>
    <w:tmpl w:val="09426F70"/>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4DA04B5A"/>
    <w:multiLevelType w:val="multilevel"/>
    <w:tmpl w:val="E2E85FAC"/>
    <w:styleLink w:val="A1"/>
    <w:lvl w:ilvl="0">
      <w:start w:val="1"/>
      <w:numFmt w:val="upperLetter"/>
      <w:suff w:val="space"/>
      <w:lvlText w:val="%1."/>
      <w:lvlJc w:val="center"/>
      <w:pPr>
        <w:ind w:left="720" w:hanging="360"/>
      </w:pPr>
      <w:rPr>
        <w:rFonts w:hint="default"/>
        <w:u w:val="single"/>
      </w:rPr>
    </w:lvl>
    <w:lvl w:ilvl="1">
      <w:start w:val="1"/>
      <w:numFmt w:val="decimal"/>
      <w:lvlText w:val="A.%2."/>
      <w:lvlJc w:val="left"/>
      <w:pPr>
        <w:ind w:left="737" w:hanging="73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1A44901"/>
    <w:multiLevelType w:val="multilevel"/>
    <w:tmpl w:val="DDD0283A"/>
    <w:lvl w:ilvl="0">
      <w:start w:val="1"/>
      <w:numFmt w:val="decimal"/>
      <w:suff w:val="nothing"/>
      <w:lvlText w:val="Článek %1 "/>
      <w:lvlJc w:val="left"/>
      <w:pPr>
        <w:ind w:left="4253" w:hanging="567"/>
      </w:pPr>
    </w:lvl>
    <w:lvl w:ilvl="1">
      <w:start w:val="1"/>
      <w:numFmt w:val="upperLetter"/>
      <w:lvlText w:val="%2."/>
      <w:lvlJc w:val="left"/>
      <w:pPr>
        <w:tabs>
          <w:tab w:val="num" w:pos="851"/>
        </w:tabs>
        <w:ind w:left="851" w:hanging="851"/>
      </w:pPr>
      <w:rPr>
        <w:rFonts w:ascii="Verdana" w:eastAsia="Times New Roman" w:hAnsi="Verdana" w:cs="Times New Roman"/>
        <w:b w:val="0"/>
        <w:bCs/>
      </w:rPr>
    </w:lvl>
    <w:lvl w:ilvl="2">
      <w:start w:val="1"/>
      <w:numFmt w:val="decimal"/>
      <w:lvlText w:val="%1.%2.%3"/>
      <w:lvlJc w:val="left"/>
      <w:pPr>
        <w:ind w:left="1985" w:hanging="850"/>
      </w:pPr>
      <w:rPr>
        <w:b w:val="0"/>
        <w:bCs/>
      </w:rPr>
    </w:lvl>
    <w:lvl w:ilvl="3">
      <w:start w:val="1"/>
      <w:numFmt w:val="lowerLetter"/>
      <w:lvlText w:val="%4)"/>
      <w:lvlJc w:val="left"/>
      <w:pPr>
        <w:ind w:left="1247" w:hanging="396"/>
      </w:pPr>
      <w:rPr>
        <w:rFonts w:hint="default"/>
      </w:rPr>
    </w:lvl>
    <w:lvl w:ilvl="4">
      <w:start w:val="1"/>
      <w:numFmt w:val="decimal"/>
      <w:lvlRestart w:val="1"/>
      <w:lvlText w:val="%1.%5."/>
      <w:lvlJc w:val="left"/>
      <w:pPr>
        <w:ind w:left="1703" w:hanging="567"/>
      </w:pPr>
      <w:rPr>
        <w:rFonts w:hint="default"/>
        <w:sz w:val="20"/>
        <w:szCs w:val="20"/>
      </w:rPr>
    </w:lvl>
    <w:lvl w:ilvl="5">
      <w:start w:val="1"/>
      <w:numFmt w:val="lowerRoman"/>
      <w:lvlText w:val="%6."/>
      <w:lvlJc w:val="right"/>
      <w:pPr>
        <w:ind w:left="1987" w:hanging="567"/>
      </w:pPr>
      <w:rPr>
        <w:rFonts w:hint="default"/>
      </w:rPr>
    </w:lvl>
    <w:lvl w:ilvl="6">
      <w:start w:val="1"/>
      <w:numFmt w:val="decimal"/>
      <w:lvlText w:val="%7."/>
      <w:lvlJc w:val="left"/>
      <w:pPr>
        <w:ind w:left="2271" w:hanging="567"/>
      </w:pPr>
      <w:rPr>
        <w:rFonts w:hint="default"/>
      </w:rPr>
    </w:lvl>
    <w:lvl w:ilvl="7">
      <w:start w:val="1"/>
      <w:numFmt w:val="lowerLetter"/>
      <w:lvlText w:val="%8."/>
      <w:lvlJc w:val="left"/>
      <w:pPr>
        <w:ind w:left="2555" w:hanging="567"/>
      </w:pPr>
      <w:rPr>
        <w:rFonts w:hint="default"/>
      </w:rPr>
    </w:lvl>
    <w:lvl w:ilvl="8">
      <w:start w:val="1"/>
      <w:numFmt w:val="lowerRoman"/>
      <w:lvlText w:val="%9."/>
      <w:lvlJc w:val="right"/>
      <w:pPr>
        <w:ind w:left="2839" w:hanging="567"/>
      </w:pPr>
      <w:rPr>
        <w:rFonts w:hint="default"/>
      </w:rPr>
    </w:lvl>
  </w:abstractNum>
  <w:abstractNum w:abstractNumId="7" w15:restartNumberingAfterBreak="0">
    <w:nsid w:val="52CE75D3"/>
    <w:multiLevelType w:val="hybridMultilevel"/>
    <w:tmpl w:val="2AC065E2"/>
    <w:lvl w:ilvl="0" w:tplc="67386056">
      <w:start w:val="1"/>
      <w:numFmt w:val="decimal"/>
      <w:pStyle w:val="slovn"/>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3440594"/>
    <w:multiLevelType w:val="multilevel"/>
    <w:tmpl w:val="62F4C8A2"/>
    <w:styleLink w:val="Styl2"/>
    <w:lvl w:ilvl="0">
      <w:start w:val="1"/>
      <w:numFmt w:val="decimal"/>
      <w:lvlText w:val="1.%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D540EF"/>
    <w:multiLevelType w:val="hybridMultilevel"/>
    <w:tmpl w:val="5094C22A"/>
    <w:lvl w:ilvl="0" w:tplc="14DECB6E">
      <w:start w:val="1"/>
      <w:numFmt w:val="lowerLetter"/>
      <w:pStyle w:val="normln-psmenka"/>
      <w:lvlText w:val="%1)"/>
      <w:lvlJc w:val="left"/>
      <w:pPr>
        <w:tabs>
          <w:tab w:val="num" w:pos="502"/>
        </w:tabs>
        <w:ind w:left="502" w:hanging="360"/>
      </w:pPr>
      <w:rPr>
        <w:rFonts w:hint="default"/>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757602FC"/>
    <w:multiLevelType w:val="multilevel"/>
    <w:tmpl w:val="89EA531E"/>
    <w:lvl w:ilvl="0">
      <w:start w:val="1"/>
      <w:numFmt w:val="decimal"/>
      <w:pStyle w:val="lnku"/>
      <w:suff w:val="nothing"/>
      <w:lvlText w:val="Článek %1"/>
      <w:lvlJc w:val="center"/>
      <w:pPr>
        <w:ind w:left="0" w:firstLine="454"/>
      </w:pPr>
    </w:lvl>
    <w:lvl w:ilvl="1">
      <w:start w:val="1"/>
      <w:numFmt w:val="upperLetter"/>
      <w:pStyle w:val="st"/>
      <w:suff w:val="nothing"/>
      <w:lvlText w:val="%2. "/>
      <w:lvlJc w:val="center"/>
      <w:pPr>
        <w:ind w:left="0" w:firstLine="0"/>
      </w:pPr>
      <w:rPr>
        <w:rFonts w:hint="default"/>
        <w:b/>
        <w:i w:val="0"/>
        <w:u w:val="single"/>
      </w:rPr>
    </w:lvl>
    <w:lvl w:ilvl="2">
      <w:start w:val="1"/>
      <w:numFmt w:val="decimal"/>
      <w:pStyle w:val="ABCodstavec"/>
      <w:lvlText w:val="%1.%2.%3."/>
      <w:lvlJc w:val="left"/>
      <w:pPr>
        <w:ind w:left="680" w:hanging="680"/>
      </w:pPr>
    </w:lvl>
    <w:lvl w:ilvl="3">
      <w:start w:val="1"/>
      <w:numFmt w:val="lowerLetter"/>
      <w:pStyle w:val="abecednseznam"/>
      <w:lvlText w:val="%4)"/>
      <w:lvlJc w:val="left"/>
      <w:pPr>
        <w:ind w:left="340" w:firstLine="340"/>
      </w:pPr>
      <w:rPr>
        <w:rFonts w:hint="default"/>
      </w:rPr>
    </w:lvl>
    <w:lvl w:ilvl="4">
      <w:start w:val="1"/>
      <w:numFmt w:val="decimal"/>
      <w:lvlRestart w:val="1"/>
      <w:pStyle w:val="123odstavec"/>
      <w:lvlText w:val="%1.%5."/>
      <w:lvlJc w:val="left"/>
      <w:pPr>
        <w:ind w:left="680" w:hanging="680"/>
      </w:pPr>
      <w:rPr>
        <w:b w:val="0"/>
        <w:bCs w:val="0"/>
        <w:sz w:val="20"/>
        <w:szCs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B7C1694"/>
    <w:multiLevelType w:val="multilevel"/>
    <w:tmpl w:val="7BC6DD2C"/>
    <w:styleLink w:val="Styl3"/>
    <w:lvl w:ilvl="0">
      <w:start w:val="1"/>
      <w:numFmt w:val="upperLetter"/>
      <w:suff w:val="space"/>
      <w:lvlText w:val="%1."/>
      <w:lvlJc w:val="center"/>
      <w:pPr>
        <w:ind w:left="720" w:hanging="360"/>
      </w:pPr>
      <w:rPr>
        <w:rFonts w:hint="default"/>
        <w:u w:val="single"/>
      </w:rPr>
    </w:lvl>
    <w:lvl w:ilvl="1">
      <w:start w:val="1"/>
      <w:numFmt w:val="decimal"/>
      <w:lvlText w:val="A.%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8243431">
    <w:abstractNumId w:val="4"/>
  </w:num>
  <w:num w:numId="2" w16cid:durableId="338430926">
    <w:abstractNumId w:val="7"/>
  </w:num>
  <w:num w:numId="3" w16cid:durableId="1643004076">
    <w:abstractNumId w:val="2"/>
  </w:num>
  <w:num w:numId="4" w16cid:durableId="277687048">
    <w:abstractNumId w:val="8"/>
  </w:num>
  <w:num w:numId="5" w16cid:durableId="933509852">
    <w:abstractNumId w:val="9"/>
  </w:num>
  <w:num w:numId="6" w16cid:durableId="884218705">
    <w:abstractNumId w:val="10"/>
  </w:num>
  <w:num w:numId="7" w16cid:durableId="2069572258">
    <w:abstractNumId w:val="11"/>
  </w:num>
  <w:num w:numId="8" w16cid:durableId="501893103">
    <w:abstractNumId w:val="5"/>
  </w:num>
  <w:num w:numId="9" w16cid:durableId="881596419">
    <w:abstractNumId w:val="10"/>
  </w:num>
  <w:num w:numId="10" w16cid:durableId="292586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6406688">
    <w:abstractNumId w:val="3"/>
  </w:num>
  <w:num w:numId="12" w16cid:durableId="144599812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formatting="1" w:enforcement="0"/>
  <w:defaultTabStop w:val="737"/>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11"/>
    <w:rsid w:val="00002E89"/>
    <w:rsid w:val="00005EC3"/>
    <w:rsid w:val="000112D3"/>
    <w:rsid w:val="00014D72"/>
    <w:rsid w:val="0002057C"/>
    <w:rsid w:val="00021D74"/>
    <w:rsid w:val="0002396B"/>
    <w:rsid w:val="00026CED"/>
    <w:rsid w:val="00027B4E"/>
    <w:rsid w:val="0003031E"/>
    <w:rsid w:val="00033FE6"/>
    <w:rsid w:val="000370DF"/>
    <w:rsid w:val="00041AB9"/>
    <w:rsid w:val="00041BEA"/>
    <w:rsid w:val="00043863"/>
    <w:rsid w:val="000442FA"/>
    <w:rsid w:val="00045A2A"/>
    <w:rsid w:val="00051212"/>
    <w:rsid w:val="00051F37"/>
    <w:rsid w:val="0005351D"/>
    <w:rsid w:val="00054A9B"/>
    <w:rsid w:val="000637FB"/>
    <w:rsid w:val="000647FE"/>
    <w:rsid w:val="0006498C"/>
    <w:rsid w:val="00066104"/>
    <w:rsid w:val="000670FE"/>
    <w:rsid w:val="000764AA"/>
    <w:rsid w:val="000809EA"/>
    <w:rsid w:val="00085037"/>
    <w:rsid w:val="000918AA"/>
    <w:rsid w:val="00093FDE"/>
    <w:rsid w:val="00094296"/>
    <w:rsid w:val="00097A4A"/>
    <w:rsid w:val="000A0321"/>
    <w:rsid w:val="000A51E5"/>
    <w:rsid w:val="000A59BD"/>
    <w:rsid w:val="000A7057"/>
    <w:rsid w:val="000B0E82"/>
    <w:rsid w:val="000B2931"/>
    <w:rsid w:val="000B33B5"/>
    <w:rsid w:val="000B74C1"/>
    <w:rsid w:val="000D2D05"/>
    <w:rsid w:val="000D59F6"/>
    <w:rsid w:val="000D65B4"/>
    <w:rsid w:val="000D77CA"/>
    <w:rsid w:val="000E069E"/>
    <w:rsid w:val="000E0AE4"/>
    <w:rsid w:val="000E52C7"/>
    <w:rsid w:val="000F260C"/>
    <w:rsid w:val="00100E17"/>
    <w:rsid w:val="00106C69"/>
    <w:rsid w:val="00114A0A"/>
    <w:rsid w:val="00124CEF"/>
    <w:rsid w:val="00127F6B"/>
    <w:rsid w:val="0013349A"/>
    <w:rsid w:val="00135293"/>
    <w:rsid w:val="001362A0"/>
    <w:rsid w:val="001407FF"/>
    <w:rsid w:val="00140935"/>
    <w:rsid w:val="00141154"/>
    <w:rsid w:val="00145791"/>
    <w:rsid w:val="00150997"/>
    <w:rsid w:val="00153DF3"/>
    <w:rsid w:val="001547A7"/>
    <w:rsid w:val="0016458F"/>
    <w:rsid w:val="00182C71"/>
    <w:rsid w:val="00186AEF"/>
    <w:rsid w:val="00190CEF"/>
    <w:rsid w:val="00196D02"/>
    <w:rsid w:val="001A08D4"/>
    <w:rsid w:val="001A2F57"/>
    <w:rsid w:val="001A6F36"/>
    <w:rsid w:val="001A7219"/>
    <w:rsid w:val="001B121B"/>
    <w:rsid w:val="001B1C2F"/>
    <w:rsid w:val="001B4125"/>
    <w:rsid w:val="001C5C7B"/>
    <w:rsid w:val="001D077A"/>
    <w:rsid w:val="001D148C"/>
    <w:rsid w:val="001D50A6"/>
    <w:rsid w:val="001D5E29"/>
    <w:rsid w:val="001E7537"/>
    <w:rsid w:val="001F53CA"/>
    <w:rsid w:val="00204992"/>
    <w:rsid w:val="00206946"/>
    <w:rsid w:val="002105AF"/>
    <w:rsid w:val="002112F9"/>
    <w:rsid w:val="00211DD7"/>
    <w:rsid w:val="002200C6"/>
    <w:rsid w:val="0022039D"/>
    <w:rsid w:val="00223640"/>
    <w:rsid w:val="00224E33"/>
    <w:rsid w:val="00225BDF"/>
    <w:rsid w:val="00230D1A"/>
    <w:rsid w:val="0023312D"/>
    <w:rsid w:val="002347A1"/>
    <w:rsid w:val="00234E4B"/>
    <w:rsid w:val="00236029"/>
    <w:rsid w:val="00246469"/>
    <w:rsid w:val="002504F9"/>
    <w:rsid w:val="002520F0"/>
    <w:rsid w:val="00255920"/>
    <w:rsid w:val="00257988"/>
    <w:rsid w:val="00261AC3"/>
    <w:rsid w:val="002641D7"/>
    <w:rsid w:val="0027622D"/>
    <w:rsid w:val="00276B2D"/>
    <w:rsid w:val="0027701E"/>
    <w:rsid w:val="002772F4"/>
    <w:rsid w:val="002825BC"/>
    <w:rsid w:val="00283F6C"/>
    <w:rsid w:val="00287552"/>
    <w:rsid w:val="00290003"/>
    <w:rsid w:val="00291FCB"/>
    <w:rsid w:val="00292852"/>
    <w:rsid w:val="002929F2"/>
    <w:rsid w:val="0029483B"/>
    <w:rsid w:val="00294855"/>
    <w:rsid w:val="002967FC"/>
    <w:rsid w:val="002A04B8"/>
    <w:rsid w:val="002A1D78"/>
    <w:rsid w:val="002A3459"/>
    <w:rsid w:val="002A3EC9"/>
    <w:rsid w:val="002A58EE"/>
    <w:rsid w:val="002A7696"/>
    <w:rsid w:val="002B233C"/>
    <w:rsid w:val="002B59A0"/>
    <w:rsid w:val="002C265A"/>
    <w:rsid w:val="002C7534"/>
    <w:rsid w:val="002D0F28"/>
    <w:rsid w:val="002D1ED6"/>
    <w:rsid w:val="002D51F4"/>
    <w:rsid w:val="002E3961"/>
    <w:rsid w:val="002F214A"/>
    <w:rsid w:val="002F2233"/>
    <w:rsid w:val="002F4512"/>
    <w:rsid w:val="002F659E"/>
    <w:rsid w:val="002F69DA"/>
    <w:rsid w:val="002F778F"/>
    <w:rsid w:val="002F7852"/>
    <w:rsid w:val="00303192"/>
    <w:rsid w:val="00306D67"/>
    <w:rsid w:val="003101AA"/>
    <w:rsid w:val="00314969"/>
    <w:rsid w:val="00316065"/>
    <w:rsid w:val="00322115"/>
    <w:rsid w:val="00322A41"/>
    <w:rsid w:val="003265F8"/>
    <w:rsid w:val="0033560F"/>
    <w:rsid w:val="00335FDC"/>
    <w:rsid w:val="003459C2"/>
    <w:rsid w:val="003523B1"/>
    <w:rsid w:val="003534F1"/>
    <w:rsid w:val="0035400B"/>
    <w:rsid w:val="0035666A"/>
    <w:rsid w:val="00362B85"/>
    <w:rsid w:val="003638A4"/>
    <w:rsid w:val="003647A6"/>
    <w:rsid w:val="003756FC"/>
    <w:rsid w:val="00376C9B"/>
    <w:rsid w:val="0037730D"/>
    <w:rsid w:val="003776FD"/>
    <w:rsid w:val="00380A9C"/>
    <w:rsid w:val="0038198F"/>
    <w:rsid w:val="00382560"/>
    <w:rsid w:val="00382EF0"/>
    <w:rsid w:val="00382F02"/>
    <w:rsid w:val="0039322C"/>
    <w:rsid w:val="00395CF1"/>
    <w:rsid w:val="003A139F"/>
    <w:rsid w:val="003A2B79"/>
    <w:rsid w:val="003A4E13"/>
    <w:rsid w:val="003A7526"/>
    <w:rsid w:val="003B0E56"/>
    <w:rsid w:val="003B6D0F"/>
    <w:rsid w:val="003C745A"/>
    <w:rsid w:val="003D17A7"/>
    <w:rsid w:val="003D3856"/>
    <w:rsid w:val="003D4AFC"/>
    <w:rsid w:val="003D4C59"/>
    <w:rsid w:val="003D4DA1"/>
    <w:rsid w:val="003E1D0B"/>
    <w:rsid w:val="003E2149"/>
    <w:rsid w:val="003E3134"/>
    <w:rsid w:val="003E7625"/>
    <w:rsid w:val="003E7B2A"/>
    <w:rsid w:val="003F2518"/>
    <w:rsid w:val="003F31C5"/>
    <w:rsid w:val="003F4549"/>
    <w:rsid w:val="003F5751"/>
    <w:rsid w:val="00404EBA"/>
    <w:rsid w:val="0041014B"/>
    <w:rsid w:val="004107BB"/>
    <w:rsid w:val="0041408A"/>
    <w:rsid w:val="00416209"/>
    <w:rsid w:val="0042266A"/>
    <w:rsid w:val="004243CB"/>
    <w:rsid w:val="00425DC0"/>
    <w:rsid w:val="00430563"/>
    <w:rsid w:val="004311E0"/>
    <w:rsid w:val="00432796"/>
    <w:rsid w:val="00436553"/>
    <w:rsid w:val="00436745"/>
    <w:rsid w:val="00440A82"/>
    <w:rsid w:val="00442186"/>
    <w:rsid w:val="00444F93"/>
    <w:rsid w:val="00446191"/>
    <w:rsid w:val="00452FA1"/>
    <w:rsid w:val="004539BD"/>
    <w:rsid w:val="004549E5"/>
    <w:rsid w:val="00455F59"/>
    <w:rsid w:val="00456D40"/>
    <w:rsid w:val="00463EA1"/>
    <w:rsid w:val="004640C0"/>
    <w:rsid w:val="00464BBA"/>
    <w:rsid w:val="00467CE7"/>
    <w:rsid w:val="004729D0"/>
    <w:rsid w:val="00476991"/>
    <w:rsid w:val="00482016"/>
    <w:rsid w:val="00482B52"/>
    <w:rsid w:val="004832AA"/>
    <w:rsid w:val="0048437A"/>
    <w:rsid w:val="004857D1"/>
    <w:rsid w:val="0049082E"/>
    <w:rsid w:val="004951A2"/>
    <w:rsid w:val="004963CF"/>
    <w:rsid w:val="004A0A66"/>
    <w:rsid w:val="004A1990"/>
    <w:rsid w:val="004A3048"/>
    <w:rsid w:val="004A3154"/>
    <w:rsid w:val="004A3459"/>
    <w:rsid w:val="004A3781"/>
    <w:rsid w:val="004B0A6E"/>
    <w:rsid w:val="004B0F8D"/>
    <w:rsid w:val="004B78CE"/>
    <w:rsid w:val="004C0A8A"/>
    <w:rsid w:val="004C5366"/>
    <w:rsid w:val="004C6B02"/>
    <w:rsid w:val="004D4318"/>
    <w:rsid w:val="004D4B07"/>
    <w:rsid w:val="004D7475"/>
    <w:rsid w:val="004E0B91"/>
    <w:rsid w:val="004E49A6"/>
    <w:rsid w:val="004E4DE7"/>
    <w:rsid w:val="004E599C"/>
    <w:rsid w:val="004F200B"/>
    <w:rsid w:val="004F38A8"/>
    <w:rsid w:val="004F5EA5"/>
    <w:rsid w:val="0050042D"/>
    <w:rsid w:val="005027FC"/>
    <w:rsid w:val="00504DF1"/>
    <w:rsid w:val="00505089"/>
    <w:rsid w:val="00512164"/>
    <w:rsid w:val="00514A73"/>
    <w:rsid w:val="00514BF9"/>
    <w:rsid w:val="0051562A"/>
    <w:rsid w:val="00517150"/>
    <w:rsid w:val="0053096C"/>
    <w:rsid w:val="00531BD6"/>
    <w:rsid w:val="00542117"/>
    <w:rsid w:val="0055299F"/>
    <w:rsid w:val="0055434F"/>
    <w:rsid w:val="005654F0"/>
    <w:rsid w:val="00565EE1"/>
    <w:rsid w:val="00571678"/>
    <w:rsid w:val="00574A3F"/>
    <w:rsid w:val="00584054"/>
    <w:rsid w:val="00586886"/>
    <w:rsid w:val="005917FF"/>
    <w:rsid w:val="00591C85"/>
    <w:rsid w:val="00592DED"/>
    <w:rsid w:val="00594F9C"/>
    <w:rsid w:val="005A4644"/>
    <w:rsid w:val="005A4855"/>
    <w:rsid w:val="005A7553"/>
    <w:rsid w:val="005B2F67"/>
    <w:rsid w:val="005C0DC5"/>
    <w:rsid w:val="005C2684"/>
    <w:rsid w:val="005C642F"/>
    <w:rsid w:val="005C7A5E"/>
    <w:rsid w:val="005C7D26"/>
    <w:rsid w:val="005D23E3"/>
    <w:rsid w:val="005D2615"/>
    <w:rsid w:val="005D4D4C"/>
    <w:rsid w:val="005D6C4A"/>
    <w:rsid w:val="005F0552"/>
    <w:rsid w:val="005F0920"/>
    <w:rsid w:val="005F14D5"/>
    <w:rsid w:val="005F1D5B"/>
    <w:rsid w:val="005F4FCB"/>
    <w:rsid w:val="005F4FF4"/>
    <w:rsid w:val="00610A4F"/>
    <w:rsid w:val="00616E2E"/>
    <w:rsid w:val="00623FE6"/>
    <w:rsid w:val="00624EA8"/>
    <w:rsid w:val="00630675"/>
    <w:rsid w:val="006357BF"/>
    <w:rsid w:val="006364BB"/>
    <w:rsid w:val="00643D38"/>
    <w:rsid w:val="00643F3C"/>
    <w:rsid w:val="00646B1B"/>
    <w:rsid w:val="0064757C"/>
    <w:rsid w:val="00647590"/>
    <w:rsid w:val="00650A34"/>
    <w:rsid w:val="00651081"/>
    <w:rsid w:val="00652173"/>
    <w:rsid w:val="00655742"/>
    <w:rsid w:val="00655A00"/>
    <w:rsid w:val="00657A06"/>
    <w:rsid w:val="006601DD"/>
    <w:rsid w:val="00662DFD"/>
    <w:rsid w:val="00662F5D"/>
    <w:rsid w:val="0066385B"/>
    <w:rsid w:val="00666124"/>
    <w:rsid w:val="00666711"/>
    <w:rsid w:val="00670C8A"/>
    <w:rsid w:val="00670F24"/>
    <w:rsid w:val="00675A43"/>
    <w:rsid w:val="00675A96"/>
    <w:rsid w:val="00680421"/>
    <w:rsid w:val="00681A85"/>
    <w:rsid w:val="00683550"/>
    <w:rsid w:val="00685D62"/>
    <w:rsid w:val="00693630"/>
    <w:rsid w:val="00693CD2"/>
    <w:rsid w:val="00693EE0"/>
    <w:rsid w:val="0069418C"/>
    <w:rsid w:val="00696820"/>
    <w:rsid w:val="00697A1B"/>
    <w:rsid w:val="006A1A7A"/>
    <w:rsid w:val="006A233A"/>
    <w:rsid w:val="006A2E31"/>
    <w:rsid w:val="006A2E7A"/>
    <w:rsid w:val="006A3305"/>
    <w:rsid w:val="006A4D46"/>
    <w:rsid w:val="006B192A"/>
    <w:rsid w:val="006B5451"/>
    <w:rsid w:val="006C390F"/>
    <w:rsid w:val="006D5136"/>
    <w:rsid w:val="006D5410"/>
    <w:rsid w:val="006E5231"/>
    <w:rsid w:val="006E64D6"/>
    <w:rsid w:val="006F107F"/>
    <w:rsid w:val="006F186F"/>
    <w:rsid w:val="006F3BDD"/>
    <w:rsid w:val="007000DB"/>
    <w:rsid w:val="007041F0"/>
    <w:rsid w:val="00714ECE"/>
    <w:rsid w:val="007251A6"/>
    <w:rsid w:val="00727DA6"/>
    <w:rsid w:val="007303B7"/>
    <w:rsid w:val="00730F43"/>
    <w:rsid w:val="00741C98"/>
    <w:rsid w:val="00743181"/>
    <w:rsid w:val="00743BF5"/>
    <w:rsid w:val="00750592"/>
    <w:rsid w:val="0075095F"/>
    <w:rsid w:val="00756734"/>
    <w:rsid w:val="00756C73"/>
    <w:rsid w:val="0075750F"/>
    <w:rsid w:val="00760829"/>
    <w:rsid w:val="0076249B"/>
    <w:rsid w:val="007644BD"/>
    <w:rsid w:val="00765B0F"/>
    <w:rsid w:val="00765B8D"/>
    <w:rsid w:val="007662AE"/>
    <w:rsid w:val="007709FF"/>
    <w:rsid w:val="00771C67"/>
    <w:rsid w:val="00771CEE"/>
    <w:rsid w:val="007751B3"/>
    <w:rsid w:val="00777AD1"/>
    <w:rsid w:val="00783FD6"/>
    <w:rsid w:val="00786830"/>
    <w:rsid w:val="007928BF"/>
    <w:rsid w:val="007948B4"/>
    <w:rsid w:val="00794C5F"/>
    <w:rsid w:val="00797DC6"/>
    <w:rsid w:val="007A05C4"/>
    <w:rsid w:val="007A12C3"/>
    <w:rsid w:val="007A54DC"/>
    <w:rsid w:val="007A7B6D"/>
    <w:rsid w:val="007B1E2F"/>
    <w:rsid w:val="007B5F55"/>
    <w:rsid w:val="007B695E"/>
    <w:rsid w:val="007C197A"/>
    <w:rsid w:val="007C35D1"/>
    <w:rsid w:val="007D2672"/>
    <w:rsid w:val="007D73D3"/>
    <w:rsid w:val="007D780F"/>
    <w:rsid w:val="007E442E"/>
    <w:rsid w:val="007E60F4"/>
    <w:rsid w:val="007E7B0D"/>
    <w:rsid w:val="007F1997"/>
    <w:rsid w:val="007F203D"/>
    <w:rsid w:val="007F7A21"/>
    <w:rsid w:val="00810507"/>
    <w:rsid w:val="00813324"/>
    <w:rsid w:val="008176AE"/>
    <w:rsid w:val="00820CD9"/>
    <w:rsid w:val="00824B4A"/>
    <w:rsid w:val="0082765D"/>
    <w:rsid w:val="0083068E"/>
    <w:rsid w:val="0083131C"/>
    <w:rsid w:val="00831AD9"/>
    <w:rsid w:val="00832C75"/>
    <w:rsid w:val="00834674"/>
    <w:rsid w:val="008374E1"/>
    <w:rsid w:val="008409EE"/>
    <w:rsid w:val="00841703"/>
    <w:rsid w:val="00841EF3"/>
    <w:rsid w:val="00845C66"/>
    <w:rsid w:val="008468BF"/>
    <w:rsid w:val="0085119E"/>
    <w:rsid w:val="008538B4"/>
    <w:rsid w:val="0085775D"/>
    <w:rsid w:val="00861349"/>
    <w:rsid w:val="00871C1D"/>
    <w:rsid w:val="00874BED"/>
    <w:rsid w:val="00875019"/>
    <w:rsid w:val="008770EA"/>
    <w:rsid w:val="00877FD8"/>
    <w:rsid w:val="008866C7"/>
    <w:rsid w:val="00887328"/>
    <w:rsid w:val="00887AA1"/>
    <w:rsid w:val="00890461"/>
    <w:rsid w:val="00891D04"/>
    <w:rsid w:val="008A2F5B"/>
    <w:rsid w:val="008A3A0C"/>
    <w:rsid w:val="008A3F7C"/>
    <w:rsid w:val="008A61B7"/>
    <w:rsid w:val="008B2AC5"/>
    <w:rsid w:val="008B2CFB"/>
    <w:rsid w:val="008B49D2"/>
    <w:rsid w:val="008D775C"/>
    <w:rsid w:val="008E7569"/>
    <w:rsid w:val="008F36D7"/>
    <w:rsid w:val="008F7796"/>
    <w:rsid w:val="009030E1"/>
    <w:rsid w:val="009035EB"/>
    <w:rsid w:val="00904B38"/>
    <w:rsid w:val="00906FCD"/>
    <w:rsid w:val="00915D4B"/>
    <w:rsid w:val="00922159"/>
    <w:rsid w:val="00923997"/>
    <w:rsid w:val="0092413B"/>
    <w:rsid w:val="00924299"/>
    <w:rsid w:val="00926641"/>
    <w:rsid w:val="009303EF"/>
    <w:rsid w:val="0093335D"/>
    <w:rsid w:val="0093428C"/>
    <w:rsid w:val="00943783"/>
    <w:rsid w:val="00947557"/>
    <w:rsid w:val="00947C3F"/>
    <w:rsid w:val="00953978"/>
    <w:rsid w:val="00954A39"/>
    <w:rsid w:val="009570A4"/>
    <w:rsid w:val="009712E8"/>
    <w:rsid w:val="009751E7"/>
    <w:rsid w:val="00976B22"/>
    <w:rsid w:val="009800A7"/>
    <w:rsid w:val="00987EEA"/>
    <w:rsid w:val="009900AA"/>
    <w:rsid w:val="00993522"/>
    <w:rsid w:val="0099779E"/>
    <w:rsid w:val="009A314B"/>
    <w:rsid w:val="009A49B3"/>
    <w:rsid w:val="009A67AE"/>
    <w:rsid w:val="009A7D49"/>
    <w:rsid w:val="009B001C"/>
    <w:rsid w:val="009B430A"/>
    <w:rsid w:val="009C1F55"/>
    <w:rsid w:val="009C3FAD"/>
    <w:rsid w:val="009D0C0D"/>
    <w:rsid w:val="009D6169"/>
    <w:rsid w:val="009D68B9"/>
    <w:rsid w:val="009E2E23"/>
    <w:rsid w:val="009F4813"/>
    <w:rsid w:val="009F6D9F"/>
    <w:rsid w:val="009F7438"/>
    <w:rsid w:val="009F7ACA"/>
    <w:rsid w:val="00A01F1C"/>
    <w:rsid w:val="00A02A09"/>
    <w:rsid w:val="00A032C0"/>
    <w:rsid w:val="00A05E4E"/>
    <w:rsid w:val="00A07323"/>
    <w:rsid w:val="00A10869"/>
    <w:rsid w:val="00A11343"/>
    <w:rsid w:val="00A12528"/>
    <w:rsid w:val="00A12FB4"/>
    <w:rsid w:val="00A16968"/>
    <w:rsid w:val="00A20BDF"/>
    <w:rsid w:val="00A22DA7"/>
    <w:rsid w:val="00A271EE"/>
    <w:rsid w:val="00A32A65"/>
    <w:rsid w:val="00A35225"/>
    <w:rsid w:val="00A3590B"/>
    <w:rsid w:val="00A36C4F"/>
    <w:rsid w:val="00A37934"/>
    <w:rsid w:val="00A611E3"/>
    <w:rsid w:val="00A628A1"/>
    <w:rsid w:val="00A715AC"/>
    <w:rsid w:val="00A72A72"/>
    <w:rsid w:val="00A734A8"/>
    <w:rsid w:val="00A756D7"/>
    <w:rsid w:val="00A806A5"/>
    <w:rsid w:val="00A815B4"/>
    <w:rsid w:val="00A85407"/>
    <w:rsid w:val="00A94DEC"/>
    <w:rsid w:val="00A9639A"/>
    <w:rsid w:val="00A9670B"/>
    <w:rsid w:val="00A97710"/>
    <w:rsid w:val="00AA16A2"/>
    <w:rsid w:val="00AA2ABD"/>
    <w:rsid w:val="00AA3F8B"/>
    <w:rsid w:val="00AA4648"/>
    <w:rsid w:val="00AA7EB4"/>
    <w:rsid w:val="00AB2EA0"/>
    <w:rsid w:val="00AC6E36"/>
    <w:rsid w:val="00AC6F66"/>
    <w:rsid w:val="00AD12AC"/>
    <w:rsid w:val="00AD2549"/>
    <w:rsid w:val="00AD347F"/>
    <w:rsid w:val="00AE526C"/>
    <w:rsid w:val="00AF4F11"/>
    <w:rsid w:val="00AF639D"/>
    <w:rsid w:val="00B00A6C"/>
    <w:rsid w:val="00B00B24"/>
    <w:rsid w:val="00B019D0"/>
    <w:rsid w:val="00B04DE5"/>
    <w:rsid w:val="00B12CEA"/>
    <w:rsid w:val="00B1341D"/>
    <w:rsid w:val="00B14441"/>
    <w:rsid w:val="00B20110"/>
    <w:rsid w:val="00B231BC"/>
    <w:rsid w:val="00B2411F"/>
    <w:rsid w:val="00B40A51"/>
    <w:rsid w:val="00B42C93"/>
    <w:rsid w:val="00B44070"/>
    <w:rsid w:val="00B4489C"/>
    <w:rsid w:val="00B47252"/>
    <w:rsid w:val="00B51CD0"/>
    <w:rsid w:val="00B53E70"/>
    <w:rsid w:val="00B5413F"/>
    <w:rsid w:val="00B57B7B"/>
    <w:rsid w:val="00B64D70"/>
    <w:rsid w:val="00B66CD0"/>
    <w:rsid w:val="00B72274"/>
    <w:rsid w:val="00B76624"/>
    <w:rsid w:val="00B769C2"/>
    <w:rsid w:val="00B77D01"/>
    <w:rsid w:val="00B818A9"/>
    <w:rsid w:val="00B832DB"/>
    <w:rsid w:val="00B866E2"/>
    <w:rsid w:val="00B92B4C"/>
    <w:rsid w:val="00B9349D"/>
    <w:rsid w:val="00B96866"/>
    <w:rsid w:val="00BA4A5D"/>
    <w:rsid w:val="00BA4E7A"/>
    <w:rsid w:val="00BB0740"/>
    <w:rsid w:val="00BB4984"/>
    <w:rsid w:val="00BC2116"/>
    <w:rsid w:val="00BD6875"/>
    <w:rsid w:val="00BE0C32"/>
    <w:rsid w:val="00BE37A4"/>
    <w:rsid w:val="00BE37D4"/>
    <w:rsid w:val="00BE53D7"/>
    <w:rsid w:val="00BE7586"/>
    <w:rsid w:val="00BE7C44"/>
    <w:rsid w:val="00BF2893"/>
    <w:rsid w:val="00C013F4"/>
    <w:rsid w:val="00C02187"/>
    <w:rsid w:val="00C03EF8"/>
    <w:rsid w:val="00C0400C"/>
    <w:rsid w:val="00C075D1"/>
    <w:rsid w:val="00C076BB"/>
    <w:rsid w:val="00C07853"/>
    <w:rsid w:val="00C1306E"/>
    <w:rsid w:val="00C13D10"/>
    <w:rsid w:val="00C16D4B"/>
    <w:rsid w:val="00C17B25"/>
    <w:rsid w:val="00C215EE"/>
    <w:rsid w:val="00C22485"/>
    <w:rsid w:val="00C244AE"/>
    <w:rsid w:val="00C26072"/>
    <w:rsid w:val="00C30995"/>
    <w:rsid w:val="00C31F45"/>
    <w:rsid w:val="00C32E5D"/>
    <w:rsid w:val="00C4012E"/>
    <w:rsid w:val="00C402CC"/>
    <w:rsid w:val="00C47370"/>
    <w:rsid w:val="00C57955"/>
    <w:rsid w:val="00C628D3"/>
    <w:rsid w:val="00C672B7"/>
    <w:rsid w:val="00C70DA5"/>
    <w:rsid w:val="00C725D2"/>
    <w:rsid w:val="00C76B78"/>
    <w:rsid w:val="00C76CEE"/>
    <w:rsid w:val="00C80E9D"/>
    <w:rsid w:val="00C815BE"/>
    <w:rsid w:val="00C84C35"/>
    <w:rsid w:val="00C914B6"/>
    <w:rsid w:val="00C93DFC"/>
    <w:rsid w:val="00CA2901"/>
    <w:rsid w:val="00CA7302"/>
    <w:rsid w:val="00CB6757"/>
    <w:rsid w:val="00CC6503"/>
    <w:rsid w:val="00CD093F"/>
    <w:rsid w:val="00CD58EE"/>
    <w:rsid w:val="00CE0289"/>
    <w:rsid w:val="00CF614E"/>
    <w:rsid w:val="00D007E6"/>
    <w:rsid w:val="00D028AC"/>
    <w:rsid w:val="00D1057F"/>
    <w:rsid w:val="00D11B80"/>
    <w:rsid w:val="00D12FC6"/>
    <w:rsid w:val="00D13E3C"/>
    <w:rsid w:val="00D33EEE"/>
    <w:rsid w:val="00D3585E"/>
    <w:rsid w:val="00D432FC"/>
    <w:rsid w:val="00D513CF"/>
    <w:rsid w:val="00D5273D"/>
    <w:rsid w:val="00D60EE3"/>
    <w:rsid w:val="00D63570"/>
    <w:rsid w:val="00D637F9"/>
    <w:rsid w:val="00D659CB"/>
    <w:rsid w:val="00D65A01"/>
    <w:rsid w:val="00D66613"/>
    <w:rsid w:val="00D66A6F"/>
    <w:rsid w:val="00D675B2"/>
    <w:rsid w:val="00D71AB5"/>
    <w:rsid w:val="00D71E37"/>
    <w:rsid w:val="00D81651"/>
    <w:rsid w:val="00D82C98"/>
    <w:rsid w:val="00D9066F"/>
    <w:rsid w:val="00D92A1E"/>
    <w:rsid w:val="00D972BB"/>
    <w:rsid w:val="00DA6D79"/>
    <w:rsid w:val="00DB268D"/>
    <w:rsid w:val="00DB2841"/>
    <w:rsid w:val="00DB3A61"/>
    <w:rsid w:val="00DC02A7"/>
    <w:rsid w:val="00DC0856"/>
    <w:rsid w:val="00DC69DB"/>
    <w:rsid w:val="00DD1963"/>
    <w:rsid w:val="00DD196B"/>
    <w:rsid w:val="00DD313C"/>
    <w:rsid w:val="00DD4656"/>
    <w:rsid w:val="00DD6517"/>
    <w:rsid w:val="00DD6860"/>
    <w:rsid w:val="00DD7DBC"/>
    <w:rsid w:val="00DE40BD"/>
    <w:rsid w:val="00DE5C68"/>
    <w:rsid w:val="00DE76CB"/>
    <w:rsid w:val="00DF2B00"/>
    <w:rsid w:val="00E02285"/>
    <w:rsid w:val="00E0317E"/>
    <w:rsid w:val="00E051AA"/>
    <w:rsid w:val="00E1608B"/>
    <w:rsid w:val="00E16DF7"/>
    <w:rsid w:val="00E237E7"/>
    <w:rsid w:val="00E25AE5"/>
    <w:rsid w:val="00E32916"/>
    <w:rsid w:val="00E32CB8"/>
    <w:rsid w:val="00E32F98"/>
    <w:rsid w:val="00E34452"/>
    <w:rsid w:val="00E34B56"/>
    <w:rsid w:val="00E36685"/>
    <w:rsid w:val="00E36CBE"/>
    <w:rsid w:val="00E3717F"/>
    <w:rsid w:val="00E44879"/>
    <w:rsid w:val="00E50603"/>
    <w:rsid w:val="00E51E89"/>
    <w:rsid w:val="00E54342"/>
    <w:rsid w:val="00E55FB7"/>
    <w:rsid w:val="00E576F1"/>
    <w:rsid w:val="00E635FF"/>
    <w:rsid w:val="00E63787"/>
    <w:rsid w:val="00E666FA"/>
    <w:rsid w:val="00E72B07"/>
    <w:rsid w:val="00E733C0"/>
    <w:rsid w:val="00E77815"/>
    <w:rsid w:val="00E8244E"/>
    <w:rsid w:val="00E8553B"/>
    <w:rsid w:val="00E905A9"/>
    <w:rsid w:val="00E92AC4"/>
    <w:rsid w:val="00E92D4F"/>
    <w:rsid w:val="00E9452E"/>
    <w:rsid w:val="00E9509E"/>
    <w:rsid w:val="00E97C8B"/>
    <w:rsid w:val="00EA27B3"/>
    <w:rsid w:val="00EA2D6E"/>
    <w:rsid w:val="00EA7009"/>
    <w:rsid w:val="00EA7232"/>
    <w:rsid w:val="00EB6029"/>
    <w:rsid w:val="00EC336E"/>
    <w:rsid w:val="00EC504D"/>
    <w:rsid w:val="00EC66B2"/>
    <w:rsid w:val="00EC7EE2"/>
    <w:rsid w:val="00ED0256"/>
    <w:rsid w:val="00ED2FF9"/>
    <w:rsid w:val="00ED4F71"/>
    <w:rsid w:val="00ED5CB1"/>
    <w:rsid w:val="00ED7D35"/>
    <w:rsid w:val="00EE0682"/>
    <w:rsid w:val="00EE07E4"/>
    <w:rsid w:val="00EE2D1C"/>
    <w:rsid w:val="00EE6306"/>
    <w:rsid w:val="00EF0A6E"/>
    <w:rsid w:val="00EF2563"/>
    <w:rsid w:val="00F003BE"/>
    <w:rsid w:val="00F00A6F"/>
    <w:rsid w:val="00F01455"/>
    <w:rsid w:val="00F10C6D"/>
    <w:rsid w:val="00F253DD"/>
    <w:rsid w:val="00F37999"/>
    <w:rsid w:val="00F37E54"/>
    <w:rsid w:val="00F40160"/>
    <w:rsid w:val="00F4479C"/>
    <w:rsid w:val="00F5275B"/>
    <w:rsid w:val="00F54E13"/>
    <w:rsid w:val="00F607C7"/>
    <w:rsid w:val="00F60900"/>
    <w:rsid w:val="00F633B7"/>
    <w:rsid w:val="00F6436F"/>
    <w:rsid w:val="00F66C5A"/>
    <w:rsid w:val="00F719C3"/>
    <w:rsid w:val="00F71B40"/>
    <w:rsid w:val="00F7358E"/>
    <w:rsid w:val="00F74827"/>
    <w:rsid w:val="00F8003C"/>
    <w:rsid w:val="00F95C01"/>
    <w:rsid w:val="00F96BFF"/>
    <w:rsid w:val="00FA0DDA"/>
    <w:rsid w:val="00FA672C"/>
    <w:rsid w:val="00FB7D78"/>
    <w:rsid w:val="00FC11E8"/>
    <w:rsid w:val="00FC1FBE"/>
    <w:rsid w:val="00FC51E5"/>
    <w:rsid w:val="00FD2E1E"/>
    <w:rsid w:val="00FD7809"/>
    <w:rsid w:val="00FE23FA"/>
    <w:rsid w:val="00FE2F62"/>
    <w:rsid w:val="00FE6639"/>
    <w:rsid w:val="00FF3AE6"/>
    <w:rsid w:val="00FF477D"/>
    <w:rsid w:val="4E1113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00D6F"/>
  <w15:docId w15:val="{6E8089FA-081E-4BF2-82E4-043D2E3A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240" w:after="200" w:line="276" w:lineRule="auto"/>
        <w:ind w:right="227"/>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7"/>
    <w:qFormat/>
    <w:rsid w:val="00E92AC4"/>
    <w:pPr>
      <w:spacing w:before="0" w:line="240" w:lineRule="auto"/>
      <w:ind w:right="0"/>
      <w:jc w:val="both"/>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9"/>
    <w:semiHidden/>
    <w:rsid w:val="00B00B24"/>
    <w:pPr>
      <w:keepNext/>
      <w:keepLines/>
      <w:numPr>
        <w:numId w:val="1"/>
      </w:numPr>
      <w:spacing w:before="480"/>
      <w:ind w:left="431" w:hanging="431"/>
      <w:jc w:val="left"/>
      <w:outlineLvl w:val="0"/>
    </w:pPr>
    <w:rPr>
      <w:rFonts w:asciiTheme="majorHAnsi" w:eastAsiaTheme="majorEastAsia" w:hAnsiTheme="majorHAnsi" w:cstheme="majorBidi"/>
      <w:bCs/>
      <w:color w:val="CD003A" w:themeColor="accent1"/>
      <w:sz w:val="32"/>
      <w:szCs w:val="28"/>
    </w:rPr>
  </w:style>
  <w:style w:type="paragraph" w:styleId="Nadpis2">
    <w:name w:val="heading 2"/>
    <w:basedOn w:val="Normln"/>
    <w:next w:val="Normln"/>
    <w:link w:val="Nadpis2Char"/>
    <w:uiPriority w:val="99"/>
    <w:semiHidden/>
    <w:rsid w:val="00B00B24"/>
    <w:pPr>
      <w:keepNext/>
      <w:spacing w:before="480"/>
      <w:jc w:val="left"/>
      <w:outlineLvl w:val="1"/>
    </w:pPr>
    <w:rPr>
      <w:color w:val="00447A" w:themeColor="text1"/>
      <w:sz w:val="28"/>
      <w:szCs w:val="20"/>
    </w:rPr>
  </w:style>
  <w:style w:type="paragraph" w:styleId="Nadpis3">
    <w:name w:val="heading 3"/>
    <w:basedOn w:val="Normln"/>
    <w:next w:val="Normln"/>
    <w:link w:val="Nadpis3Char"/>
    <w:uiPriority w:val="99"/>
    <w:semiHidden/>
    <w:rsid w:val="00B00B24"/>
    <w:pPr>
      <w:keepNext/>
      <w:keepLines/>
      <w:numPr>
        <w:ilvl w:val="2"/>
        <w:numId w:val="1"/>
      </w:numPr>
      <w:spacing w:before="480"/>
      <w:jc w:val="left"/>
      <w:outlineLvl w:val="2"/>
    </w:pPr>
    <w:rPr>
      <w:rFonts w:asciiTheme="majorHAnsi" w:eastAsiaTheme="majorEastAsia" w:hAnsiTheme="majorHAnsi" w:cstheme="majorBidi"/>
      <w:bCs/>
      <w:color w:val="00447A" w:themeColor="text1"/>
      <w:sz w:val="24"/>
    </w:rPr>
  </w:style>
  <w:style w:type="paragraph" w:styleId="Nadpis4">
    <w:name w:val="heading 4"/>
    <w:basedOn w:val="Normln"/>
    <w:next w:val="Normln"/>
    <w:link w:val="Nadpis4Char"/>
    <w:uiPriority w:val="99"/>
    <w:semiHidden/>
    <w:rsid w:val="00B00B24"/>
    <w:pPr>
      <w:keepNext/>
      <w:keepLines/>
      <w:numPr>
        <w:ilvl w:val="3"/>
        <w:numId w:val="1"/>
      </w:numPr>
      <w:tabs>
        <w:tab w:val="left" w:pos="1134"/>
      </w:tabs>
      <w:spacing w:before="480"/>
      <w:ind w:left="567" w:hanging="567"/>
      <w:outlineLvl w:val="3"/>
    </w:pPr>
    <w:rPr>
      <w:rFonts w:asciiTheme="majorHAnsi" w:eastAsiaTheme="majorEastAsia" w:hAnsiTheme="majorHAnsi" w:cstheme="majorBidi"/>
      <w:bCs/>
      <w:i/>
      <w:iCs/>
      <w:color w:val="00447A" w:themeColor="text1"/>
      <w:sz w:val="24"/>
    </w:rPr>
  </w:style>
  <w:style w:type="paragraph" w:styleId="Nadpis5">
    <w:name w:val="heading 5"/>
    <w:basedOn w:val="Normln"/>
    <w:next w:val="Normln"/>
    <w:link w:val="Nadpis5Char"/>
    <w:uiPriority w:val="99"/>
    <w:semiHidden/>
    <w:rsid w:val="00B00B24"/>
    <w:pPr>
      <w:keepNext/>
      <w:keepLines/>
      <w:numPr>
        <w:ilvl w:val="4"/>
        <w:numId w:val="1"/>
      </w:numPr>
      <w:spacing w:before="200"/>
      <w:outlineLvl w:val="4"/>
    </w:pPr>
    <w:rPr>
      <w:rFonts w:asciiTheme="majorHAnsi" w:eastAsiaTheme="majorEastAsia" w:hAnsiTheme="majorHAnsi" w:cstheme="majorBidi"/>
      <w:color w:val="66001C" w:themeColor="accent1" w:themeShade="7F"/>
    </w:rPr>
  </w:style>
  <w:style w:type="paragraph" w:styleId="Nadpis6">
    <w:name w:val="heading 6"/>
    <w:basedOn w:val="Normln"/>
    <w:next w:val="Normln"/>
    <w:link w:val="Nadpis6Char"/>
    <w:uiPriority w:val="9"/>
    <w:semiHidden/>
    <w:unhideWhenUsed/>
    <w:rsid w:val="00B00B24"/>
    <w:pPr>
      <w:keepNext/>
      <w:keepLines/>
      <w:numPr>
        <w:ilvl w:val="5"/>
        <w:numId w:val="1"/>
      </w:numPr>
      <w:spacing w:before="200"/>
      <w:outlineLvl w:val="5"/>
    </w:pPr>
    <w:rPr>
      <w:rFonts w:asciiTheme="majorHAnsi" w:eastAsiaTheme="majorEastAsia" w:hAnsiTheme="majorHAnsi" w:cstheme="majorBidi"/>
      <w:i/>
      <w:iCs/>
      <w:color w:val="66001C" w:themeColor="accent1" w:themeShade="7F"/>
    </w:rPr>
  </w:style>
  <w:style w:type="paragraph" w:styleId="Nadpis7">
    <w:name w:val="heading 7"/>
    <w:basedOn w:val="Normln"/>
    <w:next w:val="Normln"/>
    <w:link w:val="Nadpis7Char"/>
    <w:uiPriority w:val="9"/>
    <w:semiHidden/>
    <w:unhideWhenUsed/>
    <w:qFormat/>
    <w:rsid w:val="00B00B24"/>
    <w:pPr>
      <w:keepNext/>
      <w:keepLines/>
      <w:numPr>
        <w:ilvl w:val="6"/>
        <w:numId w:val="1"/>
      </w:numPr>
      <w:spacing w:before="200"/>
      <w:outlineLvl w:val="6"/>
    </w:pPr>
    <w:rPr>
      <w:rFonts w:asciiTheme="majorHAnsi" w:eastAsiaTheme="majorEastAsia" w:hAnsiTheme="majorHAnsi" w:cstheme="majorBidi"/>
      <w:i/>
      <w:iCs/>
      <w:color w:val="007ADB" w:themeColor="text1" w:themeTint="BF"/>
    </w:rPr>
  </w:style>
  <w:style w:type="paragraph" w:styleId="Nadpis8">
    <w:name w:val="heading 8"/>
    <w:basedOn w:val="Normln"/>
    <w:next w:val="Normln"/>
    <w:link w:val="Nadpis8Char"/>
    <w:uiPriority w:val="9"/>
    <w:semiHidden/>
    <w:unhideWhenUsed/>
    <w:qFormat/>
    <w:rsid w:val="00B00B24"/>
    <w:pPr>
      <w:keepNext/>
      <w:keepLines/>
      <w:numPr>
        <w:ilvl w:val="7"/>
        <w:numId w:val="1"/>
      </w:numPr>
      <w:spacing w:before="200"/>
      <w:outlineLvl w:val="7"/>
    </w:pPr>
    <w:rPr>
      <w:rFonts w:asciiTheme="majorHAnsi" w:eastAsiaTheme="majorEastAsia" w:hAnsiTheme="majorHAnsi" w:cstheme="majorBidi"/>
      <w:color w:val="007ADB" w:themeColor="text1" w:themeTint="BF"/>
      <w:szCs w:val="20"/>
    </w:rPr>
  </w:style>
  <w:style w:type="paragraph" w:styleId="Nadpis9">
    <w:name w:val="heading 9"/>
    <w:basedOn w:val="Normln"/>
    <w:next w:val="Normln"/>
    <w:link w:val="Nadpis9Char"/>
    <w:uiPriority w:val="9"/>
    <w:semiHidden/>
    <w:unhideWhenUsed/>
    <w:qFormat/>
    <w:rsid w:val="00B00B24"/>
    <w:pPr>
      <w:keepNext/>
      <w:keepLines/>
      <w:numPr>
        <w:ilvl w:val="8"/>
        <w:numId w:val="1"/>
      </w:numPr>
      <w:spacing w:before="200"/>
      <w:outlineLvl w:val="8"/>
    </w:pPr>
    <w:rPr>
      <w:rFonts w:asciiTheme="majorHAnsi" w:eastAsiaTheme="majorEastAsia" w:hAnsiTheme="majorHAnsi" w:cstheme="majorBidi"/>
      <w:i/>
      <w:iCs/>
      <w:color w:val="007ADB"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257988"/>
    <w:rPr>
      <w:rFonts w:ascii="Verdana" w:eastAsia="Times New Roman" w:hAnsi="Verdana" w:cs="Times New Roman"/>
      <w:color w:val="00447A" w:themeColor="text1"/>
      <w:sz w:val="28"/>
      <w:szCs w:val="20"/>
      <w:lang w:eastAsia="cs-CZ"/>
    </w:rPr>
  </w:style>
  <w:style w:type="character" w:customStyle="1" w:styleId="Nadpis1Char">
    <w:name w:val="Nadpis 1 Char"/>
    <w:basedOn w:val="Standardnpsmoodstavce"/>
    <w:link w:val="Nadpis1"/>
    <w:uiPriority w:val="99"/>
    <w:semiHidden/>
    <w:rsid w:val="00257988"/>
    <w:rPr>
      <w:rFonts w:asciiTheme="majorHAnsi" w:eastAsiaTheme="majorEastAsia" w:hAnsiTheme="majorHAnsi" w:cstheme="majorBidi"/>
      <w:bCs/>
      <w:color w:val="CD003A" w:themeColor="accent1"/>
      <w:sz w:val="32"/>
      <w:szCs w:val="28"/>
      <w:lang w:eastAsia="cs-CZ"/>
    </w:rPr>
  </w:style>
  <w:style w:type="paragraph" w:styleId="Nadpisobsahu">
    <w:name w:val="TOC Heading"/>
    <w:basedOn w:val="Nadpis1"/>
    <w:next w:val="Normln"/>
    <w:uiPriority w:val="39"/>
    <w:unhideWhenUsed/>
    <w:rsid w:val="00B00B24"/>
    <w:pPr>
      <w:numPr>
        <w:numId w:val="0"/>
      </w:numPr>
      <w:spacing w:line="276" w:lineRule="auto"/>
      <w:outlineLvl w:val="9"/>
    </w:pPr>
    <w:rPr>
      <w:sz w:val="28"/>
      <w:lang w:eastAsia="en-US"/>
    </w:rPr>
  </w:style>
  <w:style w:type="character" w:customStyle="1" w:styleId="Nadpis3Char">
    <w:name w:val="Nadpis 3 Char"/>
    <w:basedOn w:val="Standardnpsmoodstavce"/>
    <w:link w:val="Nadpis3"/>
    <w:uiPriority w:val="99"/>
    <w:semiHidden/>
    <w:rsid w:val="00257988"/>
    <w:rPr>
      <w:rFonts w:asciiTheme="majorHAnsi" w:eastAsiaTheme="majorEastAsia" w:hAnsiTheme="majorHAnsi" w:cstheme="majorBidi"/>
      <w:bCs/>
      <w:color w:val="00447A" w:themeColor="text1"/>
      <w:sz w:val="24"/>
      <w:szCs w:val="24"/>
      <w:lang w:eastAsia="cs-CZ"/>
    </w:rPr>
  </w:style>
  <w:style w:type="character" w:customStyle="1" w:styleId="Nadpis4Char">
    <w:name w:val="Nadpis 4 Char"/>
    <w:basedOn w:val="Standardnpsmoodstavce"/>
    <w:link w:val="Nadpis4"/>
    <w:uiPriority w:val="99"/>
    <w:semiHidden/>
    <w:rsid w:val="00257988"/>
    <w:rPr>
      <w:rFonts w:asciiTheme="majorHAnsi" w:eastAsiaTheme="majorEastAsia" w:hAnsiTheme="majorHAnsi" w:cstheme="majorBidi"/>
      <w:bCs/>
      <w:i/>
      <w:iCs/>
      <w:color w:val="00447A" w:themeColor="text1"/>
      <w:sz w:val="24"/>
      <w:szCs w:val="24"/>
      <w:lang w:eastAsia="cs-CZ"/>
    </w:rPr>
  </w:style>
  <w:style w:type="character" w:customStyle="1" w:styleId="Nadpis5Char">
    <w:name w:val="Nadpis 5 Char"/>
    <w:basedOn w:val="Standardnpsmoodstavce"/>
    <w:link w:val="Nadpis5"/>
    <w:uiPriority w:val="99"/>
    <w:semiHidden/>
    <w:rsid w:val="00257988"/>
    <w:rPr>
      <w:rFonts w:asciiTheme="majorHAnsi" w:eastAsiaTheme="majorEastAsia" w:hAnsiTheme="majorHAnsi" w:cstheme="majorBidi"/>
      <w:color w:val="66001C" w:themeColor="accent1" w:themeShade="7F"/>
      <w:sz w:val="20"/>
      <w:szCs w:val="24"/>
      <w:lang w:eastAsia="cs-CZ"/>
    </w:rPr>
  </w:style>
  <w:style w:type="character" w:customStyle="1" w:styleId="Nadpis6Char">
    <w:name w:val="Nadpis 6 Char"/>
    <w:basedOn w:val="Standardnpsmoodstavce"/>
    <w:link w:val="Nadpis6"/>
    <w:uiPriority w:val="9"/>
    <w:semiHidden/>
    <w:rsid w:val="00B00B24"/>
    <w:rPr>
      <w:rFonts w:asciiTheme="majorHAnsi" w:eastAsiaTheme="majorEastAsia" w:hAnsiTheme="majorHAnsi" w:cstheme="majorBidi"/>
      <w:i/>
      <w:iCs/>
      <w:color w:val="66001C" w:themeColor="accent1" w:themeShade="7F"/>
      <w:sz w:val="20"/>
      <w:szCs w:val="24"/>
      <w:lang w:eastAsia="cs-CZ"/>
    </w:rPr>
  </w:style>
  <w:style w:type="character" w:customStyle="1" w:styleId="Nadpis7Char">
    <w:name w:val="Nadpis 7 Char"/>
    <w:basedOn w:val="Standardnpsmoodstavce"/>
    <w:link w:val="Nadpis7"/>
    <w:uiPriority w:val="9"/>
    <w:semiHidden/>
    <w:rsid w:val="00B00B24"/>
    <w:rPr>
      <w:rFonts w:asciiTheme="majorHAnsi" w:eastAsiaTheme="majorEastAsia" w:hAnsiTheme="majorHAnsi" w:cstheme="majorBidi"/>
      <w:i/>
      <w:iCs/>
      <w:color w:val="007ADB" w:themeColor="text1" w:themeTint="BF"/>
      <w:sz w:val="20"/>
      <w:szCs w:val="24"/>
      <w:lang w:eastAsia="cs-CZ"/>
    </w:rPr>
  </w:style>
  <w:style w:type="character" w:customStyle="1" w:styleId="Nadpis8Char">
    <w:name w:val="Nadpis 8 Char"/>
    <w:basedOn w:val="Standardnpsmoodstavce"/>
    <w:link w:val="Nadpis8"/>
    <w:uiPriority w:val="9"/>
    <w:semiHidden/>
    <w:rsid w:val="00B00B24"/>
    <w:rPr>
      <w:rFonts w:asciiTheme="majorHAnsi" w:eastAsiaTheme="majorEastAsia" w:hAnsiTheme="majorHAnsi" w:cstheme="majorBidi"/>
      <w:color w:val="007ADB" w:themeColor="text1" w:themeTint="BF"/>
      <w:sz w:val="20"/>
      <w:szCs w:val="20"/>
      <w:lang w:eastAsia="cs-CZ"/>
    </w:rPr>
  </w:style>
  <w:style w:type="character" w:customStyle="1" w:styleId="Nadpis9Char">
    <w:name w:val="Nadpis 9 Char"/>
    <w:basedOn w:val="Standardnpsmoodstavce"/>
    <w:link w:val="Nadpis9"/>
    <w:uiPriority w:val="9"/>
    <w:semiHidden/>
    <w:rsid w:val="00B00B24"/>
    <w:rPr>
      <w:rFonts w:asciiTheme="majorHAnsi" w:eastAsiaTheme="majorEastAsia" w:hAnsiTheme="majorHAnsi" w:cstheme="majorBidi"/>
      <w:i/>
      <w:iCs/>
      <w:color w:val="007ADB" w:themeColor="text1" w:themeTint="BF"/>
      <w:sz w:val="20"/>
      <w:szCs w:val="20"/>
      <w:lang w:eastAsia="cs-CZ"/>
    </w:rPr>
  </w:style>
  <w:style w:type="paragraph" w:styleId="Obsah1">
    <w:name w:val="toc 1"/>
    <w:basedOn w:val="Normln"/>
    <w:next w:val="Normln"/>
    <w:autoRedefine/>
    <w:uiPriority w:val="39"/>
    <w:unhideWhenUsed/>
    <w:rsid w:val="00B00B24"/>
    <w:pPr>
      <w:spacing w:after="100"/>
    </w:pPr>
  </w:style>
  <w:style w:type="character" w:styleId="Hypertextovodkaz">
    <w:name w:val="Hyperlink"/>
    <w:basedOn w:val="Standardnpsmoodstavce"/>
    <w:uiPriority w:val="99"/>
    <w:unhideWhenUsed/>
    <w:rsid w:val="00B00B24"/>
    <w:rPr>
      <w:color w:val="CD003A" w:themeColor="hyperlink"/>
      <w:u w:val="single"/>
    </w:rPr>
  </w:style>
  <w:style w:type="paragraph" w:styleId="Textbubliny">
    <w:name w:val="Balloon Text"/>
    <w:basedOn w:val="Normln"/>
    <w:link w:val="TextbublinyChar"/>
    <w:semiHidden/>
    <w:unhideWhenUsed/>
    <w:rsid w:val="00B00B24"/>
    <w:rPr>
      <w:rFonts w:ascii="Tahoma" w:hAnsi="Tahoma" w:cs="Tahoma"/>
      <w:sz w:val="16"/>
      <w:szCs w:val="16"/>
    </w:rPr>
  </w:style>
  <w:style w:type="character" w:customStyle="1" w:styleId="TextbublinyChar">
    <w:name w:val="Text bubliny Char"/>
    <w:basedOn w:val="Standardnpsmoodstavce"/>
    <w:link w:val="Textbubliny"/>
    <w:semiHidden/>
    <w:rsid w:val="00B00B24"/>
    <w:rPr>
      <w:rFonts w:ascii="Tahoma" w:eastAsia="Times New Roman" w:hAnsi="Tahoma" w:cs="Tahoma"/>
      <w:sz w:val="16"/>
      <w:szCs w:val="16"/>
      <w:lang w:eastAsia="cs-CZ"/>
    </w:rPr>
  </w:style>
  <w:style w:type="paragraph" w:styleId="Zhlav">
    <w:name w:val="header"/>
    <w:basedOn w:val="Normln"/>
    <w:link w:val="ZhlavChar"/>
    <w:uiPriority w:val="99"/>
    <w:unhideWhenUsed/>
    <w:rsid w:val="00B00B24"/>
    <w:pPr>
      <w:tabs>
        <w:tab w:val="center" w:pos="4536"/>
        <w:tab w:val="right" w:pos="9072"/>
      </w:tabs>
    </w:pPr>
  </w:style>
  <w:style w:type="character" w:customStyle="1" w:styleId="ZhlavChar">
    <w:name w:val="Záhlaví Char"/>
    <w:basedOn w:val="Standardnpsmoodstavce"/>
    <w:link w:val="Zhlav"/>
    <w:uiPriority w:val="99"/>
    <w:rsid w:val="00257988"/>
    <w:rPr>
      <w:rFonts w:ascii="Verdana" w:eastAsia="Times New Roman" w:hAnsi="Verdana" w:cs="Times New Roman"/>
      <w:sz w:val="20"/>
      <w:szCs w:val="24"/>
      <w:lang w:eastAsia="cs-CZ"/>
    </w:rPr>
  </w:style>
  <w:style w:type="paragraph" w:styleId="Zpat">
    <w:name w:val="footer"/>
    <w:basedOn w:val="Normln"/>
    <w:link w:val="ZpatChar"/>
    <w:uiPriority w:val="99"/>
    <w:rsid w:val="00B00B24"/>
    <w:pPr>
      <w:tabs>
        <w:tab w:val="center" w:pos="4536"/>
        <w:tab w:val="right" w:pos="9180"/>
      </w:tabs>
      <w:spacing w:after="0" w:line="264" w:lineRule="auto"/>
      <w:jc w:val="left"/>
    </w:pPr>
    <w:rPr>
      <w:rFonts w:asciiTheme="minorHAnsi" w:eastAsiaTheme="minorHAnsi" w:hAnsiTheme="minorHAnsi" w:cstheme="minorBidi"/>
      <w:noProof/>
      <w:color w:val="00447A" w:themeColor="text1"/>
      <w:sz w:val="16"/>
      <w:szCs w:val="22"/>
    </w:rPr>
  </w:style>
  <w:style w:type="character" w:customStyle="1" w:styleId="ZpatChar">
    <w:name w:val="Zápatí Char"/>
    <w:basedOn w:val="Standardnpsmoodstavce"/>
    <w:link w:val="Zpat"/>
    <w:uiPriority w:val="99"/>
    <w:rsid w:val="00257988"/>
    <w:rPr>
      <w:noProof/>
      <w:color w:val="00447A" w:themeColor="text1"/>
      <w:sz w:val="16"/>
      <w:lang w:eastAsia="cs-CZ"/>
    </w:rPr>
  </w:style>
  <w:style w:type="paragraph" w:styleId="Odstavecseseznamem">
    <w:name w:val="List Paragraph"/>
    <w:aliases w:val="Odstavec_muj,Conclusion de partie,Fiche List Paragraph,Odstavec se seznamem2,List Paragraph,Odstavec cíl se seznamem"/>
    <w:basedOn w:val="Normln"/>
    <w:link w:val="OdstavecseseznamemChar"/>
    <w:uiPriority w:val="34"/>
    <w:qFormat/>
    <w:rsid w:val="00B00B24"/>
    <w:pPr>
      <w:ind w:left="720"/>
      <w:contextualSpacing/>
    </w:pPr>
  </w:style>
  <w:style w:type="table" w:styleId="Mkatabulky">
    <w:name w:val="Table Grid"/>
    <w:basedOn w:val="Normlntabulka"/>
    <w:uiPriority w:val="59"/>
    <w:rsid w:val="00B00B24"/>
    <w:pPr>
      <w:spacing w:before="0" w:after="0" w:line="240" w:lineRule="auto"/>
      <w:ind w:right="0"/>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bottom w:w="57" w:type="dxa"/>
      </w:tcMar>
      <w:vAlign w:val="center"/>
    </w:tcPr>
    <w:tblStylePr w:type="firstRow">
      <w:rPr>
        <w:rFonts w:asciiTheme="minorHAnsi" w:hAnsiTheme="minorHAnsi"/>
        <w:b/>
        <w:color w:val="auto"/>
        <w:sz w:val="18"/>
      </w:rPr>
      <w:tblPr/>
      <w:tcPr>
        <w:shd w:val="clear" w:color="auto" w:fill="E4E6F1"/>
      </w:tcPr>
    </w:tblStylePr>
    <w:tblStylePr w:type="lastRow">
      <w:rPr>
        <w:b/>
      </w:rPr>
      <w:tblPr/>
      <w:tcPr>
        <w:shd w:val="clear" w:color="auto" w:fill="E4E6F1"/>
      </w:tcPr>
    </w:tblStylePr>
    <w:tblStylePr w:type="firstCol">
      <w:rPr>
        <w:b/>
      </w:rPr>
      <w:tblPr/>
      <w:tcPr>
        <w:shd w:val="clear" w:color="auto" w:fill="E4E6F1"/>
      </w:tcPr>
    </w:tblStylePr>
  </w:style>
  <w:style w:type="paragraph" w:styleId="Podnadpis">
    <w:name w:val="Subtitle"/>
    <w:basedOn w:val="Normln"/>
    <w:next w:val="Normln"/>
    <w:link w:val="PodnadpisChar"/>
    <w:uiPriority w:val="11"/>
    <w:rsid w:val="00B00B24"/>
    <w:pPr>
      <w:numPr>
        <w:ilvl w:val="1"/>
      </w:numPr>
      <w:spacing w:after="240" w:line="276" w:lineRule="auto"/>
      <w:jc w:val="left"/>
    </w:pPr>
    <w:rPr>
      <w:rFonts w:ascii="Verdana Pro Light" w:eastAsiaTheme="minorEastAsia" w:hAnsi="Verdana Pro Light" w:cstheme="minorBidi"/>
      <w:color w:val="CD003A" w:themeColor="accent1"/>
      <w:spacing w:val="20"/>
      <w:sz w:val="28"/>
      <w:szCs w:val="28"/>
      <w:lang w:eastAsia="en-US"/>
    </w:rPr>
  </w:style>
  <w:style w:type="character" w:customStyle="1" w:styleId="PodnadpisChar">
    <w:name w:val="Podnadpis Char"/>
    <w:basedOn w:val="Standardnpsmoodstavce"/>
    <w:link w:val="Podnadpis"/>
    <w:uiPriority w:val="11"/>
    <w:rsid w:val="00B00B24"/>
    <w:rPr>
      <w:rFonts w:ascii="Verdana Pro Light" w:eastAsiaTheme="minorEastAsia" w:hAnsi="Verdana Pro Light"/>
      <w:color w:val="CD003A" w:themeColor="accent1"/>
      <w:spacing w:val="20"/>
      <w:sz w:val="28"/>
      <w:szCs w:val="28"/>
    </w:rPr>
  </w:style>
  <w:style w:type="paragraph" w:customStyle="1" w:styleId="Nzevplohy">
    <w:name w:val="Název přílohy"/>
    <w:basedOn w:val="Nadpis1"/>
    <w:link w:val="NzevplohyChar"/>
    <w:uiPriority w:val="10"/>
    <w:rsid w:val="00B00B24"/>
    <w:pPr>
      <w:numPr>
        <w:numId w:val="0"/>
      </w:numPr>
      <w:spacing w:before="240"/>
      <w:ind w:left="431" w:hanging="431"/>
    </w:pPr>
  </w:style>
  <w:style w:type="character" w:styleId="Sledovanodkaz">
    <w:name w:val="FollowedHyperlink"/>
    <w:basedOn w:val="Standardnpsmoodstavce"/>
    <w:semiHidden/>
    <w:unhideWhenUsed/>
    <w:rsid w:val="00B00B24"/>
    <w:rPr>
      <w:color w:val="800080"/>
      <w:u w:val="single"/>
    </w:rPr>
  </w:style>
  <w:style w:type="character" w:customStyle="1" w:styleId="NzevplohyChar">
    <w:name w:val="Název přílohy Char"/>
    <w:basedOn w:val="Nadpis1Char"/>
    <w:link w:val="Nzevplohy"/>
    <w:uiPriority w:val="10"/>
    <w:rsid w:val="00A02A09"/>
    <w:rPr>
      <w:rFonts w:asciiTheme="majorHAnsi" w:eastAsiaTheme="majorEastAsia" w:hAnsiTheme="majorHAnsi" w:cstheme="majorBidi"/>
      <w:bCs/>
      <w:color w:val="CD003A" w:themeColor="accent1"/>
      <w:sz w:val="32"/>
      <w:szCs w:val="28"/>
      <w:lang w:eastAsia="cs-CZ"/>
    </w:rPr>
  </w:style>
  <w:style w:type="paragraph" w:customStyle="1" w:styleId="xl65">
    <w:name w:val="xl65"/>
    <w:basedOn w:val="Normln"/>
    <w:uiPriority w:val="99"/>
    <w:semiHidden/>
    <w:rsid w:val="00B00B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ln"/>
    <w:uiPriority w:val="99"/>
    <w:semiHidden/>
    <w:rsid w:val="00B00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ln"/>
    <w:uiPriority w:val="99"/>
    <w:semiHidden/>
    <w:rsid w:val="00B00B24"/>
    <w:pPr>
      <w:spacing w:before="100" w:beforeAutospacing="1" w:after="100" w:afterAutospacing="1"/>
      <w:jc w:val="center"/>
    </w:pPr>
    <w:rPr>
      <w:b/>
      <w:bCs/>
    </w:rPr>
  </w:style>
  <w:style w:type="paragraph" w:customStyle="1" w:styleId="xl68">
    <w:name w:val="xl68"/>
    <w:basedOn w:val="Normln"/>
    <w:uiPriority w:val="99"/>
    <w:semiHidden/>
    <w:rsid w:val="00B00B2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pPr>
    <w:rPr>
      <w:b/>
      <w:bCs/>
    </w:rPr>
  </w:style>
  <w:style w:type="paragraph" w:customStyle="1" w:styleId="xl70">
    <w:name w:val="xl70"/>
    <w:basedOn w:val="Normln"/>
    <w:uiPriority w:val="99"/>
    <w:semiHidden/>
    <w:rsid w:val="00B00B24"/>
    <w:pPr>
      <w:pBdr>
        <w:top w:val="single" w:sz="4" w:space="0" w:color="auto"/>
        <w:left w:val="single" w:sz="4" w:space="0" w:color="auto"/>
        <w:bottom w:val="single" w:sz="4" w:space="0" w:color="auto"/>
      </w:pBdr>
      <w:shd w:val="clear" w:color="000000" w:fill="4BACC6"/>
      <w:spacing w:before="100" w:beforeAutospacing="1" w:after="100" w:afterAutospacing="1"/>
      <w:jc w:val="center"/>
    </w:pPr>
    <w:rPr>
      <w:b/>
      <w:bCs/>
    </w:rPr>
  </w:style>
  <w:style w:type="paragraph" w:customStyle="1" w:styleId="xl71">
    <w:name w:val="xl71"/>
    <w:basedOn w:val="Normln"/>
    <w:uiPriority w:val="99"/>
    <w:semiHidden/>
    <w:rsid w:val="00B00B24"/>
    <w:pPr>
      <w:pBdr>
        <w:top w:val="single" w:sz="4" w:space="0" w:color="auto"/>
        <w:bottom w:val="single" w:sz="4" w:space="0" w:color="auto"/>
      </w:pBdr>
      <w:shd w:val="clear" w:color="000000" w:fill="4BACC6"/>
      <w:spacing w:before="100" w:beforeAutospacing="1" w:after="100" w:afterAutospacing="1"/>
      <w:jc w:val="center"/>
    </w:pPr>
    <w:rPr>
      <w:b/>
      <w:bCs/>
    </w:rPr>
  </w:style>
  <w:style w:type="paragraph" w:customStyle="1" w:styleId="xl72">
    <w:name w:val="xl72"/>
    <w:basedOn w:val="Normln"/>
    <w:uiPriority w:val="99"/>
    <w:semiHidden/>
    <w:rsid w:val="00B00B24"/>
    <w:pPr>
      <w:pBdr>
        <w:top w:val="single" w:sz="4" w:space="0" w:color="auto"/>
        <w:bottom w:val="single" w:sz="4" w:space="0" w:color="auto"/>
        <w:right w:val="single" w:sz="4" w:space="0" w:color="auto"/>
      </w:pBdr>
      <w:shd w:val="clear" w:color="000000" w:fill="4BACC6"/>
      <w:spacing w:before="100" w:beforeAutospacing="1" w:after="100" w:afterAutospacing="1"/>
      <w:jc w:val="center"/>
    </w:pPr>
    <w:rPr>
      <w:b/>
      <w:bCs/>
    </w:rPr>
  </w:style>
  <w:style w:type="paragraph" w:customStyle="1" w:styleId="xl73">
    <w:name w:val="xl73"/>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rPr>
  </w:style>
  <w:style w:type="paragraph" w:customStyle="1" w:styleId="xl74">
    <w:name w:val="xl74"/>
    <w:basedOn w:val="Normln"/>
    <w:uiPriority w:val="99"/>
    <w:semiHidden/>
    <w:rsid w:val="00B00B24"/>
    <w:pPr>
      <w:pBdr>
        <w:top w:val="single" w:sz="4" w:space="0" w:color="auto"/>
        <w:left w:val="single" w:sz="4" w:space="0" w:color="auto"/>
        <w:right w:val="single" w:sz="4" w:space="0" w:color="auto"/>
      </w:pBdr>
      <w:shd w:val="clear" w:color="000000" w:fill="4BACC6"/>
      <w:spacing w:before="100" w:beforeAutospacing="1" w:after="100" w:afterAutospacing="1"/>
      <w:jc w:val="center"/>
    </w:pPr>
    <w:rPr>
      <w:b/>
      <w:bCs/>
    </w:rPr>
  </w:style>
  <w:style w:type="paragraph" w:customStyle="1" w:styleId="xl75">
    <w:name w:val="xl75"/>
    <w:basedOn w:val="Normln"/>
    <w:uiPriority w:val="99"/>
    <w:semiHidden/>
    <w:rsid w:val="00B00B24"/>
    <w:pPr>
      <w:pBdr>
        <w:left w:val="single" w:sz="4" w:space="0" w:color="auto"/>
        <w:right w:val="single" w:sz="4" w:space="0" w:color="auto"/>
      </w:pBdr>
      <w:shd w:val="clear" w:color="000000" w:fill="4BACC6"/>
      <w:spacing w:before="100" w:beforeAutospacing="1" w:after="100" w:afterAutospacing="1"/>
      <w:jc w:val="center"/>
    </w:pPr>
    <w:rPr>
      <w:b/>
      <w:bCs/>
    </w:rPr>
  </w:style>
  <w:style w:type="paragraph" w:customStyle="1" w:styleId="xl76">
    <w:name w:val="xl76"/>
    <w:basedOn w:val="Normln"/>
    <w:uiPriority w:val="99"/>
    <w:semiHidden/>
    <w:rsid w:val="00B00B24"/>
    <w:pPr>
      <w:pBdr>
        <w:left w:val="single" w:sz="4" w:space="0" w:color="auto"/>
        <w:bottom w:val="single" w:sz="4" w:space="0" w:color="auto"/>
        <w:right w:val="single" w:sz="4" w:space="0" w:color="auto"/>
      </w:pBdr>
      <w:shd w:val="clear" w:color="000000" w:fill="4BACC6"/>
      <w:spacing w:before="100" w:beforeAutospacing="1" w:after="100" w:afterAutospacing="1"/>
      <w:jc w:val="center"/>
    </w:pPr>
    <w:rPr>
      <w:b/>
      <w:bCs/>
    </w:rPr>
  </w:style>
  <w:style w:type="paragraph" w:customStyle="1" w:styleId="xl77">
    <w:name w:val="xl77"/>
    <w:basedOn w:val="Normln"/>
    <w:uiPriority w:val="99"/>
    <w:semiHidden/>
    <w:rsid w:val="00B00B24"/>
    <w:pPr>
      <w:pBdr>
        <w:top w:val="single" w:sz="4" w:space="0" w:color="auto"/>
        <w:left w:val="single" w:sz="4" w:space="0" w:color="auto"/>
        <w:bottom w:val="single" w:sz="4" w:space="0" w:color="auto"/>
      </w:pBdr>
      <w:shd w:val="clear" w:color="000000" w:fill="DBEEF3"/>
      <w:spacing w:before="100" w:beforeAutospacing="1" w:after="100" w:afterAutospacing="1"/>
      <w:jc w:val="center"/>
    </w:pPr>
  </w:style>
  <w:style w:type="paragraph" w:customStyle="1" w:styleId="xl78">
    <w:name w:val="xl78"/>
    <w:basedOn w:val="Normln"/>
    <w:uiPriority w:val="99"/>
    <w:semiHidden/>
    <w:rsid w:val="00B00B24"/>
    <w:pPr>
      <w:pBdr>
        <w:top w:val="single" w:sz="4" w:space="0" w:color="auto"/>
        <w:bottom w:val="single" w:sz="4" w:space="0" w:color="auto"/>
      </w:pBdr>
      <w:shd w:val="clear" w:color="000000" w:fill="DBEEF3"/>
      <w:spacing w:before="100" w:beforeAutospacing="1" w:after="100" w:afterAutospacing="1"/>
      <w:jc w:val="center"/>
    </w:pPr>
  </w:style>
  <w:style w:type="paragraph" w:customStyle="1" w:styleId="xl79">
    <w:name w:val="xl79"/>
    <w:basedOn w:val="Normln"/>
    <w:uiPriority w:val="99"/>
    <w:semiHidden/>
    <w:rsid w:val="00B00B24"/>
    <w:pPr>
      <w:pBdr>
        <w:top w:val="single" w:sz="4" w:space="0" w:color="auto"/>
        <w:bottom w:val="single" w:sz="4" w:space="0" w:color="auto"/>
        <w:right w:val="single" w:sz="4" w:space="0" w:color="auto"/>
      </w:pBdr>
      <w:shd w:val="clear" w:color="000000" w:fill="DBEEF3"/>
      <w:spacing w:before="100" w:beforeAutospacing="1" w:after="100" w:afterAutospacing="1"/>
      <w:jc w:val="center"/>
    </w:pPr>
  </w:style>
  <w:style w:type="paragraph" w:customStyle="1" w:styleId="xl80">
    <w:name w:val="xl80"/>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style>
  <w:style w:type="paragraph" w:customStyle="1" w:styleId="xl81">
    <w:name w:val="xl81"/>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rPr>
  </w:style>
  <w:style w:type="paragraph" w:customStyle="1" w:styleId="xl82">
    <w:name w:val="xl82"/>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b/>
      <w:bCs/>
    </w:rPr>
  </w:style>
  <w:style w:type="paragraph" w:customStyle="1" w:styleId="xl83">
    <w:name w:val="xl83"/>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style>
  <w:style w:type="paragraph" w:customStyle="1" w:styleId="xl84">
    <w:name w:val="xl84"/>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style>
  <w:style w:type="paragraph" w:customStyle="1" w:styleId="xl85">
    <w:name w:val="xl85"/>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style>
  <w:style w:type="paragraph" w:customStyle="1" w:styleId="xl86">
    <w:name w:val="xl86"/>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style>
  <w:style w:type="paragraph" w:customStyle="1" w:styleId="xl87">
    <w:name w:val="xl87"/>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style>
  <w:style w:type="paragraph" w:customStyle="1" w:styleId="xl88">
    <w:name w:val="xl88"/>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89">
    <w:name w:val="xl89"/>
    <w:basedOn w:val="Normln"/>
    <w:uiPriority w:val="99"/>
    <w:semiHidden/>
    <w:rsid w:val="00B00B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style>
  <w:style w:type="paragraph" w:styleId="Revize">
    <w:name w:val="Revision"/>
    <w:hidden/>
    <w:uiPriority w:val="99"/>
    <w:semiHidden/>
    <w:rsid w:val="00B00B24"/>
    <w:pPr>
      <w:spacing w:before="0" w:after="0" w:line="240" w:lineRule="auto"/>
      <w:ind w:right="0"/>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unhideWhenUsed/>
    <w:rsid w:val="00B00B24"/>
    <w:rPr>
      <w:rFonts w:ascii="Tahoma" w:hAnsi="Tahoma" w:cs="Tahoma"/>
      <w:sz w:val="16"/>
      <w:szCs w:val="16"/>
    </w:rPr>
  </w:style>
  <w:style w:type="character" w:customStyle="1" w:styleId="RozloendokumentuChar">
    <w:name w:val="Rozložení dokumentu Char"/>
    <w:basedOn w:val="Standardnpsmoodstavce"/>
    <w:link w:val="Rozloendokumentu"/>
    <w:semiHidden/>
    <w:rsid w:val="00B00B24"/>
    <w:rPr>
      <w:rFonts w:ascii="Tahoma" w:eastAsia="Times New Roman" w:hAnsi="Tahoma" w:cs="Tahoma"/>
      <w:sz w:val="16"/>
      <w:szCs w:val="16"/>
      <w:lang w:eastAsia="cs-CZ"/>
    </w:rPr>
  </w:style>
  <w:style w:type="paragraph" w:styleId="Nzev">
    <w:name w:val="Title"/>
    <w:aliases w:val="SFDI-U1 Část/Hlava/Oddíl"/>
    <w:basedOn w:val="Normln"/>
    <w:link w:val="NzevChar"/>
    <w:qFormat/>
    <w:rsid w:val="00B00B24"/>
    <w:pPr>
      <w:contextualSpacing/>
      <w:jc w:val="center"/>
    </w:pPr>
    <w:rPr>
      <w:rFonts w:cs="Arial"/>
      <w:b/>
      <w:bCs/>
      <w:sz w:val="28"/>
    </w:rPr>
  </w:style>
  <w:style w:type="character" w:customStyle="1" w:styleId="NzevChar">
    <w:name w:val="Název Char"/>
    <w:aliases w:val="SFDI-U1 Část/Hlava/Oddíl Char"/>
    <w:basedOn w:val="Standardnpsmoodstavce"/>
    <w:link w:val="Nzev"/>
    <w:rsid w:val="00B00B24"/>
    <w:rPr>
      <w:rFonts w:ascii="Verdana" w:eastAsia="Times New Roman" w:hAnsi="Verdana" w:cs="Arial"/>
      <w:b/>
      <w:bCs/>
      <w:sz w:val="28"/>
      <w:szCs w:val="24"/>
      <w:lang w:eastAsia="cs-CZ"/>
    </w:rPr>
  </w:style>
  <w:style w:type="character" w:customStyle="1" w:styleId="OdstavecseseznamemChar">
    <w:name w:val="Odstavec se seznamem Char"/>
    <w:aliases w:val="Odstavec_muj Char,Conclusion de partie Char,Fiche List Paragraph Char,Odstavec se seznamem2 Char,List Paragraph Char,Odstavec cíl se seznamem Char"/>
    <w:link w:val="Odstavecseseznamem"/>
    <w:uiPriority w:val="34"/>
    <w:locked/>
    <w:rsid w:val="00B00B24"/>
    <w:rPr>
      <w:rFonts w:ascii="Verdana" w:eastAsia="Times New Roman" w:hAnsi="Verdana" w:cs="Times New Roman"/>
      <w:sz w:val="20"/>
      <w:szCs w:val="24"/>
      <w:lang w:eastAsia="cs-CZ"/>
    </w:rPr>
  </w:style>
  <w:style w:type="table" w:customStyle="1" w:styleId="Prosttabulka41">
    <w:name w:val="Prostá tabulka 41"/>
    <w:basedOn w:val="Normlntabulka"/>
    <w:uiPriority w:val="44"/>
    <w:rsid w:val="00B00B24"/>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unhideWhenUsed/>
    <w:qFormat/>
    <w:rsid w:val="00E34452"/>
    <w:pPr>
      <w:spacing w:before="120" w:after="0"/>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E34452"/>
    <w:rPr>
      <w:rFonts w:ascii="Verdana" w:eastAsia="Times New Roman" w:hAnsi="Verdana"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basedOn w:val="Standardnpsmoodstavce"/>
    <w:uiPriority w:val="99"/>
    <w:unhideWhenUsed/>
    <w:rsid w:val="00B00B24"/>
    <w:rPr>
      <w:vertAlign w:val="superscript"/>
    </w:rPr>
  </w:style>
  <w:style w:type="character" w:styleId="slostrnky">
    <w:name w:val="page number"/>
    <w:basedOn w:val="Standardnpsmoodstavce"/>
    <w:uiPriority w:val="99"/>
    <w:rsid w:val="00B00B24"/>
  </w:style>
  <w:style w:type="paragraph" w:customStyle="1" w:styleId="Bezmezer9b">
    <w:name w:val="Bez mezer 9b"/>
    <w:basedOn w:val="Bezmezer"/>
    <w:uiPriority w:val="9"/>
    <w:qFormat/>
    <w:rsid w:val="00B00B24"/>
    <w:pPr>
      <w:spacing w:line="264" w:lineRule="auto"/>
      <w:jc w:val="left"/>
    </w:pPr>
    <w:rPr>
      <w:rFonts w:asciiTheme="minorHAnsi" w:eastAsiaTheme="minorHAnsi" w:hAnsiTheme="minorHAnsi" w:cstheme="minorBidi"/>
      <w:noProof/>
      <w:sz w:val="18"/>
      <w:szCs w:val="22"/>
    </w:rPr>
  </w:style>
  <w:style w:type="paragraph" w:styleId="Bezmezer">
    <w:name w:val="No Spacing"/>
    <w:link w:val="BezmezerChar"/>
    <w:uiPriority w:val="8"/>
    <w:qFormat/>
    <w:rsid w:val="00F71B40"/>
    <w:pPr>
      <w:tabs>
        <w:tab w:val="left" w:pos="851"/>
      </w:tabs>
      <w:spacing w:before="0" w:after="0" w:line="240" w:lineRule="auto"/>
      <w:ind w:right="0"/>
      <w:jc w:val="both"/>
    </w:pPr>
    <w:rPr>
      <w:rFonts w:ascii="Verdana" w:eastAsia="Times New Roman" w:hAnsi="Verdana" w:cs="Times New Roman"/>
      <w:sz w:val="20"/>
      <w:szCs w:val="24"/>
      <w:lang w:eastAsia="cs-CZ"/>
    </w:rPr>
  </w:style>
  <w:style w:type="paragraph" w:customStyle="1" w:styleId="Nadpistabulky">
    <w:name w:val="Nadpis tabulky"/>
    <w:basedOn w:val="Normln"/>
    <w:link w:val="NadpistabulkyChar"/>
    <w:uiPriority w:val="13"/>
    <w:qFormat/>
    <w:rsid w:val="00B00B24"/>
    <w:pPr>
      <w:spacing w:after="180" w:line="264" w:lineRule="auto"/>
      <w:jc w:val="left"/>
    </w:pPr>
    <w:rPr>
      <w:rFonts w:asciiTheme="minorHAnsi" w:eastAsiaTheme="minorHAnsi" w:hAnsiTheme="minorHAnsi" w:cstheme="minorBidi"/>
      <w:b/>
      <w:bCs/>
      <w:noProof/>
      <w:color w:val="CD003A" w:themeColor="accent1"/>
      <w:szCs w:val="20"/>
    </w:rPr>
  </w:style>
  <w:style w:type="character" w:customStyle="1" w:styleId="NadpistabulkyChar">
    <w:name w:val="Nadpis tabulky Char"/>
    <w:basedOn w:val="Standardnpsmoodstavce"/>
    <w:link w:val="Nadpistabulky"/>
    <w:uiPriority w:val="13"/>
    <w:rsid w:val="00B00B24"/>
    <w:rPr>
      <w:b/>
      <w:bCs/>
      <w:noProof/>
      <w:color w:val="CD003A" w:themeColor="accent1"/>
      <w:sz w:val="20"/>
      <w:szCs w:val="20"/>
      <w:lang w:eastAsia="cs-CZ"/>
    </w:rPr>
  </w:style>
  <w:style w:type="paragraph" w:customStyle="1" w:styleId="Odrky">
    <w:name w:val="Odrážky"/>
    <w:uiPriority w:val="9"/>
    <w:qFormat/>
    <w:rsid w:val="00F10C6D"/>
    <w:pPr>
      <w:numPr>
        <w:numId w:val="10"/>
      </w:numPr>
      <w:tabs>
        <w:tab w:val="left" w:pos="1021"/>
        <w:tab w:val="left" w:pos="1361"/>
      </w:tabs>
      <w:spacing w:before="120" w:after="120" w:line="240" w:lineRule="auto"/>
      <w:ind w:left="1020" w:right="0" w:hanging="340"/>
      <w:jc w:val="both"/>
    </w:pPr>
    <w:rPr>
      <w:noProof/>
      <w:sz w:val="20"/>
      <w:lang w:eastAsia="cs-CZ"/>
    </w:rPr>
  </w:style>
  <w:style w:type="paragraph" w:customStyle="1" w:styleId="slovn">
    <w:name w:val="Číslování"/>
    <w:basedOn w:val="Normln"/>
    <w:link w:val="slovnChar"/>
    <w:uiPriority w:val="9"/>
    <w:qFormat/>
    <w:rsid w:val="00B00B24"/>
    <w:pPr>
      <w:numPr>
        <w:numId w:val="2"/>
      </w:numPr>
      <w:ind w:left="680" w:hanging="680"/>
    </w:pPr>
    <w:rPr>
      <w:rFonts w:asciiTheme="minorHAnsi" w:eastAsiaTheme="minorHAnsi" w:hAnsiTheme="minorHAnsi" w:cstheme="minorBidi"/>
      <w:noProof/>
      <w:szCs w:val="22"/>
    </w:rPr>
  </w:style>
  <w:style w:type="paragraph" w:customStyle="1" w:styleId="Nadpis">
    <w:name w:val="Nadpis"/>
    <w:basedOn w:val="Normln"/>
    <w:link w:val="NadpisChar"/>
    <w:uiPriority w:val="6"/>
    <w:rsid w:val="00B00B24"/>
    <w:pPr>
      <w:pBdr>
        <w:left w:val="single" w:sz="24" w:space="14" w:color="CD003A" w:themeColor="accent1"/>
      </w:pBdr>
      <w:spacing w:after="160" w:line="276" w:lineRule="auto"/>
      <w:ind w:left="284"/>
      <w:jc w:val="left"/>
    </w:pPr>
    <w:rPr>
      <w:rFonts w:ascii="Verdana Pro Light" w:eastAsiaTheme="minorEastAsia" w:hAnsi="Verdana Pro Light" w:cstheme="minorBidi"/>
      <w:color w:val="00447A" w:themeColor="text1"/>
      <w:sz w:val="60"/>
      <w:szCs w:val="60"/>
      <w:lang w:eastAsia="en-US"/>
    </w:rPr>
  </w:style>
  <w:style w:type="paragraph" w:customStyle="1" w:styleId="daje">
    <w:name w:val="Údaje"/>
    <w:basedOn w:val="Normln"/>
    <w:link w:val="dajeChar"/>
    <w:uiPriority w:val="9"/>
    <w:rsid w:val="00B00B24"/>
    <w:pPr>
      <w:spacing w:after="0"/>
      <w:ind w:left="851"/>
      <w:jc w:val="left"/>
    </w:pPr>
    <w:rPr>
      <w:rFonts w:ascii="Verdana Pro Light" w:eastAsiaTheme="minorEastAsia" w:hAnsi="Verdana Pro Light" w:cstheme="minorBidi"/>
      <w:color w:val="FFFFFF" w:themeColor="background1"/>
      <w:szCs w:val="20"/>
      <w:lang w:eastAsia="en-US"/>
    </w:rPr>
  </w:style>
  <w:style w:type="character" w:customStyle="1" w:styleId="NadpisChar">
    <w:name w:val="Nadpis Char"/>
    <w:basedOn w:val="Standardnpsmoodstavce"/>
    <w:link w:val="Nadpis"/>
    <w:uiPriority w:val="6"/>
    <w:rsid w:val="00A02A09"/>
    <w:rPr>
      <w:rFonts w:ascii="Verdana Pro Light" w:eastAsiaTheme="minorEastAsia" w:hAnsi="Verdana Pro Light"/>
      <w:color w:val="00447A" w:themeColor="text1"/>
      <w:sz w:val="60"/>
      <w:szCs w:val="60"/>
    </w:rPr>
  </w:style>
  <w:style w:type="character" w:customStyle="1" w:styleId="dajeChar">
    <w:name w:val="Údaje Char"/>
    <w:basedOn w:val="Standardnpsmoodstavce"/>
    <w:link w:val="daje"/>
    <w:uiPriority w:val="9"/>
    <w:rsid w:val="00A02A09"/>
    <w:rPr>
      <w:rFonts w:ascii="Verdana Pro Light" w:eastAsiaTheme="minorEastAsia" w:hAnsi="Verdana Pro Light"/>
      <w:color w:val="FFFFFF" w:themeColor="background1"/>
      <w:sz w:val="20"/>
      <w:szCs w:val="20"/>
    </w:rPr>
  </w:style>
  <w:style w:type="paragraph" w:styleId="Titulek">
    <w:name w:val="caption"/>
    <w:basedOn w:val="Normln"/>
    <w:next w:val="Normln"/>
    <w:uiPriority w:val="9"/>
    <w:rsid w:val="00B00B24"/>
    <w:pPr>
      <w:spacing w:after="0"/>
      <w:jc w:val="center"/>
    </w:pPr>
    <w:rPr>
      <w:rFonts w:ascii="Arial Narrow" w:hAnsi="Arial Narrow"/>
      <w:b/>
      <w:bCs/>
    </w:rPr>
  </w:style>
  <w:style w:type="paragraph" w:styleId="Zkladntextodsazen">
    <w:name w:val="Body Text Indent"/>
    <w:basedOn w:val="Normln"/>
    <w:link w:val="ZkladntextodsazenChar"/>
    <w:semiHidden/>
    <w:rsid w:val="00B00B24"/>
    <w:pPr>
      <w:spacing w:after="0"/>
      <w:ind w:left="1416"/>
    </w:pPr>
    <w:rPr>
      <w:rFonts w:ascii="Times New Roman" w:hAnsi="Times New Roman"/>
      <w:sz w:val="24"/>
    </w:rPr>
  </w:style>
  <w:style w:type="character" w:customStyle="1" w:styleId="ZkladntextodsazenChar">
    <w:name w:val="Základní text odsazený Char"/>
    <w:basedOn w:val="Standardnpsmoodstavce"/>
    <w:link w:val="Zkladntextodsazen"/>
    <w:semiHidden/>
    <w:rsid w:val="00B00B2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00B24"/>
    <w:pPr>
      <w:spacing w:after="0"/>
      <w:ind w:left="360" w:hanging="360"/>
    </w:pPr>
    <w:rPr>
      <w:rFonts w:ascii="Times New Roman" w:hAnsi="Times New Roman"/>
      <w:sz w:val="24"/>
    </w:rPr>
  </w:style>
  <w:style w:type="character" w:customStyle="1" w:styleId="Zkladntextodsazen2Char">
    <w:name w:val="Základní text odsazený 2 Char"/>
    <w:basedOn w:val="Standardnpsmoodstavce"/>
    <w:link w:val="Zkladntextodsazen2"/>
    <w:semiHidden/>
    <w:rsid w:val="00B00B24"/>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00B24"/>
    <w:pPr>
      <w:spacing w:after="0"/>
      <w:jc w:val="center"/>
    </w:pPr>
    <w:rPr>
      <w:rFonts w:ascii="Arial" w:hAnsi="Arial" w:cs="Arial"/>
      <w:b/>
      <w:bCs/>
      <w:sz w:val="28"/>
    </w:rPr>
  </w:style>
  <w:style w:type="character" w:customStyle="1" w:styleId="Zkladntext2Char">
    <w:name w:val="Základní text 2 Char"/>
    <w:basedOn w:val="Standardnpsmoodstavce"/>
    <w:link w:val="Zkladntext2"/>
    <w:semiHidden/>
    <w:rsid w:val="00B00B24"/>
    <w:rPr>
      <w:rFonts w:ascii="Arial" w:eastAsia="Times New Roman" w:hAnsi="Arial" w:cs="Arial"/>
      <w:b/>
      <w:bCs/>
      <w:sz w:val="28"/>
      <w:szCs w:val="24"/>
      <w:lang w:eastAsia="cs-CZ"/>
    </w:rPr>
  </w:style>
  <w:style w:type="paragraph" w:styleId="Zkladntext">
    <w:name w:val="Body Text"/>
    <w:basedOn w:val="Normln"/>
    <w:link w:val="ZkladntextChar"/>
    <w:uiPriority w:val="99"/>
    <w:rsid w:val="00B00B24"/>
    <w:pPr>
      <w:spacing w:after="0"/>
    </w:pPr>
    <w:rPr>
      <w:rFonts w:ascii="Arial" w:hAnsi="Arial"/>
      <w:sz w:val="24"/>
    </w:rPr>
  </w:style>
  <w:style w:type="character" w:customStyle="1" w:styleId="ZkladntextChar">
    <w:name w:val="Základní text Char"/>
    <w:basedOn w:val="Standardnpsmoodstavce"/>
    <w:link w:val="Zkladntext"/>
    <w:uiPriority w:val="99"/>
    <w:rsid w:val="00257988"/>
    <w:rPr>
      <w:rFonts w:ascii="Arial" w:eastAsia="Times New Roman" w:hAnsi="Arial" w:cs="Times New Roman"/>
      <w:sz w:val="24"/>
      <w:szCs w:val="24"/>
      <w:lang w:eastAsia="cs-CZ"/>
    </w:rPr>
  </w:style>
  <w:style w:type="paragraph" w:styleId="Zkladntext3">
    <w:name w:val="Body Text 3"/>
    <w:basedOn w:val="Normln"/>
    <w:link w:val="Zkladntext3Char"/>
    <w:uiPriority w:val="99"/>
    <w:rsid w:val="00B00B24"/>
    <w:pPr>
      <w:spacing w:after="0"/>
    </w:pPr>
    <w:rPr>
      <w:rFonts w:ascii="Arial" w:hAnsi="Arial"/>
      <w:b/>
      <w:bCs/>
      <w:sz w:val="24"/>
    </w:rPr>
  </w:style>
  <w:style w:type="character" w:customStyle="1" w:styleId="Zkladntext3Char">
    <w:name w:val="Základní text 3 Char"/>
    <w:basedOn w:val="Standardnpsmoodstavce"/>
    <w:link w:val="Zkladntext3"/>
    <w:uiPriority w:val="99"/>
    <w:rsid w:val="00257988"/>
    <w:rPr>
      <w:rFonts w:ascii="Arial" w:eastAsia="Times New Roman" w:hAnsi="Arial" w:cs="Times New Roman"/>
      <w:b/>
      <w:bCs/>
      <w:sz w:val="24"/>
      <w:szCs w:val="24"/>
      <w:lang w:eastAsia="cs-CZ"/>
    </w:rPr>
  </w:style>
  <w:style w:type="paragraph" w:styleId="Zkladntextodsazen3">
    <w:name w:val="Body Text Indent 3"/>
    <w:basedOn w:val="Normln"/>
    <w:link w:val="Zkladntextodsazen3Char"/>
    <w:semiHidden/>
    <w:rsid w:val="00B00B24"/>
    <w:pPr>
      <w:tabs>
        <w:tab w:val="left" w:pos="360"/>
      </w:tabs>
      <w:spacing w:after="0"/>
      <w:ind w:left="360"/>
    </w:pPr>
    <w:rPr>
      <w:rFonts w:ascii="Arial" w:hAnsi="Arial"/>
      <w:sz w:val="24"/>
    </w:rPr>
  </w:style>
  <w:style w:type="character" w:customStyle="1" w:styleId="Zkladntextodsazen3Char">
    <w:name w:val="Základní text odsazený 3 Char"/>
    <w:basedOn w:val="Standardnpsmoodstavce"/>
    <w:link w:val="Zkladntextodsazen3"/>
    <w:semiHidden/>
    <w:rsid w:val="00B00B24"/>
    <w:rPr>
      <w:rFonts w:ascii="Arial" w:eastAsia="Times New Roman" w:hAnsi="Arial" w:cs="Times New Roman"/>
      <w:sz w:val="24"/>
      <w:szCs w:val="24"/>
      <w:lang w:eastAsia="cs-CZ"/>
    </w:rPr>
  </w:style>
  <w:style w:type="paragraph" w:customStyle="1" w:styleId="Styl1">
    <w:name w:val="Styl1"/>
    <w:basedOn w:val="Normln"/>
    <w:uiPriority w:val="9"/>
    <w:rsid w:val="00B00B24"/>
    <w:pPr>
      <w:tabs>
        <w:tab w:val="left" w:pos="1134"/>
        <w:tab w:val="left" w:pos="2268"/>
        <w:tab w:val="left" w:pos="3402"/>
        <w:tab w:val="decimal" w:pos="4536"/>
      </w:tabs>
      <w:overflowPunct w:val="0"/>
      <w:autoSpaceDE w:val="0"/>
      <w:autoSpaceDN w:val="0"/>
      <w:adjustRightInd w:val="0"/>
      <w:spacing w:after="0"/>
      <w:ind w:firstLine="680"/>
      <w:textAlignment w:val="baseline"/>
    </w:pPr>
    <w:rPr>
      <w:rFonts w:ascii="Times New Roman" w:hAnsi="Times New Roman"/>
      <w:sz w:val="24"/>
      <w:szCs w:val="20"/>
    </w:rPr>
  </w:style>
  <w:style w:type="character" w:styleId="Odkaznakoment">
    <w:name w:val="annotation reference"/>
    <w:uiPriority w:val="99"/>
    <w:rsid w:val="00B00B24"/>
    <w:rPr>
      <w:sz w:val="16"/>
      <w:szCs w:val="16"/>
    </w:rPr>
  </w:style>
  <w:style w:type="paragraph" w:styleId="Textkomente">
    <w:name w:val="annotation text"/>
    <w:basedOn w:val="Normln"/>
    <w:link w:val="TextkomenteChar"/>
    <w:uiPriority w:val="99"/>
    <w:rsid w:val="00B00B24"/>
    <w:pPr>
      <w:spacing w:after="0"/>
      <w:jc w:val="left"/>
    </w:pPr>
    <w:rPr>
      <w:rFonts w:ascii="Times New Roman" w:hAnsi="Times New Roman"/>
      <w:szCs w:val="20"/>
    </w:rPr>
  </w:style>
  <w:style w:type="character" w:customStyle="1" w:styleId="TextkomenteChar">
    <w:name w:val="Text komentáře Char"/>
    <w:basedOn w:val="Standardnpsmoodstavce"/>
    <w:link w:val="Textkomente"/>
    <w:uiPriority w:val="99"/>
    <w:rsid w:val="00B00B2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B00B24"/>
    <w:rPr>
      <w:b/>
      <w:bCs/>
    </w:rPr>
  </w:style>
  <w:style w:type="character" w:customStyle="1" w:styleId="PedmtkomenteChar">
    <w:name w:val="Předmět komentáře Char"/>
    <w:basedOn w:val="TextkomenteChar"/>
    <w:link w:val="Pedmtkomente"/>
    <w:semiHidden/>
    <w:rsid w:val="00B00B24"/>
    <w:rPr>
      <w:rFonts w:ascii="Times New Roman" w:eastAsia="Times New Roman" w:hAnsi="Times New Roman" w:cs="Times New Roman"/>
      <w:b/>
      <w:bCs/>
      <w:sz w:val="20"/>
      <w:szCs w:val="20"/>
      <w:lang w:eastAsia="cs-CZ"/>
    </w:rPr>
  </w:style>
  <w:style w:type="paragraph" w:customStyle="1" w:styleId="odrkya">
    <w:name w:val="odrážky a)"/>
    <w:basedOn w:val="Zkladntext"/>
    <w:uiPriority w:val="9"/>
    <w:rsid w:val="00B00B24"/>
    <w:pPr>
      <w:numPr>
        <w:numId w:val="3"/>
      </w:numPr>
      <w:suppressAutoHyphens/>
      <w:spacing w:before="120"/>
    </w:pPr>
    <w:rPr>
      <w:rFonts w:ascii="Times New Roman" w:hAnsi="Times New Roman"/>
      <w:lang w:eastAsia="ar-SA"/>
    </w:rPr>
  </w:style>
  <w:style w:type="numbering" w:customStyle="1" w:styleId="Styl2">
    <w:name w:val="Styl2"/>
    <w:uiPriority w:val="99"/>
    <w:rsid w:val="00B00B24"/>
    <w:pPr>
      <w:numPr>
        <w:numId w:val="4"/>
      </w:numPr>
    </w:pPr>
  </w:style>
  <w:style w:type="paragraph" w:customStyle="1" w:styleId="normln-psmenka">
    <w:name w:val="normální - písmenka"/>
    <w:basedOn w:val="Normln"/>
    <w:link w:val="normln-psmenkaChar"/>
    <w:uiPriority w:val="99"/>
    <w:rsid w:val="00B00B24"/>
    <w:pPr>
      <w:numPr>
        <w:numId w:val="5"/>
      </w:numPr>
      <w:spacing w:before="120" w:after="0"/>
    </w:pPr>
    <w:rPr>
      <w:rFonts w:ascii="Times New Roman" w:hAnsi="Times New Roman"/>
      <w:color w:val="000000"/>
      <w:sz w:val="24"/>
    </w:rPr>
  </w:style>
  <w:style w:type="character" w:customStyle="1" w:styleId="normln-psmenkaChar">
    <w:name w:val="normální - písmenka Char"/>
    <w:basedOn w:val="Standardnpsmoodstavce"/>
    <w:link w:val="normln-psmenka"/>
    <w:uiPriority w:val="99"/>
    <w:rsid w:val="00A02A09"/>
    <w:rPr>
      <w:rFonts w:ascii="Times New Roman" w:eastAsia="Times New Roman" w:hAnsi="Times New Roman" w:cs="Times New Roman"/>
      <w:color w:val="000000"/>
      <w:sz w:val="24"/>
      <w:szCs w:val="24"/>
      <w:lang w:eastAsia="cs-CZ"/>
    </w:rPr>
  </w:style>
  <w:style w:type="paragraph" w:customStyle="1" w:styleId="Default">
    <w:name w:val="Default"/>
    <w:uiPriority w:val="99"/>
    <w:semiHidden/>
    <w:rsid w:val="00B00B24"/>
    <w:pPr>
      <w:autoSpaceDE w:val="0"/>
      <w:autoSpaceDN w:val="0"/>
      <w:adjustRightInd w:val="0"/>
      <w:spacing w:before="0" w:after="0" w:line="240" w:lineRule="auto"/>
      <w:ind w:right="0"/>
    </w:pPr>
    <w:rPr>
      <w:rFonts w:ascii="Times New Roman" w:eastAsia="Times New Roman" w:hAnsi="Times New Roman" w:cs="Times New Roman"/>
      <w:color w:val="000000"/>
      <w:sz w:val="24"/>
      <w:szCs w:val="24"/>
      <w:lang w:eastAsia="cs-CZ"/>
    </w:rPr>
  </w:style>
  <w:style w:type="character" w:styleId="Nevyeenzmnka">
    <w:name w:val="Unresolved Mention"/>
    <w:basedOn w:val="Standardnpsmoodstavce"/>
    <w:uiPriority w:val="99"/>
    <w:semiHidden/>
    <w:unhideWhenUsed/>
    <w:rsid w:val="00B00B24"/>
    <w:rPr>
      <w:color w:val="605E5C"/>
      <w:shd w:val="clear" w:color="auto" w:fill="E1DFDD"/>
    </w:rPr>
  </w:style>
  <w:style w:type="paragraph" w:customStyle="1" w:styleId="abecednseznam">
    <w:name w:val="abecední seznam"/>
    <w:link w:val="abecednseznamChar"/>
    <w:uiPriority w:val="8"/>
    <w:qFormat/>
    <w:rsid w:val="00F71B40"/>
    <w:pPr>
      <w:numPr>
        <w:ilvl w:val="3"/>
        <w:numId w:val="9"/>
      </w:numPr>
      <w:tabs>
        <w:tab w:val="left" w:pos="851"/>
        <w:tab w:val="left" w:pos="1134"/>
      </w:tabs>
      <w:spacing w:line="240" w:lineRule="auto"/>
      <w:ind w:left="1135" w:right="0" w:hanging="284"/>
      <w:jc w:val="both"/>
    </w:pPr>
    <w:rPr>
      <w:noProof/>
      <w:sz w:val="20"/>
      <w:lang w:eastAsia="cs-CZ"/>
    </w:rPr>
  </w:style>
  <w:style w:type="character" w:customStyle="1" w:styleId="slovnChar">
    <w:name w:val="Číslování Char"/>
    <w:basedOn w:val="Standardnpsmoodstavce"/>
    <w:link w:val="slovn"/>
    <w:uiPriority w:val="9"/>
    <w:rsid w:val="00A02A09"/>
    <w:rPr>
      <w:noProof/>
      <w:sz w:val="20"/>
      <w:lang w:eastAsia="cs-CZ"/>
    </w:rPr>
  </w:style>
  <w:style w:type="character" w:customStyle="1" w:styleId="abecednseznamChar">
    <w:name w:val="abecední seznam Char"/>
    <w:basedOn w:val="slovnChar"/>
    <w:link w:val="abecednseznam"/>
    <w:uiPriority w:val="8"/>
    <w:rsid w:val="00F71B40"/>
    <w:rPr>
      <w:noProof/>
      <w:sz w:val="20"/>
      <w:lang w:eastAsia="cs-CZ"/>
    </w:rPr>
  </w:style>
  <w:style w:type="paragraph" w:customStyle="1" w:styleId="lnku">
    <w:name w:val="Č. článku"/>
    <w:basedOn w:val="Normln"/>
    <w:link w:val="lnkuChar"/>
    <w:uiPriority w:val="1"/>
    <w:qFormat/>
    <w:rsid w:val="00B00B24"/>
    <w:pPr>
      <w:numPr>
        <w:numId w:val="9"/>
      </w:numPr>
      <w:spacing w:before="480" w:after="0"/>
      <w:jc w:val="center"/>
    </w:pPr>
    <w:rPr>
      <w:sz w:val="22"/>
    </w:rPr>
  </w:style>
  <w:style w:type="paragraph" w:customStyle="1" w:styleId="Nzevlnku">
    <w:name w:val="Název článku"/>
    <w:basedOn w:val="lnku"/>
    <w:link w:val="NzevlnkuChar"/>
    <w:uiPriority w:val="2"/>
    <w:qFormat/>
    <w:rsid w:val="00B00B24"/>
    <w:pPr>
      <w:numPr>
        <w:numId w:val="0"/>
      </w:numPr>
      <w:spacing w:before="0" w:after="480"/>
    </w:pPr>
    <w:rPr>
      <w:b/>
      <w:bCs/>
    </w:rPr>
  </w:style>
  <w:style w:type="character" w:customStyle="1" w:styleId="lnkuChar">
    <w:name w:val="Č. článku Char"/>
    <w:basedOn w:val="Standardnpsmoodstavce"/>
    <w:link w:val="lnku"/>
    <w:uiPriority w:val="1"/>
    <w:rsid w:val="00257988"/>
    <w:rPr>
      <w:rFonts w:ascii="Verdana" w:eastAsia="Times New Roman" w:hAnsi="Verdana" w:cs="Times New Roman"/>
      <w:szCs w:val="24"/>
      <w:lang w:eastAsia="cs-CZ"/>
    </w:rPr>
  </w:style>
  <w:style w:type="paragraph" w:customStyle="1" w:styleId="Zvraznn">
    <w:name w:val="Zvýraznění"/>
    <w:basedOn w:val="Normln"/>
    <w:link w:val="ZvraznnChar"/>
    <w:uiPriority w:val="99"/>
    <w:qFormat/>
    <w:rsid w:val="00B00B24"/>
    <w:rPr>
      <w:b/>
      <w:bCs/>
      <w:spacing w:val="20"/>
    </w:rPr>
  </w:style>
  <w:style w:type="character" w:customStyle="1" w:styleId="NzevlnkuChar">
    <w:name w:val="Název článku Char"/>
    <w:basedOn w:val="lnkuChar"/>
    <w:link w:val="Nzevlnku"/>
    <w:uiPriority w:val="2"/>
    <w:rsid w:val="00A02A09"/>
    <w:rPr>
      <w:rFonts w:ascii="Verdana" w:eastAsia="Times New Roman" w:hAnsi="Verdana" w:cs="Times New Roman"/>
      <w:b/>
      <w:bCs/>
      <w:szCs w:val="24"/>
      <w:lang w:eastAsia="cs-CZ"/>
    </w:rPr>
  </w:style>
  <w:style w:type="paragraph" w:customStyle="1" w:styleId="st">
    <w:name w:val="Část"/>
    <w:link w:val="stChar"/>
    <w:uiPriority w:val="3"/>
    <w:qFormat/>
    <w:rsid w:val="00211DD7"/>
    <w:pPr>
      <w:numPr>
        <w:ilvl w:val="1"/>
        <w:numId w:val="9"/>
      </w:numPr>
      <w:spacing w:before="360"/>
      <w:ind w:right="0"/>
      <w:jc w:val="center"/>
    </w:pPr>
    <w:rPr>
      <w:rFonts w:ascii="Verdana" w:eastAsia="Times New Roman" w:hAnsi="Verdana" w:cs="Times New Roman"/>
      <w:b/>
      <w:bCs/>
      <w:sz w:val="20"/>
      <w:szCs w:val="24"/>
      <w:u w:val="single"/>
      <w:lang w:eastAsia="cs-CZ"/>
    </w:rPr>
  </w:style>
  <w:style w:type="character" w:customStyle="1" w:styleId="ZvraznnChar">
    <w:name w:val="Zvýraznění Char"/>
    <w:basedOn w:val="Standardnpsmoodstavce"/>
    <w:link w:val="Zvraznn"/>
    <w:uiPriority w:val="99"/>
    <w:rsid w:val="00257988"/>
    <w:rPr>
      <w:rFonts w:ascii="Verdana" w:eastAsia="Times New Roman" w:hAnsi="Verdana" w:cs="Times New Roman"/>
      <w:b/>
      <w:bCs/>
      <w:spacing w:val="20"/>
      <w:sz w:val="20"/>
      <w:szCs w:val="24"/>
      <w:lang w:eastAsia="cs-CZ"/>
    </w:rPr>
  </w:style>
  <w:style w:type="numbering" w:customStyle="1" w:styleId="Styl3">
    <w:name w:val="Styl3"/>
    <w:uiPriority w:val="99"/>
    <w:rsid w:val="00B00B24"/>
    <w:pPr>
      <w:numPr>
        <w:numId w:val="7"/>
      </w:numPr>
    </w:pPr>
  </w:style>
  <w:style w:type="character" w:customStyle="1" w:styleId="stChar">
    <w:name w:val="Část Char"/>
    <w:basedOn w:val="OdstavecseseznamemChar"/>
    <w:link w:val="st"/>
    <w:uiPriority w:val="3"/>
    <w:rsid w:val="00211DD7"/>
    <w:rPr>
      <w:rFonts w:ascii="Verdana" w:eastAsia="Times New Roman" w:hAnsi="Verdana" w:cs="Times New Roman"/>
      <w:b/>
      <w:bCs/>
      <w:sz w:val="20"/>
      <w:szCs w:val="24"/>
      <w:u w:val="single"/>
      <w:lang w:eastAsia="cs-CZ"/>
    </w:rPr>
  </w:style>
  <w:style w:type="numbering" w:customStyle="1" w:styleId="A1">
    <w:name w:val="A.1"/>
    <w:uiPriority w:val="99"/>
    <w:rsid w:val="00B00B24"/>
    <w:pPr>
      <w:numPr>
        <w:numId w:val="8"/>
      </w:numPr>
    </w:pPr>
  </w:style>
  <w:style w:type="paragraph" w:customStyle="1" w:styleId="ABCodstavec">
    <w:name w:val="ABC odstavec"/>
    <w:basedOn w:val="Odstavecseseznamem"/>
    <w:link w:val="ABCodstavecChar"/>
    <w:uiPriority w:val="4"/>
    <w:qFormat/>
    <w:rsid w:val="00C0400C"/>
    <w:pPr>
      <w:numPr>
        <w:ilvl w:val="2"/>
        <w:numId w:val="9"/>
      </w:numPr>
      <w:ind w:left="851" w:hanging="851"/>
      <w:contextualSpacing w:val="0"/>
    </w:pPr>
  </w:style>
  <w:style w:type="paragraph" w:customStyle="1" w:styleId="Odsazen">
    <w:name w:val="Odsazení"/>
    <w:basedOn w:val="Normln"/>
    <w:link w:val="OdsazenChar"/>
    <w:uiPriority w:val="9"/>
    <w:qFormat/>
    <w:rsid w:val="00C0400C"/>
    <w:pPr>
      <w:ind w:left="851"/>
    </w:pPr>
  </w:style>
  <w:style w:type="character" w:customStyle="1" w:styleId="ABCodstavecChar">
    <w:name w:val="ABC odstavec Char"/>
    <w:basedOn w:val="OdstavecseseznamemChar"/>
    <w:link w:val="ABCodstavec"/>
    <w:uiPriority w:val="4"/>
    <w:rsid w:val="00C0400C"/>
    <w:rPr>
      <w:rFonts w:ascii="Verdana" w:eastAsia="Times New Roman" w:hAnsi="Verdana" w:cs="Times New Roman"/>
      <w:sz w:val="20"/>
      <w:szCs w:val="24"/>
      <w:lang w:eastAsia="cs-CZ"/>
    </w:rPr>
  </w:style>
  <w:style w:type="character" w:customStyle="1" w:styleId="OdsazenChar">
    <w:name w:val="Odsazení Char"/>
    <w:basedOn w:val="Standardnpsmoodstavce"/>
    <w:link w:val="Odsazen"/>
    <w:uiPriority w:val="9"/>
    <w:rsid w:val="00C0400C"/>
    <w:rPr>
      <w:rFonts w:ascii="Verdana" w:eastAsia="Times New Roman" w:hAnsi="Verdana" w:cs="Times New Roman"/>
      <w:sz w:val="20"/>
      <w:szCs w:val="24"/>
      <w:lang w:eastAsia="cs-CZ"/>
    </w:rPr>
  </w:style>
  <w:style w:type="paragraph" w:customStyle="1" w:styleId="123odstavec">
    <w:name w:val="123 odstavec"/>
    <w:basedOn w:val="ABCodstavec"/>
    <w:link w:val="123odstavecChar"/>
    <w:uiPriority w:val="5"/>
    <w:qFormat/>
    <w:rsid w:val="00C0400C"/>
    <w:pPr>
      <w:numPr>
        <w:ilvl w:val="4"/>
      </w:numPr>
      <w:ind w:left="851" w:hanging="851"/>
    </w:pPr>
  </w:style>
  <w:style w:type="character" w:customStyle="1" w:styleId="123odstavecChar">
    <w:name w:val="123 odstavec Char"/>
    <w:basedOn w:val="ABCodstavecChar"/>
    <w:link w:val="123odstavec"/>
    <w:uiPriority w:val="5"/>
    <w:rsid w:val="00C0400C"/>
    <w:rPr>
      <w:rFonts w:ascii="Verdana" w:eastAsia="Times New Roman" w:hAnsi="Verdana" w:cs="Times New Roman"/>
      <w:sz w:val="20"/>
      <w:szCs w:val="24"/>
      <w:lang w:eastAsia="cs-CZ"/>
    </w:rPr>
  </w:style>
  <w:style w:type="table" w:styleId="Prosttabulka4">
    <w:name w:val="Plain Table 4"/>
    <w:basedOn w:val="Normlntabulka"/>
    <w:uiPriority w:val="44"/>
    <w:rsid w:val="00100E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bovodkaz">
    <w:name w:val="webový odkaz"/>
    <w:basedOn w:val="Normln"/>
    <w:next w:val="Normln"/>
    <w:link w:val="webovodkazChar"/>
    <w:uiPriority w:val="7"/>
    <w:qFormat/>
    <w:rsid w:val="00EA27B3"/>
    <w:rPr>
      <w:color w:val="910028" w:themeColor="accent6" w:themeShade="80"/>
      <w:u w:val="single"/>
    </w:rPr>
  </w:style>
  <w:style w:type="table" w:customStyle="1" w:styleId="Mkatabulky1">
    <w:name w:val="Mřížka tabulky1"/>
    <w:basedOn w:val="Normlntabulka"/>
    <w:uiPriority w:val="39"/>
    <w:rsid w:val="004243CB"/>
    <w:pPr>
      <w:spacing w:before="0" w:after="0" w:line="240" w:lineRule="auto"/>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ovodkazChar">
    <w:name w:val="webový odkaz Char"/>
    <w:basedOn w:val="123odstavecChar"/>
    <w:link w:val="webovodkaz"/>
    <w:uiPriority w:val="7"/>
    <w:rsid w:val="00EA27B3"/>
    <w:rPr>
      <w:rFonts w:ascii="Verdana" w:eastAsia="Times New Roman" w:hAnsi="Verdana" w:cs="Times New Roman"/>
      <w:color w:val="910028" w:themeColor="accent6" w:themeShade="80"/>
      <w:sz w:val="20"/>
      <w:szCs w:val="24"/>
      <w:u w:val="single"/>
      <w:lang w:eastAsia="cs-CZ"/>
    </w:rPr>
  </w:style>
  <w:style w:type="paragraph" w:customStyle="1" w:styleId="SFDI-U3odrky">
    <w:name w:val="SFDI-U3 odrážky"/>
    <w:rsid w:val="00B231BC"/>
    <w:pPr>
      <w:spacing w:before="120" w:after="120" w:line="240" w:lineRule="auto"/>
      <w:ind w:left="1021" w:right="0" w:hanging="341"/>
      <w:jc w:val="both"/>
    </w:pPr>
    <w:rPr>
      <w:noProof/>
      <w:sz w:val="20"/>
      <w:lang w:eastAsia="cs-CZ"/>
    </w:rPr>
  </w:style>
  <w:style w:type="character" w:customStyle="1" w:styleId="BezmezerChar">
    <w:name w:val="Bez mezer Char"/>
    <w:basedOn w:val="Standardnpsmoodstavce"/>
    <w:link w:val="Bezmezer"/>
    <w:uiPriority w:val="8"/>
    <w:rsid w:val="00F00A6F"/>
    <w:rPr>
      <w:rFonts w:ascii="Verdana" w:eastAsia="Times New Roman" w:hAnsi="Verdan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03805">
      <w:bodyDiv w:val="1"/>
      <w:marLeft w:val="0"/>
      <w:marRight w:val="0"/>
      <w:marTop w:val="0"/>
      <w:marBottom w:val="0"/>
      <w:divBdr>
        <w:top w:val="none" w:sz="0" w:space="0" w:color="auto"/>
        <w:left w:val="none" w:sz="0" w:space="0" w:color="auto"/>
        <w:bottom w:val="none" w:sz="0" w:space="0" w:color="auto"/>
        <w:right w:val="none" w:sz="0" w:space="0" w:color="auto"/>
      </w:divBdr>
    </w:div>
    <w:div w:id="503521681">
      <w:bodyDiv w:val="1"/>
      <w:marLeft w:val="0"/>
      <w:marRight w:val="0"/>
      <w:marTop w:val="0"/>
      <w:marBottom w:val="0"/>
      <w:divBdr>
        <w:top w:val="none" w:sz="0" w:space="0" w:color="auto"/>
        <w:left w:val="none" w:sz="0" w:space="0" w:color="auto"/>
        <w:bottom w:val="none" w:sz="0" w:space="0" w:color="auto"/>
        <w:right w:val="none" w:sz="0" w:space="0" w:color="auto"/>
      </w:divBdr>
    </w:div>
    <w:div w:id="1100028383">
      <w:bodyDiv w:val="1"/>
      <w:marLeft w:val="0"/>
      <w:marRight w:val="0"/>
      <w:marTop w:val="0"/>
      <w:marBottom w:val="0"/>
      <w:divBdr>
        <w:top w:val="none" w:sz="0" w:space="0" w:color="auto"/>
        <w:left w:val="none" w:sz="0" w:space="0" w:color="auto"/>
        <w:bottom w:val="none" w:sz="0" w:space="0" w:color="auto"/>
        <w:right w:val="none" w:sz="0" w:space="0" w:color="auto"/>
      </w:divBdr>
    </w:div>
    <w:div w:id="1281180056">
      <w:bodyDiv w:val="1"/>
      <w:marLeft w:val="0"/>
      <w:marRight w:val="0"/>
      <w:marTop w:val="0"/>
      <w:marBottom w:val="0"/>
      <w:divBdr>
        <w:top w:val="none" w:sz="0" w:space="0" w:color="auto"/>
        <w:left w:val="none" w:sz="0" w:space="0" w:color="auto"/>
        <w:bottom w:val="none" w:sz="0" w:space="0" w:color="auto"/>
        <w:right w:val="none" w:sz="0" w:space="0" w:color="auto"/>
      </w:divBdr>
    </w:div>
    <w:div w:id="1543131929">
      <w:bodyDiv w:val="1"/>
      <w:marLeft w:val="0"/>
      <w:marRight w:val="0"/>
      <w:marTop w:val="0"/>
      <w:marBottom w:val="0"/>
      <w:divBdr>
        <w:top w:val="none" w:sz="0" w:space="0" w:color="auto"/>
        <w:left w:val="none" w:sz="0" w:space="0" w:color="auto"/>
        <w:bottom w:val="none" w:sz="0" w:space="0" w:color="auto"/>
        <w:right w:val="none" w:sz="0" w:space="0" w:color="auto"/>
      </w:divBdr>
    </w:div>
    <w:div w:id="1886483898">
      <w:bodyDiv w:val="1"/>
      <w:marLeft w:val="0"/>
      <w:marRight w:val="0"/>
      <w:marTop w:val="0"/>
      <w:marBottom w:val="0"/>
      <w:divBdr>
        <w:top w:val="none" w:sz="0" w:space="0" w:color="auto"/>
        <w:left w:val="none" w:sz="0" w:space="0" w:color="auto"/>
        <w:bottom w:val="none" w:sz="0" w:space="0" w:color="auto"/>
        <w:right w:val="none" w:sz="0" w:space="0" w:color="auto"/>
      </w:divBdr>
    </w:div>
    <w:div w:id="21367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nctionsmap.eu/" TargetMode="External"/><Relationship Id="rId18" Type="http://schemas.openxmlformats.org/officeDocument/2006/relationships/hyperlink" Target="https://opd3.opd.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financnianalytickyurad.cz/blog/rusko-a-belorusko-seznam-sankcionovanych-subjektu" TargetMode="External"/><Relationship Id="rId17" Type="http://schemas.openxmlformats.org/officeDocument/2006/relationships/hyperlink" Target="http://sfdi.gov.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d3.opd.cz/" TargetMode="External"/><Relationship Id="rId20" Type="http://schemas.openxmlformats.org/officeDocument/2006/relationships/hyperlink" Target="http://sfdi.gov.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di.gov.cz"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opd3.opd.cz/" TargetMode="External"/><Relationship Id="rId23" Type="http://schemas.openxmlformats.org/officeDocument/2006/relationships/header" Target="header2.xml"/><Relationship Id="rId10" Type="http://schemas.openxmlformats.org/officeDocument/2006/relationships/hyperlink" Target="https://opd3.opd.cz/" TargetMode="External"/><Relationship Id="rId19" Type="http://schemas.openxmlformats.org/officeDocument/2006/relationships/hyperlink" Target="http://sfdi.g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vz.cz/wp-content/uploads/2019/12/Dopad-sankc&#237;-proti-Rusku-a-B&#283;lorusku-do-oblasti-ve&#345;ejn&#253;ch-zak&#225;zek.pdf"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OneDrive\Dokumenty\Vlastn&#237;%20&#353;ablony%20Office\sfdi%20&#353;ablona%20smlouva.dotx" TargetMode="External"/></Relationships>
</file>

<file path=word/theme/theme1.xml><?xml version="1.0" encoding="utf-8"?>
<a:theme xmlns:a="http://schemas.openxmlformats.org/drawingml/2006/main" name="SFDI">
  <a:themeElements>
    <a:clrScheme name="SFDI">
      <a:dk1>
        <a:srgbClr val="00447A"/>
      </a:dk1>
      <a:lt1>
        <a:srgbClr val="FFFFFF"/>
      </a:lt1>
      <a:dk2>
        <a:srgbClr val="00447A"/>
      </a:dk2>
      <a:lt2>
        <a:srgbClr val="D8D8D8"/>
      </a:lt2>
      <a:accent1>
        <a:srgbClr val="CD003A"/>
      </a:accent1>
      <a:accent2>
        <a:srgbClr val="5EA62B"/>
      </a:accent2>
      <a:accent3>
        <a:srgbClr val="FFC000"/>
      </a:accent3>
      <a:accent4>
        <a:srgbClr val="00B0F0"/>
      </a:accent4>
      <a:accent5>
        <a:srgbClr val="ED7D31"/>
      </a:accent5>
      <a:accent6>
        <a:srgbClr val="FF2361"/>
      </a:accent6>
      <a:hlink>
        <a:srgbClr val="CD003A"/>
      </a:hlink>
      <a:folHlink>
        <a:srgbClr val="CD003A"/>
      </a:folHlink>
    </a:clrScheme>
    <a:fontScheme name="SFDI">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61D91ADBCD644A569D289FA53D914" ma:contentTypeVersion="18" ma:contentTypeDescription="Vytvoří nový dokument" ma:contentTypeScope="" ma:versionID="b6fa8c769ba5f1cb7b9dea68e497e8c6">
  <xsd:schema xmlns:xsd="http://www.w3.org/2001/XMLSchema" xmlns:xs="http://www.w3.org/2001/XMLSchema" xmlns:p="http://schemas.microsoft.com/office/2006/metadata/properties" xmlns:ns2="41e9c5d8-ba88-4110-a365-1096f9d63fbe" xmlns:ns3="0e8f68f8-2e0b-4a02-a93d-27244b59f756" targetNamespace="http://schemas.microsoft.com/office/2006/metadata/properties" ma:root="true" ma:fieldsID="7e9e61ce9d64c9a8d2b448a7622f1d17" ns2:_="" ns3:_="">
    <xsd:import namespace="41e9c5d8-ba88-4110-a365-1096f9d63fbe"/>
    <xsd:import namespace="0e8f68f8-2e0b-4a02-a93d-27244b59f7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9c5d8-ba88-4110-a365-1096f9d63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213364ca-ecfc-4a53-b039-ef8c2ba6e9f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f68f8-2e0b-4a02-a93d-27244b59f75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ad6376d9-60ce-4ebb-882e-6d04ca4c9a01}" ma:internalName="TaxCatchAll" ma:showField="CatchAllData" ma:web="0e8f68f8-2e0b-4a02-a93d-27244b59f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D96DE-D6BB-46D1-959E-FACC2AAA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9c5d8-ba88-4110-a365-1096f9d63fbe"/>
    <ds:schemaRef ds:uri="0e8f68f8-2e0b-4a02-a93d-27244b59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86C3D-E5E9-4BC9-AEA0-FDE3AB091784}">
  <ds:schemaRefs>
    <ds:schemaRef ds:uri="http://schemas.microsoft.com/sharepoint/v3/contenttype/forms"/>
  </ds:schemaRefs>
</ds:datastoreItem>
</file>

<file path=customXml/itemProps3.xml><?xml version="1.0" encoding="utf-8"?>
<ds:datastoreItem xmlns:ds="http://schemas.openxmlformats.org/officeDocument/2006/customXml" ds:itemID="{253A2F41-86B2-4FBA-A097-5125B9440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sfdi šablona smlouva</Template>
  <TotalTime>82</TotalTime>
  <Pages>27</Pages>
  <Words>8571</Words>
  <Characters>50572</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olga.mertlova</dc:creator>
  <cp:lastModifiedBy>Ing. Vladimír Imbr</cp:lastModifiedBy>
  <cp:revision>24</cp:revision>
  <cp:lastPrinted>2022-06-23T11:58:00Z</cp:lastPrinted>
  <dcterms:created xsi:type="dcterms:W3CDTF">2024-12-05T01:48:00Z</dcterms:created>
  <dcterms:modified xsi:type="dcterms:W3CDTF">2025-12-31T12:25:00Z</dcterms:modified>
</cp:coreProperties>
</file>