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95C73F" w14:textId="77777777" w:rsidR="003F042F" w:rsidRPr="003F042F" w:rsidRDefault="003F042F" w:rsidP="003F042F">
      <w:pPr>
        <w:pBdr>
          <w:top w:val="nil"/>
          <w:left w:val="nil"/>
          <w:bottom w:val="nil"/>
          <w:right w:val="nil"/>
          <w:between w:val="nil"/>
        </w:pBdr>
        <w:spacing w:line="288" w:lineRule="auto"/>
        <w:ind w:right="-1283"/>
        <w:rPr>
          <w:rFonts w:ascii="Arial" w:eastAsia="Arial" w:hAnsi="Arial" w:cs="Arial"/>
          <w:sz w:val="16"/>
          <w:szCs w:val="16"/>
          <w:lang w:val="cs-CZ"/>
        </w:rPr>
      </w:pPr>
      <w:r w:rsidRPr="00E24923">
        <w:rPr>
          <w:rFonts w:ascii="Arial" w:eastAsia="Arial" w:hAnsi="Arial" w:cs="Arial"/>
          <w:sz w:val="16"/>
          <w:szCs w:val="16"/>
        </w:rPr>
        <w:t xml:space="preserve">sp. zn. </w:t>
      </w:r>
      <w:r w:rsidRPr="003F042F">
        <w:rPr>
          <w:rFonts w:ascii="Arial" w:eastAsia="Arial" w:hAnsi="Arial" w:cs="Arial"/>
          <w:sz w:val="16"/>
          <w:szCs w:val="16"/>
          <w:lang w:val="cs-CZ"/>
        </w:rPr>
        <w:t xml:space="preserve">9/25/0100/001 </w:t>
      </w:r>
    </w:p>
    <w:p w14:paraId="46584B83" w14:textId="77777777" w:rsidR="003F042F" w:rsidRDefault="003F042F" w:rsidP="003F042F">
      <w:pPr>
        <w:keepNext/>
        <w:keepLines/>
        <w:pBdr>
          <w:top w:val="none" w:sz="0" w:space="0" w:color="000000"/>
          <w:left w:val="none" w:sz="0" w:space="0" w:color="000000"/>
          <w:bottom w:val="none" w:sz="0" w:space="0" w:color="000000"/>
          <w:right w:val="none" w:sz="0" w:space="0" w:color="000000"/>
          <w:between w:val="nil"/>
        </w:pBdr>
        <w:tabs>
          <w:tab w:val="left" w:pos="440"/>
          <w:tab w:val="right" w:pos="10302"/>
        </w:tabs>
        <w:rPr>
          <w:rFonts w:ascii="Arial" w:eastAsia="Arial" w:hAnsi="Arial" w:cs="Arial"/>
          <w:b/>
          <w:bCs/>
          <w:color w:val="000000"/>
          <w:sz w:val="30"/>
          <w:szCs w:val="30"/>
        </w:rPr>
      </w:pPr>
    </w:p>
    <w:p w14:paraId="06557FDC" w14:textId="627890CF" w:rsidR="00175781" w:rsidRDefault="00D26B9F">
      <w:pPr>
        <w:keepNext/>
        <w:keepLines/>
        <w:pBdr>
          <w:top w:val="none" w:sz="0" w:space="0" w:color="000000"/>
          <w:left w:val="none" w:sz="0" w:space="0" w:color="000000"/>
          <w:bottom w:val="none" w:sz="0" w:space="0" w:color="000000"/>
          <w:right w:val="none" w:sz="0" w:space="0" w:color="000000"/>
          <w:between w:val="nil"/>
        </w:pBdr>
        <w:tabs>
          <w:tab w:val="left" w:pos="440"/>
          <w:tab w:val="right" w:pos="10302"/>
        </w:tabs>
        <w:jc w:val="center"/>
        <w:rPr>
          <w:rFonts w:ascii="Arial" w:eastAsia="Arial" w:hAnsi="Arial" w:cs="Arial"/>
          <w:b/>
          <w:bCs/>
          <w:color w:val="000000"/>
          <w:sz w:val="30"/>
          <w:szCs w:val="30"/>
        </w:rPr>
      </w:pPr>
      <w:r>
        <w:rPr>
          <w:rFonts w:ascii="Arial" w:eastAsia="Arial" w:hAnsi="Arial" w:cs="Arial"/>
          <w:b/>
          <w:bCs/>
          <w:color w:val="000000"/>
          <w:sz w:val="30"/>
          <w:szCs w:val="30"/>
        </w:rPr>
        <w:t xml:space="preserve">SMLOUVA O SPOLUPRÁCI PŘI PROVOZU SDÍLENÝCH KOL </w:t>
      </w:r>
      <w:r>
        <w:rPr>
          <w:rFonts w:ascii="Arial" w:eastAsia="Arial" w:hAnsi="Arial" w:cs="Arial"/>
          <w:b/>
          <w:bCs/>
          <w:color w:val="000000"/>
          <w:sz w:val="30"/>
          <w:szCs w:val="30"/>
        </w:rPr>
        <w:br/>
        <w:t>NA ÚZEMÍ HLAVNÍHO MĚSTA PRAHY</w:t>
      </w:r>
    </w:p>
    <w:p w14:paraId="1916E04F" w14:textId="77777777" w:rsidR="00175781" w:rsidRDefault="00D26B9F">
      <w:pPr>
        <w:keepNext/>
        <w:keepLines/>
        <w:pBdr>
          <w:top w:val="none" w:sz="0" w:space="0" w:color="000000"/>
          <w:left w:val="none" w:sz="0" w:space="0" w:color="000000"/>
          <w:bottom w:val="none" w:sz="0" w:space="0" w:color="000000"/>
          <w:right w:val="none" w:sz="0" w:space="0" w:color="000000"/>
          <w:between w:val="nil"/>
        </w:pBdr>
        <w:tabs>
          <w:tab w:val="left" w:pos="440"/>
          <w:tab w:val="right" w:pos="10302"/>
        </w:tabs>
        <w:jc w:val="center"/>
        <w:rPr>
          <w:rFonts w:ascii="Arial" w:eastAsia="Arial" w:hAnsi="Arial" w:cs="Arial"/>
          <w:b/>
          <w:bCs/>
          <w:color w:val="000000"/>
          <w:sz w:val="30"/>
          <w:szCs w:val="30"/>
        </w:rPr>
      </w:pPr>
      <w:r>
        <w:rPr>
          <w:rFonts w:ascii="Arial" w:eastAsia="Arial" w:hAnsi="Arial" w:cs="Arial"/>
          <w:b/>
          <w:bCs/>
          <w:color w:val="000000"/>
          <w:sz w:val="30"/>
          <w:szCs w:val="30"/>
        </w:rPr>
        <w:t xml:space="preserve">A O UDĚLENÍ SOUVISEJÍCÍHO ÚPLATNÉHO SOUHLASU SE ZVLÁŠTNÍM UŽÍVÁNÍM VEŘEJNÉHO PROSTRANSTVÍ </w:t>
      </w:r>
    </w:p>
    <w:p w14:paraId="1DA7F1D2" w14:textId="77777777" w:rsidR="00175781" w:rsidRDefault="00175781">
      <w:pPr>
        <w:rPr>
          <w:rFonts w:ascii="Arial" w:eastAsia="Arial" w:hAnsi="Arial" w:cs="Arial"/>
          <w:sz w:val="22"/>
          <w:szCs w:val="22"/>
        </w:rPr>
      </w:pPr>
    </w:p>
    <w:p w14:paraId="4EF4C4D4" w14:textId="77777777" w:rsidR="00175781" w:rsidRDefault="00D26B9F">
      <w:pPr>
        <w:jc w:val="center"/>
        <w:rPr>
          <w:rFonts w:ascii="Arial" w:eastAsia="Arial" w:hAnsi="Arial" w:cs="Arial"/>
          <w:sz w:val="20"/>
          <w:szCs w:val="20"/>
        </w:rPr>
      </w:pPr>
      <w:r>
        <w:rPr>
          <w:rFonts w:ascii="Arial" w:eastAsia="Arial" w:hAnsi="Arial" w:cs="Arial"/>
          <w:sz w:val="20"/>
          <w:szCs w:val="20"/>
        </w:rPr>
        <w:t>(dále jen „</w:t>
      </w:r>
      <w:r>
        <w:rPr>
          <w:rFonts w:ascii="Arial" w:eastAsia="Arial" w:hAnsi="Arial" w:cs="Arial"/>
          <w:b/>
          <w:bCs/>
          <w:sz w:val="20"/>
          <w:szCs w:val="20"/>
        </w:rPr>
        <w:t>Smlouva</w:t>
      </w:r>
      <w:r>
        <w:rPr>
          <w:rFonts w:ascii="Arial" w:eastAsia="Arial" w:hAnsi="Arial" w:cs="Arial"/>
          <w:sz w:val="20"/>
          <w:szCs w:val="20"/>
        </w:rPr>
        <w:t>“)</w:t>
      </w:r>
    </w:p>
    <w:p w14:paraId="1F2FD40E" w14:textId="77777777" w:rsidR="00175781" w:rsidRDefault="00175781">
      <w:pPr>
        <w:rPr>
          <w:rFonts w:ascii="Arial" w:eastAsia="Arial" w:hAnsi="Arial" w:cs="Arial"/>
          <w:sz w:val="20"/>
          <w:szCs w:val="20"/>
        </w:rPr>
      </w:pPr>
    </w:p>
    <w:p w14:paraId="08E6EB2A" w14:textId="77777777" w:rsidR="00175781" w:rsidRDefault="00D26B9F">
      <w:pPr>
        <w:jc w:val="center"/>
        <w:rPr>
          <w:rFonts w:ascii="Arial" w:eastAsia="Arial" w:hAnsi="Arial" w:cs="Arial"/>
          <w:sz w:val="20"/>
          <w:szCs w:val="20"/>
        </w:rPr>
      </w:pPr>
      <w:r>
        <w:rPr>
          <w:rFonts w:ascii="Arial" w:eastAsia="Arial" w:hAnsi="Arial" w:cs="Arial"/>
          <w:sz w:val="20"/>
          <w:szCs w:val="20"/>
        </w:rPr>
        <w:t>uzavřená dle § 1746 odst. 2 zákona č. 89/2012 Sb., občanský zákoník, ve znění pozdějších předpisů (dále jen „</w:t>
      </w:r>
      <w:r>
        <w:rPr>
          <w:rFonts w:ascii="Arial" w:eastAsia="Arial" w:hAnsi="Arial" w:cs="Arial"/>
          <w:b/>
          <w:bCs/>
          <w:sz w:val="20"/>
          <w:szCs w:val="20"/>
        </w:rPr>
        <w:t>Občanský zákoník</w:t>
      </w:r>
      <w:r>
        <w:rPr>
          <w:rFonts w:ascii="Arial" w:eastAsia="Arial" w:hAnsi="Arial" w:cs="Arial"/>
          <w:sz w:val="20"/>
          <w:szCs w:val="20"/>
        </w:rPr>
        <w:t>“), mezi níže uvedenými stranami</w:t>
      </w:r>
    </w:p>
    <w:p w14:paraId="1DD86813" w14:textId="77777777" w:rsidR="00175781" w:rsidRDefault="00175781">
      <w:pPr>
        <w:rPr>
          <w:rFonts w:ascii="Arial" w:eastAsia="Arial" w:hAnsi="Arial" w:cs="Arial"/>
          <w:sz w:val="20"/>
          <w:szCs w:val="20"/>
        </w:rPr>
      </w:pPr>
    </w:p>
    <w:p w14:paraId="121D7520" w14:textId="77777777" w:rsidR="00175781" w:rsidRDefault="00D26B9F">
      <w:pPr>
        <w:numPr>
          <w:ilvl w:val="0"/>
          <w:numId w:val="9"/>
        </w:numPr>
        <w:pBdr>
          <w:top w:val="nil"/>
          <w:left w:val="nil"/>
          <w:bottom w:val="nil"/>
          <w:right w:val="nil"/>
          <w:between w:val="nil"/>
        </w:pBdr>
        <w:spacing w:line="276" w:lineRule="auto"/>
        <w:ind w:left="360"/>
        <w:jc w:val="both"/>
        <w:rPr>
          <w:rFonts w:ascii="Arial" w:eastAsia="Arial" w:hAnsi="Arial" w:cs="Arial"/>
          <w:color w:val="000000"/>
          <w:sz w:val="20"/>
          <w:szCs w:val="20"/>
        </w:rPr>
      </w:pPr>
      <w:r>
        <w:rPr>
          <w:rFonts w:ascii="Arial" w:eastAsia="Arial" w:hAnsi="Arial" w:cs="Arial"/>
          <w:b/>
          <w:bCs/>
          <w:color w:val="000000"/>
          <w:sz w:val="20"/>
          <w:szCs w:val="20"/>
        </w:rPr>
        <w:t xml:space="preserve">Hlavní město Praha, </w:t>
      </w:r>
      <w:r>
        <w:rPr>
          <w:rFonts w:ascii="Arial" w:eastAsia="Arial" w:hAnsi="Arial" w:cs="Arial"/>
          <w:color w:val="000000"/>
          <w:sz w:val="20"/>
          <w:szCs w:val="20"/>
        </w:rPr>
        <w:t>se sídlem Mariánské náměstí 2/2, 110 00 Praha 1 – Staré Město, IČO: 000 64 581, DIČ: CZ00064581, plátce DPH</w:t>
      </w:r>
    </w:p>
    <w:p w14:paraId="0F230666" w14:textId="77777777" w:rsidR="00175781" w:rsidRDefault="00D26B9F">
      <w:pPr>
        <w:pBdr>
          <w:top w:val="nil"/>
          <w:left w:val="nil"/>
          <w:bottom w:val="nil"/>
          <w:right w:val="nil"/>
          <w:between w:val="nil"/>
        </w:pBdr>
        <w:spacing w:line="276" w:lineRule="auto"/>
        <w:ind w:left="360"/>
        <w:jc w:val="both"/>
        <w:rPr>
          <w:rFonts w:ascii="Arial" w:eastAsia="Arial" w:hAnsi="Arial" w:cs="Arial"/>
          <w:color w:val="000000"/>
          <w:sz w:val="20"/>
          <w:szCs w:val="20"/>
        </w:rPr>
      </w:pPr>
      <w:r>
        <w:rPr>
          <w:rFonts w:ascii="Arial" w:eastAsia="Arial" w:hAnsi="Arial" w:cs="Arial"/>
          <w:color w:val="000000"/>
          <w:sz w:val="20"/>
          <w:szCs w:val="20"/>
        </w:rPr>
        <w:t>(dále jen „</w:t>
      </w:r>
      <w:r>
        <w:rPr>
          <w:rFonts w:ascii="Arial" w:eastAsia="Arial" w:hAnsi="Arial" w:cs="Arial"/>
          <w:b/>
          <w:bCs/>
          <w:color w:val="000000"/>
          <w:sz w:val="20"/>
          <w:szCs w:val="20"/>
        </w:rPr>
        <w:t>HMP</w:t>
      </w:r>
      <w:r>
        <w:rPr>
          <w:rFonts w:ascii="Arial" w:eastAsia="Arial" w:hAnsi="Arial" w:cs="Arial"/>
          <w:color w:val="000000"/>
          <w:sz w:val="20"/>
          <w:szCs w:val="20"/>
        </w:rPr>
        <w:t>“)</w:t>
      </w:r>
    </w:p>
    <w:p w14:paraId="4DB92C41" w14:textId="77777777" w:rsidR="00175781" w:rsidRDefault="00175781">
      <w:pPr>
        <w:pBdr>
          <w:top w:val="nil"/>
          <w:left w:val="nil"/>
          <w:bottom w:val="nil"/>
          <w:right w:val="nil"/>
          <w:between w:val="nil"/>
        </w:pBdr>
        <w:spacing w:line="276" w:lineRule="auto"/>
        <w:ind w:left="360"/>
        <w:jc w:val="both"/>
        <w:rPr>
          <w:rFonts w:ascii="Arial" w:eastAsia="Arial" w:hAnsi="Arial" w:cs="Arial"/>
          <w:color w:val="000000"/>
          <w:sz w:val="20"/>
          <w:szCs w:val="20"/>
        </w:rPr>
      </w:pPr>
    </w:p>
    <w:p w14:paraId="53E3921A" w14:textId="653DE949" w:rsidR="00175781" w:rsidRDefault="00D26B9F">
      <w:pPr>
        <w:pBdr>
          <w:top w:val="nil"/>
          <w:left w:val="nil"/>
          <w:bottom w:val="nil"/>
          <w:right w:val="nil"/>
          <w:between w:val="nil"/>
        </w:pBdr>
        <w:spacing w:line="276" w:lineRule="auto"/>
        <w:ind w:left="360"/>
        <w:jc w:val="both"/>
        <w:rPr>
          <w:rFonts w:ascii="Arial" w:eastAsia="Arial" w:hAnsi="Arial" w:cs="Arial"/>
          <w:color w:val="000000"/>
          <w:sz w:val="20"/>
          <w:szCs w:val="20"/>
        </w:rPr>
      </w:pPr>
      <w:r>
        <w:rPr>
          <w:rFonts w:ascii="Arial" w:eastAsia="Arial" w:hAnsi="Arial" w:cs="Arial"/>
          <w:color w:val="000000"/>
          <w:sz w:val="20"/>
          <w:szCs w:val="20"/>
        </w:rPr>
        <w:t xml:space="preserve">zastoupené společností </w:t>
      </w:r>
      <w:r>
        <w:rPr>
          <w:rFonts w:ascii="Arial" w:eastAsia="Arial" w:hAnsi="Arial" w:cs="Arial"/>
          <w:b/>
          <w:bCs/>
          <w:color w:val="000000"/>
          <w:sz w:val="20"/>
          <w:szCs w:val="20"/>
        </w:rPr>
        <w:t>Technická správa komunikací hl. m. Prahy, a.s.</w:t>
      </w:r>
      <w:r>
        <w:rPr>
          <w:rFonts w:ascii="Arial" w:eastAsia="Arial" w:hAnsi="Arial" w:cs="Arial"/>
          <w:color w:val="000000"/>
          <w:sz w:val="20"/>
          <w:szCs w:val="20"/>
        </w:rPr>
        <w:t>, se sídlem Veletržní 1623/24, Holešovice, 170 00 Praha 7, IČO: 034 47 286, zapsaná v obchodním rejstříku vedeném Městským soudem v Praze, sp. zn. B20059, zastoupená PhDr. Filipem Hájkem, předsedou představenstva a Ing. Josefem Richtrem, místopředsedou představenstva, číslo účtu pro převod Úplaty:</w:t>
      </w:r>
      <w:r w:rsidR="00E60471">
        <w:rPr>
          <w:rFonts w:ascii="Arial" w:eastAsia="Arial" w:hAnsi="Arial" w:cs="Arial"/>
          <w:color w:val="000000"/>
          <w:sz w:val="20"/>
          <w:szCs w:val="20"/>
        </w:rPr>
        <w:t xml:space="preserve"> </w:t>
      </w:r>
      <w:r w:rsidR="00E60471" w:rsidRPr="00E60471">
        <w:rPr>
          <w:rFonts w:ascii="Arial" w:eastAsia="Arial" w:hAnsi="Arial" w:cs="Arial"/>
          <w:color w:val="000000"/>
          <w:sz w:val="20"/>
          <w:szCs w:val="20"/>
        </w:rPr>
        <w:t xml:space="preserve">6087522/0800 </w:t>
      </w:r>
      <w:r>
        <w:rPr>
          <w:rFonts w:ascii="Arial" w:eastAsia="Arial" w:hAnsi="Arial" w:cs="Arial"/>
          <w:color w:val="000000"/>
          <w:sz w:val="20"/>
          <w:szCs w:val="20"/>
          <w:highlight w:val="lightGray"/>
        </w:rPr>
        <w:t xml:space="preserve"> </w:t>
      </w:r>
    </w:p>
    <w:p w14:paraId="5C68DD24" w14:textId="77777777" w:rsidR="00175781" w:rsidRDefault="00175781">
      <w:pPr>
        <w:pBdr>
          <w:top w:val="nil"/>
          <w:left w:val="nil"/>
          <w:bottom w:val="nil"/>
          <w:right w:val="nil"/>
          <w:between w:val="nil"/>
        </w:pBdr>
        <w:spacing w:line="276" w:lineRule="auto"/>
        <w:ind w:left="360"/>
        <w:jc w:val="both"/>
        <w:rPr>
          <w:rFonts w:ascii="Arial" w:eastAsia="Arial" w:hAnsi="Arial" w:cs="Arial"/>
          <w:color w:val="000000"/>
          <w:sz w:val="20"/>
          <w:szCs w:val="20"/>
        </w:rPr>
      </w:pPr>
    </w:p>
    <w:p w14:paraId="3DF884EC" w14:textId="77777777" w:rsidR="00175781" w:rsidRDefault="00D26B9F">
      <w:pPr>
        <w:pBdr>
          <w:top w:val="nil"/>
          <w:left w:val="nil"/>
          <w:bottom w:val="nil"/>
          <w:right w:val="nil"/>
          <w:between w:val="nil"/>
        </w:pBdr>
        <w:spacing w:line="276" w:lineRule="auto"/>
        <w:ind w:left="360"/>
        <w:jc w:val="both"/>
        <w:rPr>
          <w:rFonts w:ascii="Arial" w:eastAsia="Arial" w:hAnsi="Arial" w:cs="Arial"/>
          <w:color w:val="000000"/>
          <w:sz w:val="20"/>
          <w:szCs w:val="20"/>
        </w:rPr>
      </w:pPr>
      <w:r>
        <w:rPr>
          <w:rFonts w:ascii="Arial" w:eastAsia="Arial" w:hAnsi="Arial" w:cs="Arial"/>
          <w:color w:val="000000"/>
          <w:sz w:val="20"/>
          <w:szCs w:val="20"/>
        </w:rPr>
        <w:t>(dále jen „</w:t>
      </w:r>
      <w:r>
        <w:rPr>
          <w:rFonts w:ascii="Arial" w:eastAsia="Arial" w:hAnsi="Arial" w:cs="Arial"/>
          <w:b/>
          <w:bCs/>
          <w:color w:val="000000"/>
          <w:sz w:val="20"/>
          <w:szCs w:val="20"/>
        </w:rPr>
        <w:t>TSK</w:t>
      </w:r>
      <w:r>
        <w:rPr>
          <w:rFonts w:ascii="Arial" w:eastAsia="Arial" w:hAnsi="Arial" w:cs="Arial"/>
          <w:color w:val="000000"/>
          <w:sz w:val="20"/>
          <w:szCs w:val="20"/>
        </w:rPr>
        <w:t xml:space="preserve">“, přičemž platí, že uvádí-li tato Smlouva, že její stranou je HMP, jedná jeho jménem a na jeho účet TSK, není-li uvedeno výslovně jinak), </w:t>
      </w:r>
    </w:p>
    <w:p w14:paraId="02101938" w14:textId="77777777" w:rsidR="00175781" w:rsidRDefault="00175781">
      <w:pPr>
        <w:pBdr>
          <w:top w:val="nil"/>
          <w:left w:val="nil"/>
          <w:bottom w:val="nil"/>
          <w:right w:val="nil"/>
          <w:between w:val="nil"/>
        </w:pBdr>
        <w:spacing w:line="276" w:lineRule="auto"/>
        <w:ind w:left="360"/>
        <w:jc w:val="both"/>
        <w:rPr>
          <w:rFonts w:ascii="Arial" w:eastAsia="Arial" w:hAnsi="Arial" w:cs="Arial"/>
          <w:color w:val="000000"/>
          <w:sz w:val="20"/>
          <w:szCs w:val="20"/>
        </w:rPr>
      </w:pPr>
    </w:p>
    <w:p w14:paraId="3EA437C2" w14:textId="77777777" w:rsidR="00175781" w:rsidRDefault="00D26B9F">
      <w:pPr>
        <w:pBdr>
          <w:top w:val="nil"/>
          <w:left w:val="nil"/>
          <w:bottom w:val="nil"/>
          <w:right w:val="nil"/>
          <w:between w:val="nil"/>
        </w:pBdr>
        <w:spacing w:line="276" w:lineRule="auto"/>
        <w:ind w:left="360"/>
        <w:jc w:val="both"/>
        <w:rPr>
          <w:rFonts w:ascii="Arial" w:eastAsia="Arial" w:hAnsi="Arial" w:cs="Arial"/>
          <w:color w:val="000000"/>
          <w:sz w:val="20"/>
          <w:szCs w:val="20"/>
        </w:rPr>
      </w:pPr>
      <w:r>
        <w:rPr>
          <w:rFonts w:ascii="Arial" w:eastAsia="Arial" w:hAnsi="Arial" w:cs="Arial"/>
          <w:color w:val="000000"/>
          <w:sz w:val="20"/>
          <w:szCs w:val="20"/>
        </w:rPr>
        <w:t>a</w:t>
      </w:r>
    </w:p>
    <w:p w14:paraId="3CFBF315" w14:textId="77777777" w:rsidR="00175781" w:rsidRDefault="00175781">
      <w:pPr>
        <w:pBdr>
          <w:top w:val="nil"/>
          <w:left w:val="nil"/>
          <w:bottom w:val="nil"/>
          <w:right w:val="nil"/>
          <w:between w:val="nil"/>
        </w:pBdr>
        <w:spacing w:line="276" w:lineRule="auto"/>
        <w:rPr>
          <w:rFonts w:ascii="Arial" w:eastAsia="Arial" w:hAnsi="Arial" w:cs="Arial"/>
          <w:sz w:val="20"/>
          <w:szCs w:val="20"/>
        </w:rPr>
      </w:pPr>
    </w:p>
    <w:p w14:paraId="28A942CC" w14:textId="52145CAD" w:rsidR="00175781" w:rsidRDefault="00DF7C9B">
      <w:pPr>
        <w:numPr>
          <w:ilvl w:val="0"/>
          <w:numId w:val="9"/>
        </w:numPr>
        <w:pBdr>
          <w:top w:val="nil"/>
          <w:left w:val="nil"/>
          <w:bottom w:val="nil"/>
          <w:right w:val="nil"/>
          <w:between w:val="nil"/>
        </w:pBdr>
        <w:spacing w:line="276" w:lineRule="auto"/>
        <w:ind w:left="360"/>
        <w:jc w:val="both"/>
        <w:rPr>
          <w:rFonts w:ascii="Arial" w:eastAsia="Arial" w:hAnsi="Arial" w:cs="Arial"/>
          <w:color w:val="000000"/>
          <w:sz w:val="20"/>
          <w:szCs w:val="20"/>
        </w:rPr>
      </w:pPr>
      <w:r w:rsidRPr="00DF7C9B">
        <w:rPr>
          <w:rFonts w:ascii="Arial" w:eastAsia="Arial" w:hAnsi="Arial" w:cs="Arial"/>
          <w:b/>
          <w:bCs/>
          <w:color w:val="000000"/>
          <w:sz w:val="20"/>
          <w:szCs w:val="20"/>
        </w:rPr>
        <w:t>nextbike Czech Republic s.r.o.</w:t>
      </w:r>
      <w:r w:rsidR="00D26B9F">
        <w:rPr>
          <w:rFonts w:ascii="Arial" w:eastAsia="Arial" w:hAnsi="Arial" w:cs="Arial"/>
          <w:color w:val="000000"/>
          <w:sz w:val="20"/>
          <w:szCs w:val="20"/>
        </w:rPr>
        <w:t>, se sídlem</w:t>
      </w:r>
      <w:r>
        <w:rPr>
          <w:rFonts w:ascii="Arial" w:eastAsia="Arial" w:hAnsi="Arial" w:cs="Arial"/>
          <w:color w:val="000000"/>
          <w:sz w:val="20"/>
          <w:szCs w:val="20"/>
        </w:rPr>
        <w:t xml:space="preserve"> </w:t>
      </w:r>
      <w:r w:rsidRPr="00DF7C9B">
        <w:rPr>
          <w:rFonts w:ascii="Arial" w:eastAsia="Arial" w:hAnsi="Arial" w:cs="Arial"/>
          <w:color w:val="000000"/>
          <w:sz w:val="20"/>
          <w:szCs w:val="20"/>
        </w:rPr>
        <w:t>Libušina 526/101, Olomouc 779 00</w:t>
      </w:r>
      <w:r w:rsidR="00D26B9F">
        <w:rPr>
          <w:rFonts w:ascii="Arial" w:eastAsia="Arial" w:hAnsi="Arial" w:cs="Arial"/>
          <w:color w:val="000000"/>
          <w:sz w:val="20"/>
          <w:szCs w:val="20"/>
        </w:rPr>
        <w:t>, IČO:</w:t>
      </w:r>
      <w:r>
        <w:rPr>
          <w:rFonts w:ascii="Arial" w:eastAsia="Arial" w:hAnsi="Arial" w:cs="Arial"/>
          <w:color w:val="000000"/>
          <w:sz w:val="20"/>
          <w:szCs w:val="20"/>
        </w:rPr>
        <w:t xml:space="preserve"> </w:t>
      </w:r>
      <w:r w:rsidRPr="00DF7C9B">
        <w:rPr>
          <w:rFonts w:ascii="Arial" w:eastAsia="Arial" w:hAnsi="Arial" w:cs="Arial"/>
          <w:color w:val="000000"/>
          <w:sz w:val="20"/>
          <w:szCs w:val="20"/>
        </w:rPr>
        <w:t>073 89 108</w:t>
      </w:r>
      <w:r w:rsidR="00D26B9F">
        <w:rPr>
          <w:rFonts w:ascii="Arial" w:eastAsia="Arial" w:hAnsi="Arial" w:cs="Arial"/>
          <w:color w:val="000000"/>
          <w:sz w:val="20"/>
          <w:szCs w:val="20"/>
        </w:rPr>
        <w:t>,</w:t>
      </w:r>
      <w:r>
        <w:rPr>
          <w:rFonts w:ascii="Arial" w:eastAsia="Arial" w:hAnsi="Arial" w:cs="Arial"/>
          <w:color w:val="000000"/>
          <w:sz w:val="20"/>
          <w:szCs w:val="20"/>
        </w:rPr>
        <w:t xml:space="preserve"> </w:t>
      </w:r>
      <w:r w:rsidR="00D26B9F">
        <w:rPr>
          <w:rFonts w:ascii="Arial" w:eastAsia="Arial" w:hAnsi="Arial" w:cs="Arial"/>
          <w:color w:val="000000"/>
          <w:sz w:val="20"/>
          <w:szCs w:val="20"/>
        </w:rPr>
        <w:t>zapsaná v obchodním rejstříku vedeném</w:t>
      </w:r>
      <w:r>
        <w:rPr>
          <w:rFonts w:ascii="Arial" w:eastAsia="Arial" w:hAnsi="Arial" w:cs="Arial"/>
          <w:color w:val="000000"/>
          <w:sz w:val="20"/>
          <w:szCs w:val="20"/>
        </w:rPr>
        <w:t xml:space="preserve"> </w:t>
      </w:r>
      <w:r w:rsidRPr="00DF7C9B">
        <w:rPr>
          <w:rFonts w:ascii="Arial" w:eastAsia="Arial" w:hAnsi="Arial" w:cs="Arial"/>
          <w:color w:val="000000"/>
          <w:sz w:val="20"/>
          <w:szCs w:val="20"/>
        </w:rPr>
        <w:t>Krajským soudem v Ostravě, oddíl C, vložka 75648</w:t>
      </w:r>
      <w:r w:rsidR="00D26B9F">
        <w:rPr>
          <w:rFonts w:ascii="Arial" w:eastAsia="Arial" w:hAnsi="Arial" w:cs="Arial"/>
          <w:color w:val="000000"/>
          <w:sz w:val="20"/>
          <w:szCs w:val="20"/>
        </w:rPr>
        <w:t>, zastoupená</w:t>
      </w:r>
      <w:r>
        <w:rPr>
          <w:rFonts w:ascii="Arial" w:eastAsia="Arial" w:hAnsi="Arial" w:cs="Arial"/>
          <w:color w:val="000000"/>
          <w:sz w:val="20"/>
          <w:szCs w:val="20"/>
        </w:rPr>
        <w:t xml:space="preserve"> Tomášem Karpovem, jednatelem a Lukášem Luňákem, jednatelem</w:t>
      </w:r>
      <w:r w:rsidR="00D26B9F">
        <w:rPr>
          <w:rFonts w:ascii="Arial" w:eastAsia="Arial" w:hAnsi="Arial" w:cs="Arial"/>
          <w:color w:val="000000"/>
          <w:sz w:val="20"/>
          <w:szCs w:val="20"/>
        </w:rPr>
        <w:t>,</w:t>
      </w:r>
    </w:p>
    <w:p w14:paraId="0389049C" w14:textId="77777777" w:rsidR="00E505B8" w:rsidRDefault="00E505B8">
      <w:pPr>
        <w:pBdr>
          <w:top w:val="nil"/>
          <w:left w:val="nil"/>
          <w:bottom w:val="nil"/>
          <w:right w:val="nil"/>
          <w:between w:val="nil"/>
        </w:pBdr>
        <w:spacing w:line="276" w:lineRule="auto"/>
        <w:ind w:left="360"/>
        <w:jc w:val="both"/>
        <w:rPr>
          <w:rFonts w:ascii="Arial" w:eastAsia="Arial" w:hAnsi="Arial" w:cs="Arial"/>
          <w:color w:val="000000"/>
          <w:sz w:val="20"/>
          <w:szCs w:val="20"/>
        </w:rPr>
      </w:pPr>
    </w:p>
    <w:p w14:paraId="0074619B" w14:textId="1F4DB798" w:rsidR="00175781" w:rsidRDefault="00D26B9F">
      <w:pPr>
        <w:pBdr>
          <w:top w:val="nil"/>
          <w:left w:val="nil"/>
          <w:bottom w:val="nil"/>
          <w:right w:val="nil"/>
          <w:between w:val="nil"/>
        </w:pBdr>
        <w:spacing w:line="276" w:lineRule="auto"/>
        <w:ind w:left="360"/>
        <w:jc w:val="both"/>
        <w:rPr>
          <w:rFonts w:ascii="Arial" w:eastAsia="Arial" w:hAnsi="Arial" w:cs="Arial"/>
          <w:color w:val="000000"/>
          <w:sz w:val="20"/>
          <w:szCs w:val="20"/>
        </w:rPr>
      </w:pPr>
      <w:r>
        <w:rPr>
          <w:rFonts w:ascii="Arial" w:eastAsia="Arial" w:hAnsi="Arial" w:cs="Arial"/>
          <w:color w:val="000000"/>
          <w:sz w:val="20"/>
          <w:szCs w:val="20"/>
        </w:rPr>
        <w:t>(dále jen „</w:t>
      </w:r>
      <w:r>
        <w:rPr>
          <w:rFonts w:ascii="Arial" w:eastAsia="Arial" w:hAnsi="Arial" w:cs="Arial"/>
          <w:b/>
          <w:bCs/>
          <w:color w:val="000000"/>
          <w:sz w:val="20"/>
          <w:szCs w:val="20"/>
        </w:rPr>
        <w:t>Provozovatel</w:t>
      </w:r>
      <w:r>
        <w:rPr>
          <w:rFonts w:ascii="Arial" w:eastAsia="Arial" w:hAnsi="Arial" w:cs="Arial"/>
          <w:color w:val="000000"/>
          <w:sz w:val="20"/>
          <w:szCs w:val="20"/>
        </w:rPr>
        <w:t>“ a společně s HMP zastoupenou TSK jako „</w:t>
      </w:r>
      <w:r w:rsidRPr="00C8522B">
        <w:rPr>
          <w:rFonts w:ascii="Arial" w:eastAsia="Arial" w:hAnsi="Arial" w:cs="Arial"/>
          <w:b/>
          <w:bCs/>
          <w:color w:val="000000"/>
          <w:sz w:val="20"/>
          <w:szCs w:val="20"/>
        </w:rPr>
        <w:t>Strany</w:t>
      </w:r>
      <w:r>
        <w:rPr>
          <w:rFonts w:ascii="Arial" w:eastAsia="Arial" w:hAnsi="Arial" w:cs="Arial"/>
          <w:color w:val="000000"/>
          <w:sz w:val="20"/>
          <w:szCs w:val="20"/>
        </w:rPr>
        <w:t>“)</w:t>
      </w:r>
      <w:r w:rsidR="00DF7C9B">
        <w:rPr>
          <w:rFonts w:ascii="Arial" w:eastAsia="Arial" w:hAnsi="Arial" w:cs="Arial"/>
          <w:color w:val="000000"/>
          <w:sz w:val="20"/>
          <w:szCs w:val="20"/>
        </w:rPr>
        <w:t>.</w:t>
      </w:r>
    </w:p>
    <w:p w14:paraId="0BD13474" w14:textId="77777777" w:rsidR="00175781" w:rsidRDefault="00175781">
      <w:pPr>
        <w:rPr>
          <w:rFonts w:ascii="Arial" w:eastAsia="Arial" w:hAnsi="Arial" w:cs="Arial"/>
          <w:color w:val="FF0000"/>
          <w:sz w:val="20"/>
          <w:szCs w:val="20"/>
        </w:rPr>
      </w:pPr>
    </w:p>
    <w:p w14:paraId="73D60202" w14:textId="77777777" w:rsidR="00175781" w:rsidRDefault="00175781">
      <w:pPr>
        <w:rPr>
          <w:rFonts w:ascii="Arial" w:eastAsia="Arial" w:hAnsi="Arial" w:cs="Arial"/>
          <w:sz w:val="20"/>
          <w:szCs w:val="20"/>
        </w:rPr>
      </w:pPr>
    </w:p>
    <w:p w14:paraId="7417F116" w14:textId="77777777" w:rsidR="00175781" w:rsidRDefault="00D26B9F">
      <w:pPr>
        <w:rPr>
          <w:rFonts w:ascii="Times New Roman" w:eastAsia="Times New Roman" w:hAnsi="Times New Roman" w:cs="Times New Roman"/>
        </w:rPr>
      </w:pPr>
      <w:r>
        <w:rPr>
          <w:rFonts w:ascii="Arial" w:eastAsia="Arial" w:hAnsi="Arial" w:cs="Arial"/>
          <w:b/>
          <w:bCs/>
          <w:sz w:val="20"/>
          <w:szCs w:val="20"/>
        </w:rPr>
        <w:t xml:space="preserve"> </w:t>
      </w:r>
      <w:r>
        <w:rPr>
          <w:rFonts w:ascii="Times New Roman" w:eastAsia="Times New Roman" w:hAnsi="Times New Roman" w:cs="Times New Roman"/>
        </w:rPr>
        <w:t xml:space="preserve"> </w:t>
      </w:r>
    </w:p>
    <w:p w14:paraId="5588BFDE" w14:textId="77777777" w:rsidR="00175781" w:rsidRDefault="00D26B9F">
      <w:pPr>
        <w:jc w:val="center"/>
        <w:rPr>
          <w:rFonts w:ascii="Arial" w:eastAsia="Arial" w:hAnsi="Arial" w:cs="Arial"/>
          <w:b/>
          <w:bCs/>
          <w:sz w:val="20"/>
          <w:szCs w:val="20"/>
        </w:rPr>
      </w:pPr>
      <w:r>
        <w:rPr>
          <w:rFonts w:ascii="Arial" w:eastAsia="Arial" w:hAnsi="Arial" w:cs="Arial"/>
          <w:b/>
          <w:bCs/>
          <w:sz w:val="20"/>
          <w:szCs w:val="20"/>
        </w:rPr>
        <w:t>PREAMBULE</w:t>
      </w:r>
    </w:p>
    <w:p w14:paraId="7A35909F" w14:textId="77777777" w:rsidR="00175781" w:rsidRDefault="00175781">
      <w:pPr>
        <w:jc w:val="both"/>
        <w:rPr>
          <w:rFonts w:ascii="Arial" w:eastAsia="Arial" w:hAnsi="Arial" w:cs="Arial"/>
          <w:sz w:val="20"/>
          <w:szCs w:val="20"/>
        </w:rPr>
      </w:pPr>
    </w:p>
    <w:p w14:paraId="73FA0FF5" w14:textId="7F8AD9ED" w:rsidR="00175781" w:rsidRDefault="00D26B9F">
      <w:pPr>
        <w:jc w:val="both"/>
        <w:rPr>
          <w:rFonts w:ascii="Arial" w:eastAsia="Arial" w:hAnsi="Arial" w:cs="Arial"/>
          <w:sz w:val="20"/>
          <w:szCs w:val="20"/>
        </w:rPr>
      </w:pPr>
      <w:r>
        <w:rPr>
          <w:rFonts w:ascii="Arial" w:eastAsia="Arial" w:hAnsi="Arial" w:cs="Arial"/>
          <w:sz w:val="20"/>
          <w:szCs w:val="20"/>
        </w:rPr>
        <w:t>Mezi úkoly TSK jako společnosti založené jediným akcionářem HMP patří mimo jiné povinnost pečovat o všestranný rozvoj komunikací na území HMP. HMP a TSK považují sdílení kol za vhodný doplněk stávající městské mobility a</w:t>
      </w:r>
      <w:r w:rsidR="00DE09CF">
        <w:rPr>
          <w:rFonts w:ascii="Arial" w:eastAsia="Arial" w:hAnsi="Arial" w:cs="Arial"/>
          <w:sz w:val="20"/>
          <w:szCs w:val="20"/>
        </w:rPr>
        <w:t> </w:t>
      </w:r>
      <w:r>
        <w:rPr>
          <w:rFonts w:ascii="Arial" w:eastAsia="Arial" w:hAnsi="Arial" w:cs="Arial"/>
          <w:sz w:val="20"/>
          <w:szCs w:val="20"/>
        </w:rPr>
        <w:t xml:space="preserve">chtějí podporovat jeho využívání na tomto území. V rámci zajištění jednotného a bezpečného provozu je zájem tuto podporu udělit pouze těm provozovatelům služby sdílení kol, kteří budou dodržovat pravidla nastavená touto Smlouvou a předpisy HMP tak, aby nedocházelo k výraznému omezování pěších osob nebo narušování veřejného pořádku a dopravy na území HMP.  </w:t>
      </w:r>
    </w:p>
    <w:p w14:paraId="5B430EEE" w14:textId="77777777" w:rsidR="00175781" w:rsidRDefault="00175781">
      <w:pPr>
        <w:jc w:val="both"/>
        <w:rPr>
          <w:rFonts w:ascii="Arial" w:eastAsia="Arial" w:hAnsi="Arial" w:cs="Arial"/>
          <w:sz w:val="20"/>
          <w:szCs w:val="20"/>
        </w:rPr>
      </w:pPr>
    </w:p>
    <w:p w14:paraId="36A0B414" w14:textId="6C07D6E8" w:rsidR="00175781" w:rsidRDefault="00D26B9F">
      <w:pPr>
        <w:jc w:val="both"/>
        <w:rPr>
          <w:rFonts w:ascii="Arial" w:eastAsia="Arial" w:hAnsi="Arial" w:cs="Arial"/>
          <w:sz w:val="20"/>
          <w:szCs w:val="20"/>
        </w:rPr>
      </w:pPr>
      <w:r>
        <w:rPr>
          <w:rFonts w:ascii="Arial" w:eastAsia="Arial" w:hAnsi="Arial" w:cs="Arial"/>
          <w:sz w:val="20"/>
          <w:szCs w:val="20"/>
        </w:rPr>
        <w:t>HMP proto prostřednictvím Rady HMP odsouhlasilo uzavírání smluv TSK s provozovateli sdílené cyklomobility, a to jménem a na účet hl.</w:t>
      </w:r>
      <w:r w:rsidR="00E73AB9">
        <w:rPr>
          <w:rFonts w:ascii="Arial" w:eastAsia="Arial" w:hAnsi="Arial" w:cs="Arial"/>
          <w:sz w:val="20"/>
          <w:szCs w:val="20"/>
        </w:rPr>
        <w:t xml:space="preserve"> </w:t>
      </w:r>
      <w:r>
        <w:rPr>
          <w:rFonts w:ascii="Arial" w:eastAsia="Arial" w:hAnsi="Arial" w:cs="Arial"/>
          <w:sz w:val="20"/>
          <w:szCs w:val="20"/>
        </w:rPr>
        <w:t>m. Prahy, ve vztahu k pozemkům a komunikacím ve vlastnictví hl.</w:t>
      </w:r>
      <w:r w:rsidR="00E73AB9">
        <w:rPr>
          <w:rFonts w:ascii="Arial" w:eastAsia="Arial" w:hAnsi="Arial" w:cs="Arial"/>
          <w:sz w:val="20"/>
          <w:szCs w:val="20"/>
        </w:rPr>
        <w:t xml:space="preserve"> </w:t>
      </w:r>
      <w:r>
        <w:rPr>
          <w:rFonts w:ascii="Arial" w:eastAsia="Arial" w:hAnsi="Arial" w:cs="Arial"/>
          <w:sz w:val="20"/>
          <w:szCs w:val="20"/>
        </w:rPr>
        <w:t>m. Prahy nesvěřeným městským částem hl.</w:t>
      </w:r>
      <w:r w:rsidR="00E73AB9">
        <w:rPr>
          <w:rFonts w:ascii="Arial" w:eastAsia="Arial" w:hAnsi="Arial" w:cs="Arial"/>
          <w:sz w:val="20"/>
          <w:szCs w:val="20"/>
        </w:rPr>
        <w:t xml:space="preserve"> </w:t>
      </w:r>
      <w:r>
        <w:rPr>
          <w:rFonts w:ascii="Arial" w:eastAsia="Arial" w:hAnsi="Arial" w:cs="Arial"/>
          <w:sz w:val="20"/>
          <w:szCs w:val="20"/>
        </w:rPr>
        <w:t>m. Prahy ve správě TSK a na pozemcích a komunikacích ve vlastnictví hl.</w:t>
      </w:r>
      <w:r w:rsidR="00E73AB9">
        <w:rPr>
          <w:rFonts w:ascii="Arial" w:eastAsia="Arial" w:hAnsi="Arial" w:cs="Arial"/>
          <w:sz w:val="20"/>
          <w:szCs w:val="20"/>
        </w:rPr>
        <w:t xml:space="preserve"> </w:t>
      </w:r>
      <w:r>
        <w:rPr>
          <w:rFonts w:ascii="Arial" w:eastAsia="Arial" w:hAnsi="Arial" w:cs="Arial"/>
          <w:sz w:val="20"/>
          <w:szCs w:val="20"/>
        </w:rPr>
        <w:t>m. Prahy nesvěřených městským částem hl.</w:t>
      </w:r>
      <w:r w:rsidR="00E73AB9">
        <w:rPr>
          <w:rFonts w:ascii="Arial" w:eastAsia="Arial" w:hAnsi="Arial" w:cs="Arial"/>
          <w:sz w:val="20"/>
          <w:szCs w:val="20"/>
        </w:rPr>
        <w:t xml:space="preserve"> </w:t>
      </w:r>
      <w:r>
        <w:rPr>
          <w:rFonts w:ascii="Arial" w:eastAsia="Arial" w:hAnsi="Arial" w:cs="Arial"/>
          <w:sz w:val="20"/>
          <w:szCs w:val="20"/>
        </w:rPr>
        <w:t>m. Prahy bez správy TSK, požádalo TSK, aby zajistilo službu sdílených kol na pozemcích HMP, a to na základě usnesení Rady HMP ze dne 20.10.2025 , číslo 2373  (dále jen „</w:t>
      </w:r>
      <w:r>
        <w:rPr>
          <w:rFonts w:ascii="Arial" w:eastAsia="Arial" w:hAnsi="Arial" w:cs="Arial"/>
          <w:b/>
          <w:bCs/>
          <w:sz w:val="20"/>
          <w:szCs w:val="20"/>
        </w:rPr>
        <w:t>Usnesení HMP</w:t>
      </w:r>
      <w:r>
        <w:rPr>
          <w:rFonts w:ascii="Arial" w:eastAsia="Arial" w:hAnsi="Arial" w:cs="Arial"/>
          <w:sz w:val="20"/>
          <w:szCs w:val="20"/>
        </w:rPr>
        <w:t xml:space="preserve">“) ve spojení s usnesením Zastupitelstva HMP č. 26/6, ze dne 11.9.2025. Zajištění služby sdílených kol bude realizováno v režimu zvláštního užívání veřejného prostranství, které může HMP, jehož jménem a na jehož účet bude jednat TSK, za úplatu převést na provozovatele (podrobnosti týkající se rozsahu pověření jsou uvedeny v Usnesení HMP, ze kterého toto </w:t>
      </w:r>
      <w:r>
        <w:rPr>
          <w:rFonts w:ascii="Arial" w:eastAsia="Arial" w:hAnsi="Arial" w:cs="Arial"/>
          <w:sz w:val="20"/>
          <w:szCs w:val="20"/>
        </w:rPr>
        <w:lastRenderedPageBreak/>
        <w:t xml:space="preserve">zmocnění TSK vyplývá. Používá-li tato Smlouva termíny jako pozemky, území či veřejná prostranství HMP, jsou tím míněny i pozemky, území nebo veřejná prostranství vybraných městských částí, které TSK požádaly o zajištění služby sdílených kol ve stejném rozsahu a za stejných podmínek, není-li uvedeno výslovně jinak. Rady městských částí požádaly TSK o zajištění služby sdílených kol na základě vlastních usnesení.   </w:t>
      </w:r>
    </w:p>
    <w:p w14:paraId="4E292128" w14:textId="77777777" w:rsidR="00175781" w:rsidRDefault="00175781">
      <w:pPr>
        <w:jc w:val="both"/>
        <w:rPr>
          <w:rFonts w:ascii="Arial" w:eastAsia="Arial" w:hAnsi="Arial" w:cs="Arial"/>
          <w:sz w:val="20"/>
          <w:szCs w:val="20"/>
        </w:rPr>
      </w:pPr>
    </w:p>
    <w:p w14:paraId="1AE9D6B9" w14:textId="77777777" w:rsidR="00175781" w:rsidRDefault="00D26B9F">
      <w:pPr>
        <w:jc w:val="both"/>
        <w:rPr>
          <w:rFonts w:ascii="Arial" w:eastAsia="Arial" w:hAnsi="Arial" w:cs="Arial"/>
          <w:sz w:val="20"/>
          <w:szCs w:val="20"/>
        </w:rPr>
      </w:pPr>
      <w:r>
        <w:rPr>
          <w:rFonts w:ascii="Arial" w:eastAsia="Arial" w:hAnsi="Arial" w:cs="Arial"/>
          <w:sz w:val="20"/>
          <w:szCs w:val="20"/>
        </w:rPr>
        <w:t xml:space="preserve">Provozovatel má v úmyslu provozovat službu sdílených kol na území HMP a dodržovat pravidla stanovená touto Smlouvou. </w:t>
      </w:r>
    </w:p>
    <w:p w14:paraId="17DF2CDC" w14:textId="77777777" w:rsidR="00175781" w:rsidRDefault="00175781">
      <w:pPr>
        <w:jc w:val="both"/>
        <w:rPr>
          <w:rFonts w:ascii="Arial" w:eastAsia="Arial" w:hAnsi="Arial" w:cs="Arial"/>
          <w:sz w:val="20"/>
          <w:szCs w:val="20"/>
        </w:rPr>
      </w:pPr>
    </w:p>
    <w:p w14:paraId="67C8A97E" w14:textId="77777777" w:rsidR="00175781" w:rsidRDefault="00D26B9F">
      <w:pPr>
        <w:jc w:val="both"/>
        <w:rPr>
          <w:rFonts w:ascii="Arial" w:eastAsia="Arial" w:hAnsi="Arial" w:cs="Arial"/>
          <w:sz w:val="20"/>
          <w:szCs w:val="20"/>
        </w:rPr>
      </w:pPr>
      <w:r>
        <w:rPr>
          <w:rFonts w:ascii="Arial" w:eastAsia="Arial" w:hAnsi="Arial" w:cs="Arial"/>
          <w:sz w:val="20"/>
          <w:szCs w:val="20"/>
        </w:rPr>
        <w:t>Dynamické sdílení dat o provozování služby sdílených kol bude zajištěno ve formátu jednotného datového standardu MDS (Mobility Data Specification) (dále jen „</w:t>
      </w:r>
      <w:r>
        <w:rPr>
          <w:rFonts w:ascii="Arial" w:eastAsia="Arial" w:hAnsi="Arial" w:cs="Arial"/>
          <w:b/>
          <w:bCs/>
          <w:sz w:val="20"/>
          <w:szCs w:val="20"/>
        </w:rPr>
        <w:t>Jednotný datový standard MDS</w:t>
      </w:r>
      <w:r>
        <w:rPr>
          <w:rFonts w:ascii="Arial" w:eastAsia="Arial" w:hAnsi="Arial" w:cs="Arial"/>
          <w:sz w:val="20"/>
          <w:szCs w:val="20"/>
        </w:rPr>
        <w:t>“). Další podrobnosti týkající se sdílení dat stanoví tato Smlouva.</w:t>
      </w:r>
    </w:p>
    <w:p w14:paraId="181B421C" w14:textId="77777777" w:rsidR="00175781" w:rsidRDefault="00175781">
      <w:pPr>
        <w:jc w:val="both"/>
        <w:rPr>
          <w:rFonts w:ascii="Arial" w:eastAsia="Arial" w:hAnsi="Arial" w:cs="Arial"/>
          <w:sz w:val="20"/>
          <w:szCs w:val="20"/>
        </w:rPr>
      </w:pPr>
    </w:p>
    <w:p w14:paraId="68C3DEE5" w14:textId="77777777" w:rsidR="00175781" w:rsidRDefault="00D26B9F">
      <w:pPr>
        <w:jc w:val="both"/>
        <w:rPr>
          <w:rFonts w:ascii="Arial" w:eastAsia="Arial" w:hAnsi="Arial" w:cs="Arial"/>
          <w:sz w:val="20"/>
          <w:szCs w:val="20"/>
        </w:rPr>
      </w:pPr>
      <w:r>
        <w:rPr>
          <w:rFonts w:ascii="Arial" w:eastAsia="Arial" w:hAnsi="Arial" w:cs="Arial"/>
          <w:sz w:val="20"/>
          <w:szCs w:val="20"/>
        </w:rPr>
        <w:t xml:space="preserve">Strany mají společný zájem zajišťovat trvale udržitelný provoz a rozvoj služeb sdílených kol na území HMP. Vzhledem k nastavení obchodních vztahů mezi Stranami a jejich práv a povinností vyplývajících ze spolupráce při zajišťování služby sdílených kol se Strany rozhodly uzavřít tuto Smlouvu. </w:t>
      </w:r>
    </w:p>
    <w:p w14:paraId="3D4AF645" w14:textId="77777777" w:rsidR="00175781" w:rsidRDefault="00175781">
      <w:pPr>
        <w:jc w:val="both"/>
        <w:rPr>
          <w:rFonts w:ascii="Arial" w:eastAsia="Arial" w:hAnsi="Arial" w:cs="Arial"/>
          <w:sz w:val="20"/>
          <w:szCs w:val="20"/>
        </w:rPr>
      </w:pPr>
    </w:p>
    <w:p w14:paraId="7FD6914D" w14:textId="67195370" w:rsidR="00175781" w:rsidRDefault="00D26B9F">
      <w:pPr>
        <w:jc w:val="both"/>
        <w:rPr>
          <w:rFonts w:ascii="Arial" w:eastAsia="Arial" w:hAnsi="Arial" w:cs="Arial"/>
          <w:sz w:val="20"/>
          <w:szCs w:val="20"/>
        </w:rPr>
      </w:pPr>
      <w:r>
        <w:rPr>
          <w:rFonts w:ascii="Arial" w:eastAsia="Arial" w:hAnsi="Arial" w:cs="Arial"/>
          <w:sz w:val="20"/>
          <w:szCs w:val="20"/>
        </w:rPr>
        <w:t>Stanovení pravidel spolupráce při provozu sdílených kol na území HMP není veřejnou zakázkou ve smyslu zákona č. 134/2016 Sb., o zadávání veřejných zakázek, ve znění pozdějších pře</w:t>
      </w:r>
      <w:r w:rsidR="0049503C">
        <w:rPr>
          <w:rFonts w:ascii="Arial" w:eastAsia="Arial" w:hAnsi="Arial" w:cs="Arial"/>
          <w:sz w:val="20"/>
          <w:szCs w:val="20"/>
        </w:rPr>
        <w:t>d</w:t>
      </w:r>
      <w:r>
        <w:rPr>
          <w:rFonts w:ascii="Arial" w:eastAsia="Arial" w:hAnsi="Arial" w:cs="Arial"/>
          <w:sz w:val="20"/>
          <w:szCs w:val="20"/>
        </w:rPr>
        <w:t>pisů („</w:t>
      </w:r>
      <w:r>
        <w:rPr>
          <w:rFonts w:ascii="Arial" w:eastAsia="Arial" w:hAnsi="Arial" w:cs="Arial"/>
          <w:b/>
          <w:bCs/>
          <w:sz w:val="20"/>
          <w:szCs w:val="20"/>
        </w:rPr>
        <w:t>ZZVZ</w:t>
      </w:r>
      <w:r>
        <w:rPr>
          <w:rFonts w:ascii="Arial" w:eastAsia="Arial" w:hAnsi="Arial" w:cs="Arial"/>
          <w:sz w:val="20"/>
          <w:szCs w:val="20"/>
        </w:rPr>
        <w:t xml:space="preserve">“), a to zejména z toho důvodu, že TSK (i) nijak neomezuje počet provozovatelů, s nimiž naváže spolupráci za stejných podmínek, (ii) umožňuje jejich průběžné přistupování k této Smlouvě, (iii) nehodnotí ekonomickou výhodnost poskytované služby pro uživatele, (iv) stanoví fixní výši úplaty za zvláštní užívání veřejného prostranství na území HMP a (v) neukládá provozovatelům povinnost službu sdílených kol nabízet a poskytovat. </w:t>
      </w:r>
    </w:p>
    <w:p w14:paraId="659127D0" w14:textId="77777777" w:rsidR="00175781" w:rsidRDefault="00175781">
      <w:pPr>
        <w:jc w:val="both"/>
        <w:rPr>
          <w:rFonts w:ascii="Arial" w:eastAsia="Arial" w:hAnsi="Arial" w:cs="Arial"/>
          <w:sz w:val="20"/>
          <w:szCs w:val="20"/>
          <w:highlight w:val="yellow"/>
        </w:rPr>
      </w:pPr>
    </w:p>
    <w:p w14:paraId="0CB145AF" w14:textId="77777777" w:rsidR="00175781" w:rsidRDefault="00D26B9F">
      <w:pPr>
        <w:jc w:val="both"/>
        <w:rPr>
          <w:rFonts w:ascii="Arial" w:eastAsia="Arial" w:hAnsi="Arial" w:cs="Arial"/>
          <w:sz w:val="20"/>
          <w:szCs w:val="20"/>
        </w:rPr>
      </w:pPr>
      <w:r>
        <w:rPr>
          <w:rFonts w:ascii="Arial" w:eastAsia="Arial" w:hAnsi="Arial" w:cs="Arial"/>
          <w:sz w:val="20"/>
          <w:szCs w:val="20"/>
        </w:rPr>
        <w:t xml:space="preserve">Uvedený postup nepředstavuje narušení hospodářské soutěže. Při stanovení pravidel provozu sdílených kol a spolupráce s Provozovatelem se vychází ze základních zásad nakládání s veřejnými prostředky dle zákona č. 320/2001 Sb., o finanční kontrole, ve znění pozdějších předpisů, zejména pak z tzv. principů 3E (účelnost, efektivita a hospodárnost). </w:t>
      </w:r>
    </w:p>
    <w:p w14:paraId="07CB0C5D" w14:textId="77777777" w:rsidR="00175781" w:rsidRDefault="00175781">
      <w:pPr>
        <w:jc w:val="both"/>
        <w:rPr>
          <w:rFonts w:ascii="Arial" w:eastAsia="Arial" w:hAnsi="Arial" w:cs="Arial"/>
          <w:sz w:val="20"/>
          <w:szCs w:val="20"/>
        </w:rPr>
      </w:pPr>
    </w:p>
    <w:p w14:paraId="13A611B2" w14:textId="7C971D0F" w:rsidR="00175781" w:rsidRDefault="00D26B9F">
      <w:pPr>
        <w:jc w:val="both"/>
        <w:rPr>
          <w:rFonts w:ascii="Arial" w:eastAsia="Arial" w:hAnsi="Arial" w:cs="Arial"/>
          <w:sz w:val="20"/>
          <w:szCs w:val="20"/>
        </w:rPr>
      </w:pPr>
      <w:r>
        <w:rPr>
          <w:rFonts w:ascii="Arial" w:eastAsia="Arial" w:hAnsi="Arial" w:cs="Arial"/>
          <w:sz w:val="20"/>
          <w:szCs w:val="20"/>
        </w:rPr>
        <w:t>Osoby, které mají zájem stát se provozovateli dle této Smlouvy, ji mohou s HMP prostřednictvím TSK uzavřít na</w:t>
      </w:r>
      <w:r w:rsidR="00544B3C">
        <w:rPr>
          <w:rFonts w:ascii="Arial" w:eastAsia="Arial" w:hAnsi="Arial" w:cs="Arial"/>
          <w:sz w:val="20"/>
          <w:szCs w:val="20"/>
        </w:rPr>
        <w:t> </w:t>
      </w:r>
      <w:r>
        <w:rPr>
          <w:rFonts w:ascii="Arial" w:eastAsia="Arial" w:hAnsi="Arial" w:cs="Arial"/>
          <w:sz w:val="20"/>
          <w:szCs w:val="20"/>
        </w:rPr>
        <w:t xml:space="preserve">základě vlastní žádosti a doložení splnění podmínek provozování služby sdílených kol. </w:t>
      </w:r>
    </w:p>
    <w:p w14:paraId="65019F32" w14:textId="77777777" w:rsidR="00175781" w:rsidRDefault="00175781">
      <w:pPr>
        <w:jc w:val="both"/>
        <w:rPr>
          <w:rFonts w:ascii="Arial" w:eastAsia="Arial" w:hAnsi="Arial" w:cs="Arial"/>
          <w:sz w:val="20"/>
          <w:szCs w:val="20"/>
        </w:rPr>
      </w:pPr>
    </w:p>
    <w:p w14:paraId="0A453096" w14:textId="77777777" w:rsidR="00175781" w:rsidRDefault="00D26B9F">
      <w:pPr>
        <w:jc w:val="both"/>
        <w:rPr>
          <w:rFonts w:ascii="Arial" w:eastAsia="Arial" w:hAnsi="Arial" w:cs="Arial"/>
          <w:sz w:val="20"/>
          <w:szCs w:val="20"/>
        </w:rPr>
      </w:pPr>
      <w:r>
        <w:rPr>
          <w:rFonts w:ascii="Arial" w:eastAsia="Arial" w:hAnsi="Arial" w:cs="Arial"/>
          <w:sz w:val="20"/>
          <w:szCs w:val="20"/>
        </w:rPr>
        <w:t>Tato Smlouva od okamžiku své účinnosti zároveň plně nahrazuje Memorandum o poskytování sdílených jízdních kol na území HMP („</w:t>
      </w:r>
      <w:r>
        <w:rPr>
          <w:rFonts w:ascii="Arial" w:eastAsia="Arial" w:hAnsi="Arial" w:cs="Arial"/>
          <w:b/>
          <w:bCs/>
          <w:sz w:val="20"/>
          <w:szCs w:val="20"/>
        </w:rPr>
        <w:t>Memorandum</w:t>
      </w:r>
      <w:r>
        <w:rPr>
          <w:rFonts w:ascii="Arial" w:eastAsia="Arial" w:hAnsi="Arial" w:cs="Arial"/>
          <w:sz w:val="20"/>
          <w:szCs w:val="20"/>
        </w:rPr>
        <w:t>“), jestliže bylo Memorandum mezi HMP a Provozovatelem v minulosti uzavřeno. Tato Memoranda budou na základě Usnesení HMP vypovězena.</w:t>
      </w:r>
    </w:p>
    <w:p w14:paraId="1B65A1CB" w14:textId="77777777" w:rsidR="00175781" w:rsidRDefault="00175781">
      <w:pPr>
        <w:jc w:val="both"/>
        <w:rPr>
          <w:rFonts w:ascii="Arial" w:eastAsia="Arial" w:hAnsi="Arial" w:cs="Arial"/>
          <w:sz w:val="20"/>
          <w:szCs w:val="20"/>
        </w:rPr>
      </w:pPr>
    </w:p>
    <w:p w14:paraId="24FC9E2C" w14:textId="77777777" w:rsidR="00175781" w:rsidRDefault="00D26B9F">
      <w:pPr>
        <w:numPr>
          <w:ilvl w:val="0"/>
          <w:numId w:val="2"/>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b/>
          <w:bCs/>
          <w:color w:val="000000"/>
          <w:sz w:val="20"/>
          <w:szCs w:val="20"/>
        </w:rPr>
        <w:t>PŘEDMĚT A ÚČEL SMLOUVY / ZÁKLADNÍ POJMY</w:t>
      </w:r>
    </w:p>
    <w:p w14:paraId="0A4CC505" w14:textId="7DAB488A"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Účelem této Smlouvy je stanovit pravidla provozu služby sdílených kol na území HMP a vymezit podmínky spolupráce mezi HMP</w:t>
      </w:r>
      <w:r w:rsidR="00B62642">
        <w:rPr>
          <w:rFonts w:ascii="Arial" w:eastAsia="Arial" w:hAnsi="Arial" w:cs="Arial"/>
          <w:color w:val="000000"/>
          <w:sz w:val="20"/>
          <w:szCs w:val="20"/>
        </w:rPr>
        <w:t xml:space="preserve"> a</w:t>
      </w:r>
      <w:r>
        <w:rPr>
          <w:rFonts w:ascii="Arial" w:eastAsia="Arial" w:hAnsi="Arial" w:cs="Arial"/>
          <w:color w:val="000000"/>
          <w:sz w:val="20"/>
          <w:szCs w:val="20"/>
        </w:rPr>
        <w:t xml:space="preserve"> Provozovatelem, a dále zamezit negativním dopadům provozu služby sdílených kol na obyvatele a návštěvníky HMP. Tím se rozumí zejména zabránit narušování pokojného stavu užívání komunikací a narušování veřejného pořádku na území HMP. Uvádí-li tato Smlouva, že její Stranou je HMP, jedná jeho jménem a na jeho účet vždy TSK, není-li uvedeno výslovně jinak. Práva a povinnosti z této Smlouvy mohou samostatně zavazovat i TSK, je-li tato v konkrétním případě uvedena samostatně. </w:t>
      </w:r>
    </w:p>
    <w:p w14:paraId="3E2F0BC9"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Předmětem této Smlouvy je stanovení vzájemných práv a povinností Stran při provozu služby sdílených kol na území HMP a udělení úplatného souhlasu se zvláštním užíváním veřejného prostranství provozovatelům.  </w:t>
      </w:r>
    </w:p>
    <w:p w14:paraId="2DE3F5FD"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Pro účely této Smlouvy se službou sdílených kol rozumí krátkodobý nájem jízdních kol a elektrokol nabízený Provozovatelem blíže neurčitému okruhu koncových uživatelů, přičemž:</w:t>
      </w:r>
    </w:p>
    <w:p w14:paraId="1D60A7D4" w14:textId="77777777" w:rsidR="00175781" w:rsidRDefault="00D26B9F">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jízdním kolem se rozumí jednostopé nemotorové vozidlo s jedním sedlem pohybující se výhradně pomocí lidské síly šlapáním do pedálů („</w:t>
      </w:r>
      <w:r>
        <w:rPr>
          <w:rFonts w:ascii="Arial" w:eastAsia="Arial" w:hAnsi="Arial" w:cs="Arial"/>
          <w:b/>
          <w:bCs/>
          <w:color w:val="000000"/>
          <w:sz w:val="20"/>
          <w:szCs w:val="20"/>
        </w:rPr>
        <w:t>Jízdní kolo</w:t>
      </w:r>
      <w:r>
        <w:rPr>
          <w:rFonts w:ascii="Arial" w:eastAsia="Arial" w:hAnsi="Arial" w:cs="Arial"/>
          <w:color w:val="000000"/>
          <w:sz w:val="20"/>
          <w:szCs w:val="20"/>
        </w:rPr>
        <w:t xml:space="preserve">“); </w:t>
      </w:r>
    </w:p>
    <w:p w14:paraId="20133D58" w14:textId="3257A335" w:rsidR="00175781" w:rsidRDefault="00D26B9F">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elektrokolem se rozumí jednostopé vozidlo bez spalovacího motoru s jedním sedlem, pohybující se pomocí lidské síly šlapáním do pedálů, které je vybaveno přídavným elektrickým motorem s maximálním trvalým výkonem nižším nebo rovným 250 W (Wattů), jehož elektrický motor je vyřazen </w:t>
      </w:r>
      <w:r>
        <w:rPr>
          <w:rFonts w:ascii="Arial" w:eastAsia="Arial" w:hAnsi="Arial" w:cs="Arial"/>
          <w:color w:val="000000"/>
          <w:sz w:val="20"/>
          <w:szCs w:val="20"/>
        </w:rPr>
        <w:lastRenderedPageBreak/>
        <w:t>z činnosti, jestliže cyklista přestane šlapat; a jinak je jeho výkon postupně snižován až do vyřazení motoru z činnosti, dokud rychlost vozidla nedosáhne 25 km/h („</w:t>
      </w:r>
      <w:r>
        <w:rPr>
          <w:rFonts w:ascii="Arial" w:eastAsia="Arial" w:hAnsi="Arial" w:cs="Arial"/>
          <w:b/>
          <w:bCs/>
          <w:color w:val="000000"/>
          <w:sz w:val="20"/>
          <w:szCs w:val="20"/>
        </w:rPr>
        <w:t>Elektrokolo</w:t>
      </w:r>
      <w:r>
        <w:rPr>
          <w:rFonts w:ascii="Arial" w:eastAsia="Arial" w:hAnsi="Arial" w:cs="Arial"/>
          <w:color w:val="000000"/>
          <w:sz w:val="20"/>
          <w:szCs w:val="20"/>
        </w:rPr>
        <w:t>“; Elektrokolo společně s Jízdním kolem pak „</w:t>
      </w:r>
      <w:r>
        <w:rPr>
          <w:rFonts w:ascii="Arial" w:eastAsia="Arial" w:hAnsi="Arial" w:cs="Arial"/>
          <w:b/>
          <w:bCs/>
          <w:color w:val="000000"/>
          <w:sz w:val="20"/>
          <w:szCs w:val="20"/>
        </w:rPr>
        <w:t>Vozidlo</w:t>
      </w:r>
      <w:r>
        <w:rPr>
          <w:rFonts w:ascii="Arial" w:eastAsia="Arial" w:hAnsi="Arial" w:cs="Arial"/>
          <w:color w:val="000000"/>
          <w:sz w:val="20"/>
          <w:szCs w:val="20"/>
        </w:rPr>
        <w:t xml:space="preserve">“); </w:t>
      </w:r>
    </w:p>
    <w:p w14:paraId="1D251DD5" w14:textId="77777777" w:rsidR="00175781" w:rsidRDefault="00D26B9F">
      <w:pPr>
        <w:numPr>
          <w:ilvl w:val="0"/>
          <w:numId w:val="4"/>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color w:val="000000"/>
          <w:sz w:val="20"/>
          <w:szCs w:val="20"/>
        </w:rPr>
        <w:t>za Vozidlo dle definice v písm. a) a b) tohoto článku Smlouvy není považována koloběžka ani elektrokoloběžka, trojkolka ani elektrotrojkolka, vícekolka nebo elektrovícekolka, ani jakékoliv obdobné zařízení; a současně ani jakékoliv zařízení se spalovacím motorem.</w:t>
      </w:r>
    </w:p>
    <w:p w14:paraId="33F62515"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HMP je po dohodě s Provozovatelem oprávněno formulovat po dobu trvání této Smlouvy dodatečné požadavky na technickou výbavu Vozidel. </w:t>
      </w:r>
    </w:p>
    <w:p w14:paraId="04F97305"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0" w:name="_b9jdo2gme067" w:colFirst="0" w:colLast="0"/>
      <w:bookmarkEnd w:id="0"/>
      <w:r>
        <w:rPr>
          <w:rFonts w:ascii="Arial" w:eastAsia="Arial" w:hAnsi="Arial" w:cs="Arial"/>
          <w:color w:val="000000"/>
          <w:sz w:val="20"/>
          <w:szCs w:val="20"/>
        </w:rPr>
        <w:t xml:space="preserve">Koncovým uživatelem se rozumí jakákoliv třetí osoba, které Provozovatel přenechal Vozidlo k úplatnému užívání (krátkodobému nájmu). Za úplatné užívání se považuje i přenechání Vozidla koncovým uživatelům s dočasným cenovým zvýhodněním nebo v některých případech i zcela bezúplatně (např. jako bonus při registraci v systému / aplikaci Provozovatele, nebo jako finanční zvýhodnění v souvislosti s možností koncových uživatelů účastnit se pražské hromadné dopravy). </w:t>
      </w:r>
    </w:p>
    <w:p w14:paraId="70BE38DE"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Provozovateli na základě této Smlouvy nevzniká povinnost službu sdílení kol na území HMP realizovat, ovšem bude-li tak činit, musí postupovat v souladu s touto Smlouvou. HMP naproti tomu nemá právo poskytování služby sdílených kol na území HMP u Provozovatele vynucovat (jednotlivé povinnosti dle této Smlouvy však vynucovat může).  </w:t>
      </w:r>
    </w:p>
    <w:p w14:paraId="4C988360" w14:textId="62508A3F"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Provozovatel bere výslovně na vědomí, že HMP je oprávněno umožnit provozování služeb sdílených kol ve</w:t>
      </w:r>
      <w:r w:rsidR="004E21E1">
        <w:rPr>
          <w:rFonts w:ascii="Arial" w:eastAsia="Arial" w:hAnsi="Arial" w:cs="Arial"/>
          <w:color w:val="000000"/>
          <w:sz w:val="20"/>
          <w:szCs w:val="20"/>
        </w:rPr>
        <w:t> </w:t>
      </w:r>
      <w:r>
        <w:rPr>
          <w:rFonts w:ascii="Arial" w:eastAsia="Arial" w:hAnsi="Arial" w:cs="Arial"/>
          <w:color w:val="000000"/>
          <w:sz w:val="20"/>
          <w:szCs w:val="20"/>
        </w:rPr>
        <w:t xml:space="preserve">stejném rozsahu i jiným provozovatelům, nebo si tento druh služeb zajistit i vlastními silami. Tím se rozumí zejména to, že TSK nebo HMP mohou založit právnickou osobu zřízenou k tomuto účelu. </w:t>
      </w:r>
    </w:p>
    <w:p w14:paraId="11F4D4EA" w14:textId="3DE3144F"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HMP se zavazuje, že nebude jednotlivé provozovatele zvýhodňovat na úkor jiných, ale všem bude zajišťovat rovné podmínky vzájemné spolupráce dle této Smlouvy. To neplatí, pokud bude TSK nebo HMP provozovat služby sdílení kol vlastními silami, tj. např. prostřednictvím právnické osoby zřízené k tomuto účelu. Jiné podmínky pro takovou právnickou osobu mohou spočívat zejména ve zřízení výhradních míst pro odkládání Vozidel, zajištění jejich stanovišť, marketingové propagaci a </w:t>
      </w:r>
      <w:r w:rsidR="001466F7">
        <w:rPr>
          <w:rFonts w:ascii="Arial" w:eastAsia="Arial" w:hAnsi="Arial" w:cs="Arial"/>
          <w:color w:val="000000"/>
          <w:sz w:val="20"/>
          <w:szCs w:val="20"/>
        </w:rPr>
        <w:t>jiných úkonech</w:t>
      </w:r>
      <w:r>
        <w:rPr>
          <w:rFonts w:ascii="Arial" w:eastAsia="Arial" w:hAnsi="Arial" w:cs="Arial"/>
          <w:color w:val="000000"/>
          <w:sz w:val="20"/>
          <w:szCs w:val="20"/>
        </w:rPr>
        <w:t xml:space="preserve">, to však vždy s dodržením pravidel zákazu nekalé soutěže dle § 2976 a násl. Občanského zákoníku.     </w:t>
      </w:r>
    </w:p>
    <w:p w14:paraId="7898E314" w14:textId="77777777" w:rsidR="00175781" w:rsidRDefault="00D26B9F">
      <w:pPr>
        <w:numPr>
          <w:ilvl w:val="0"/>
          <w:numId w:val="2"/>
        </w:numPr>
        <w:pBdr>
          <w:top w:val="nil"/>
          <w:left w:val="nil"/>
          <w:bottom w:val="nil"/>
          <w:right w:val="nil"/>
          <w:between w:val="nil"/>
        </w:pBdr>
        <w:spacing w:after="200" w:line="276" w:lineRule="auto"/>
        <w:jc w:val="both"/>
        <w:rPr>
          <w:rFonts w:ascii="Arial" w:eastAsia="Arial" w:hAnsi="Arial" w:cs="Arial"/>
          <w:color w:val="000000"/>
          <w:sz w:val="20"/>
          <w:szCs w:val="20"/>
        </w:rPr>
      </w:pPr>
      <w:bookmarkStart w:id="1" w:name="_fptg53tt9448" w:colFirst="0" w:colLast="0"/>
      <w:bookmarkEnd w:id="1"/>
      <w:r>
        <w:rPr>
          <w:rFonts w:ascii="Arial" w:eastAsia="Arial" w:hAnsi="Arial" w:cs="Arial"/>
          <w:b/>
          <w:bCs/>
          <w:color w:val="000000"/>
          <w:sz w:val="20"/>
          <w:szCs w:val="20"/>
        </w:rPr>
        <w:t>PRÁVA A POVINNOSTI PROVOZOVATELE</w:t>
      </w:r>
    </w:p>
    <w:p w14:paraId="1C4C80CF"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HMP v souladu s Usnesením HMP uděluje touto Smlouvou úplatný souhlas Provozovateli ke zvláštnímu užívání veřejného prostranství </w:t>
      </w:r>
      <w:r>
        <w:rPr>
          <w:rFonts w:ascii="Arial" w:eastAsia="Arial" w:hAnsi="Arial" w:cs="Arial"/>
          <w:sz w:val="20"/>
          <w:szCs w:val="20"/>
        </w:rPr>
        <w:t xml:space="preserve">ve vlastnictví HMP </w:t>
      </w:r>
      <w:r>
        <w:rPr>
          <w:rFonts w:ascii="Arial" w:eastAsia="Arial" w:hAnsi="Arial" w:cs="Arial"/>
          <w:color w:val="000000"/>
          <w:sz w:val="20"/>
          <w:szCs w:val="20"/>
        </w:rPr>
        <w:t xml:space="preserve">za účelem a v souvislosti s provozováním služby sdílených kol, a to zejména k využívání Pevných stanovišť a Vyznačených stanovišť, jak jsou dále definována v této Smlouvě.   </w:t>
      </w:r>
    </w:p>
    <w:p w14:paraId="3DF6597E"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Provozovatel má povinnost dodržovat veškerá pravidla pro provoz služby sdílených kol na území HMP dle této Smlouvy.</w:t>
      </w:r>
    </w:p>
    <w:p w14:paraId="2ED41DE0"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2" w:name="_crp0oh8ha7k9" w:colFirst="0" w:colLast="0"/>
      <w:bookmarkEnd w:id="2"/>
      <w:r>
        <w:rPr>
          <w:rFonts w:ascii="Arial" w:eastAsia="Arial" w:hAnsi="Arial" w:cs="Arial"/>
          <w:color w:val="000000"/>
          <w:sz w:val="20"/>
          <w:szCs w:val="20"/>
        </w:rPr>
        <w:t xml:space="preserve">Provozovatel je povinen postupovat při provozu služby sdílených kol s náležitou odbornou péčí, s využitím všech svých znalostí a dovedností tak, aby tato služba byla koncovým uživatelům poskytována bezpečně a v nejlepší kvalitě. Provozovatel se zavazuje, že službu sdílených kol bude provádět takovým způsobem, aby byly splněny veškeré podmínky stanovené platnými právními předpisy České republiky, Evropské unie a předpisy HMP.  </w:t>
      </w:r>
    </w:p>
    <w:p w14:paraId="1A8AF1D2" w14:textId="79D14D18"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Provozovatel bude při provozu služby sdílených kol poskytovat koncovým uživatelům pouze Vozidla splňujících technické podmínky pro provoz na pozemních komunikacích se specifikací odpovídající vyhlášce č. 153/2023 Sb., o schvalování technické způsobilosti vozidel a technických podmínkách provozu vozidel </w:t>
      </w:r>
      <w:r>
        <w:rPr>
          <w:rFonts w:ascii="Arial" w:eastAsia="Arial" w:hAnsi="Arial" w:cs="Arial"/>
          <w:color w:val="000000"/>
          <w:sz w:val="20"/>
          <w:szCs w:val="20"/>
        </w:rPr>
        <w:lastRenderedPageBreak/>
        <w:t>na</w:t>
      </w:r>
      <w:r w:rsidR="00C812C7">
        <w:rPr>
          <w:rFonts w:ascii="Arial" w:eastAsia="Arial" w:hAnsi="Arial" w:cs="Arial"/>
          <w:color w:val="000000"/>
          <w:sz w:val="20"/>
          <w:szCs w:val="20"/>
        </w:rPr>
        <w:t> </w:t>
      </w:r>
      <w:r>
        <w:rPr>
          <w:rFonts w:ascii="Arial" w:eastAsia="Arial" w:hAnsi="Arial" w:cs="Arial"/>
          <w:color w:val="000000"/>
          <w:sz w:val="20"/>
          <w:szCs w:val="20"/>
        </w:rPr>
        <w:t>pozemních komunikacích, ve znění pozdějších předpisů („</w:t>
      </w:r>
      <w:r>
        <w:rPr>
          <w:rFonts w:ascii="Arial" w:eastAsia="Arial" w:hAnsi="Arial" w:cs="Arial"/>
          <w:b/>
          <w:bCs/>
          <w:color w:val="000000"/>
          <w:sz w:val="20"/>
          <w:szCs w:val="20"/>
        </w:rPr>
        <w:t>Vyhláška č. 153/2023</w:t>
      </w:r>
      <w:r>
        <w:rPr>
          <w:rFonts w:ascii="Arial" w:eastAsia="Arial" w:hAnsi="Arial" w:cs="Arial"/>
          <w:color w:val="000000"/>
          <w:sz w:val="20"/>
          <w:szCs w:val="20"/>
        </w:rPr>
        <w:t xml:space="preserve">“). Všechna Vozidla budou opatřena logem Provozovatele. </w:t>
      </w:r>
    </w:p>
    <w:p w14:paraId="5F6BB7CA"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3" w:name="_5bdv1hgasq8b" w:colFirst="0" w:colLast="0"/>
      <w:bookmarkEnd w:id="3"/>
      <w:r>
        <w:rPr>
          <w:rFonts w:ascii="Arial" w:eastAsia="Arial" w:hAnsi="Arial" w:cs="Arial"/>
          <w:color w:val="000000"/>
          <w:sz w:val="20"/>
          <w:szCs w:val="20"/>
        </w:rPr>
        <w:t xml:space="preserve">Provozovatel bude prokazatelně seznamovat koncové uživatele Vozidel s podmínkami jejich použití a obsluhy. Tyto podmínky použití a obsluhy musí být v souladu s obsahem této Smlouvy. </w:t>
      </w:r>
    </w:p>
    <w:p w14:paraId="4276AA8E"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4" w:name="_bwo2mvwypd0h" w:colFirst="0" w:colLast="0"/>
      <w:bookmarkEnd w:id="4"/>
      <w:r>
        <w:rPr>
          <w:rFonts w:ascii="Arial" w:eastAsia="Arial" w:hAnsi="Arial" w:cs="Arial"/>
          <w:color w:val="000000"/>
          <w:sz w:val="20"/>
          <w:szCs w:val="20"/>
        </w:rPr>
        <w:t>Při provozování služby sdílených kol je Provozovatel povinen využívat k umístění Vozidel výhradně tzv. pevná stanoviště („</w:t>
      </w:r>
      <w:r>
        <w:rPr>
          <w:rFonts w:ascii="Arial" w:eastAsia="Arial" w:hAnsi="Arial" w:cs="Arial"/>
          <w:b/>
          <w:bCs/>
          <w:color w:val="000000"/>
          <w:sz w:val="20"/>
          <w:szCs w:val="20"/>
        </w:rPr>
        <w:t>Pevná stanoviště</w:t>
      </w:r>
      <w:r>
        <w:rPr>
          <w:rFonts w:ascii="Arial" w:eastAsia="Arial" w:hAnsi="Arial" w:cs="Arial"/>
          <w:color w:val="000000"/>
          <w:sz w:val="20"/>
          <w:szCs w:val="20"/>
        </w:rPr>
        <w:t>“) nebo vyznačená stanoviště („</w:t>
      </w:r>
      <w:r>
        <w:rPr>
          <w:rFonts w:ascii="Arial" w:eastAsia="Arial" w:hAnsi="Arial" w:cs="Arial"/>
          <w:b/>
          <w:bCs/>
          <w:color w:val="000000"/>
          <w:sz w:val="20"/>
          <w:szCs w:val="20"/>
        </w:rPr>
        <w:t>Vyznačená stanoviště</w:t>
      </w:r>
      <w:r>
        <w:rPr>
          <w:rFonts w:ascii="Arial" w:eastAsia="Arial" w:hAnsi="Arial" w:cs="Arial"/>
          <w:color w:val="000000"/>
          <w:sz w:val="20"/>
          <w:szCs w:val="20"/>
        </w:rPr>
        <w:t>“), přičemž:</w:t>
      </w:r>
    </w:p>
    <w:p w14:paraId="5D79F22F" w14:textId="06A37B65" w:rsidR="00175781" w:rsidRDefault="00D26B9F">
      <w:pPr>
        <w:numPr>
          <w:ilvl w:val="0"/>
          <w:numId w:val="5"/>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Pevným stanovištěm se rozumí stanoviště s p</w:t>
      </w:r>
      <w:r w:rsidR="00472E76">
        <w:rPr>
          <w:rFonts w:ascii="Arial" w:eastAsia="Arial" w:hAnsi="Arial" w:cs="Arial"/>
          <w:color w:val="000000"/>
          <w:sz w:val="20"/>
          <w:szCs w:val="20"/>
        </w:rPr>
        <w:t>e</w:t>
      </w:r>
      <w:r>
        <w:rPr>
          <w:rFonts w:ascii="Arial" w:eastAsia="Arial" w:hAnsi="Arial" w:cs="Arial"/>
          <w:color w:val="000000"/>
          <w:sz w:val="20"/>
          <w:szCs w:val="20"/>
        </w:rPr>
        <w:t xml:space="preserve">vně vymezenou kapacitou, ze které bude 80 %, nejméně však 40 míst, ponecháno k využití pro všechny provozovatele rovným dílem. Zbylých 20 % kapacity Pevného stanoviště je ponecháno k dispozici pro parkování Vozidel veřejnosti (případné překročení kapacity vyhrazené pro veřejnost jde k tíži všech provozovatelů).  </w:t>
      </w:r>
    </w:p>
    <w:p w14:paraId="2A4CE4CB" w14:textId="77777777" w:rsidR="00175781" w:rsidRDefault="00D26B9F">
      <w:pPr>
        <w:numPr>
          <w:ilvl w:val="0"/>
          <w:numId w:val="5"/>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Vyznačeným stanovištěm je rozuměno stanoviště vyznačené horizontálním značením. Pokud nemá konkrétní stanoviště v Jednotném datovém standardu MDS uvedenou kapacitu, jedná se vždy o Vyznačené stanoviště.</w:t>
      </w:r>
    </w:p>
    <w:p w14:paraId="62F212EA" w14:textId="1F78326B" w:rsidR="00175781" w:rsidRDefault="00D26B9F">
      <w:pPr>
        <w:numPr>
          <w:ilvl w:val="0"/>
          <w:numId w:val="5"/>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Bude-li to možné s ohledem na místo na území HMP, na kterém se Pevné stanoviště nebo Vyznačené stanoviště nachází, označí jej TSK jednotným způsobem (např. piktogramy, flexi-sloupky, příp. jinak), aby se zabránilo parkování jiných dopravních prostředků než Vozidel, nebo případně takových dopravních prostředků, které jsou k tomu oprávněny v souladu s dopravním značením. </w:t>
      </w:r>
    </w:p>
    <w:p w14:paraId="713D9160" w14:textId="65EDA1BB"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5" w:name="_tzq1eylg9bj5" w:colFirst="0" w:colLast="0"/>
      <w:bookmarkStart w:id="6" w:name="_Ref217309605"/>
      <w:bookmarkEnd w:id="5"/>
      <w:r>
        <w:rPr>
          <w:rFonts w:ascii="Arial" w:eastAsia="Arial" w:hAnsi="Arial" w:cs="Arial"/>
          <w:color w:val="000000"/>
          <w:sz w:val="20"/>
          <w:szCs w:val="20"/>
        </w:rPr>
        <w:t>Vozidlo musí být koncovým uživatelům nabízeno k užívání pouze z Pevného stanoviště nebo z</w:t>
      </w:r>
      <w:r w:rsidR="002F180F">
        <w:rPr>
          <w:rFonts w:ascii="Arial" w:eastAsia="Arial" w:hAnsi="Arial" w:cs="Arial"/>
          <w:color w:val="000000"/>
          <w:sz w:val="20"/>
          <w:szCs w:val="20"/>
        </w:rPr>
        <w:t> </w:t>
      </w:r>
      <w:r>
        <w:rPr>
          <w:rFonts w:ascii="Arial" w:eastAsia="Arial" w:hAnsi="Arial" w:cs="Arial"/>
          <w:color w:val="000000"/>
          <w:sz w:val="20"/>
          <w:szCs w:val="20"/>
        </w:rPr>
        <w:t>Vyznačeného stanoviště, do nichž musí být následně i vráceno. Přitom platí, že zahájení užívání vozidla z Pevného stanoviště může být ukončeno ve Vyznačeném stanovišti a naopak. To neplatí, jestliže koncový uživatel zahajuje nebo ukončuje výpůjčku na místě, které si Provozovatel sjednal pro tento účel soukromě.</w:t>
      </w:r>
      <w:bookmarkEnd w:id="6"/>
      <w:r>
        <w:rPr>
          <w:rFonts w:ascii="Arial" w:eastAsia="Arial" w:hAnsi="Arial" w:cs="Arial"/>
          <w:color w:val="000000"/>
          <w:sz w:val="20"/>
          <w:szCs w:val="20"/>
        </w:rPr>
        <w:t xml:space="preserve"> </w:t>
      </w:r>
    </w:p>
    <w:p w14:paraId="61FF097B" w14:textId="37C760AA"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7" w:name="_Ref217307507"/>
      <w:r>
        <w:rPr>
          <w:rFonts w:ascii="Arial" w:eastAsia="Arial" w:hAnsi="Arial" w:cs="Arial"/>
          <w:color w:val="000000"/>
          <w:sz w:val="20"/>
          <w:szCs w:val="20"/>
        </w:rPr>
        <w:t xml:space="preserve">Pokud bude Vozidlo po ukončení výpůjčky koncovým uživatelem v rozporu s ustanovením čl. </w:t>
      </w:r>
      <w:r w:rsidR="00423913">
        <w:rPr>
          <w:rFonts w:ascii="Arial" w:eastAsia="Arial" w:hAnsi="Arial" w:cs="Arial"/>
          <w:color w:val="000000"/>
          <w:sz w:val="20"/>
          <w:szCs w:val="20"/>
        </w:rPr>
        <w:fldChar w:fldCharType="begin"/>
      </w:r>
      <w:r w:rsidR="00423913">
        <w:rPr>
          <w:rFonts w:ascii="Arial" w:eastAsia="Arial" w:hAnsi="Arial" w:cs="Arial"/>
          <w:color w:val="000000"/>
          <w:sz w:val="20"/>
          <w:szCs w:val="20"/>
        </w:rPr>
        <w:instrText xml:space="preserve"> REF _Ref217309605 \r \h </w:instrText>
      </w:r>
      <w:r w:rsidR="00423913">
        <w:rPr>
          <w:rFonts w:ascii="Arial" w:eastAsia="Arial" w:hAnsi="Arial" w:cs="Arial"/>
          <w:color w:val="000000"/>
          <w:sz w:val="20"/>
          <w:szCs w:val="20"/>
        </w:rPr>
      </w:r>
      <w:r w:rsidR="00423913">
        <w:rPr>
          <w:rFonts w:ascii="Arial" w:eastAsia="Arial" w:hAnsi="Arial" w:cs="Arial"/>
          <w:color w:val="000000"/>
          <w:sz w:val="20"/>
          <w:szCs w:val="20"/>
        </w:rPr>
        <w:fldChar w:fldCharType="separate"/>
      </w:r>
      <w:r w:rsidR="00423913">
        <w:rPr>
          <w:rFonts w:ascii="Arial" w:eastAsia="Arial" w:hAnsi="Arial" w:cs="Arial"/>
          <w:color w:val="000000"/>
          <w:sz w:val="20"/>
          <w:szCs w:val="20"/>
        </w:rPr>
        <w:t>2.7</w:t>
      </w:r>
      <w:r w:rsidR="00423913">
        <w:rPr>
          <w:rFonts w:ascii="Arial" w:eastAsia="Arial" w:hAnsi="Arial" w:cs="Arial"/>
          <w:color w:val="000000"/>
          <w:sz w:val="20"/>
          <w:szCs w:val="20"/>
        </w:rPr>
        <w:fldChar w:fldCharType="end"/>
      </w:r>
      <w:r w:rsidR="00423913">
        <w:rPr>
          <w:rFonts w:ascii="Arial" w:eastAsia="Arial" w:hAnsi="Arial" w:cs="Arial"/>
          <w:color w:val="000000"/>
          <w:sz w:val="20"/>
          <w:szCs w:val="20"/>
        </w:rPr>
        <w:t xml:space="preserve"> </w:t>
      </w:r>
      <w:r>
        <w:rPr>
          <w:rFonts w:ascii="Arial" w:eastAsia="Arial" w:hAnsi="Arial" w:cs="Arial"/>
          <w:color w:val="000000"/>
          <w:sz w:val="20"/>
          <w:szCs w:val="20"/>
        </w:rPr>
        <w:t>této Smlouvy ponecháno na jiném místě, než je Pevné stanoviště nebo Vyznačené stanoviště, má Provozovatel povinnost odstranit Vozidlo z tohoto místa. Odstranění Vozidla je Provozovatel povinen zajistit v následujících časových intervalech:</w:t>
      </w:r>
      <w:bookmarkEnd w:id="7"/>
    </w:p>
    <w:p w14:paraId="101BAC65" w14:textId="77777777" w:rsidR="00175781" w:rsidRDefault="00D26B9F" w:rsidP="00C8522B">
      <w:pPr>
        <w:numPr>
          <w:ilvl w:val="0"/>
          <w:numId w:val="6"/>
        </w:numPr>
        <w:pBdr>
          <w:top w:val="nil"/>
          <w:left w:val="nil"/>
          <w:bottom w:val="nil"/>
          <w:right w:val="nil"/>
          <w:between w:val="nil"/>
        </w:pBdr>
        <w:spacing w:after="120" w:line="276" w:lineRule="auto"/>
        <w:ind w:left="1208" w:hanging="357"/>
        <w:jc w:val="both"/>
        <w:rPr>
          <w:rFonts w:ascii="Arial" w:eastAsia="Arial" w:hAnsi="Arial" w:cs="Arial"/>
          <w:color w:val="000000"/>
          <w:sz w:val="20"/>
          <w:szCs w:val="20"/>
        </w:rPr>
      </w:pPr>
      <w:r>
        <w:rPr>
          <w:rFonts w:ascii="Arial" w:eastAsia="Arial" w:hAnsi="Arial" w:cs="Arial"/>
          <w:sz w:val="20"/>
          <w:szCs w:val="20"/>
        </w:rPr>
        <w:t>v pracovních dnech:</w:t>
      </w:r>
    </w:p>
    <w:p w14:paraId="10B16A13" w14:textId="77777777" w:rsidR="00175781" w:rsidRDefault="00D26B9F" w:rsidP="00C8522B">
      <w:pPr>
        <w:numPr>
          <w:ilvl w:val="1"/>
          <w:numId w:val="6"/>
        </w:numPr>
        <w:pBdr>
          <w:top w:val="nil"/>
          <w:left w:val="nil"/>
          <w:bottom w:val="nil"/>
          <w:right w:val="nil"/>
          <w:between w:val="nil"/>
        </w:pBdr>
        <w:spacing w:after="120" w:line="276" w:lineRule="auto"/>
        <w:ind w:left="1928" w:hanging="357"/>
        <w:jc w:val="both"/>
        <w:rPr>
          <w:rFonts w:ascii="Arial" w:eastAsia="Arial" w:hAnsi="Arial" w:cs="Arial"/>
          <w:color w:val="000000"/>
          <w:sz w:val="20"/>
          <w:szCs w:val="20"/>
        </w:rPr>
      </w:pPr>
      <w:r>
        <w:rPr>
          <w:rFonts w:ascii="Arial" w:eastAsia="Arial" w:hAnsi="Arial" w:cs="Arial"/>
          <w:color w:val="000000"/>
          <w:sz w:val="20"/>
          <w:szCs w:val="20"/>
        </w:rPr>
        <w:t>v době od 20.00 hod. do 06.00 následujícího dne nejpozději do 12.00 tohoto dne,</w:t>
      </w:r>
    </w:p>
    <w:p w14:paraId="013F040B" w14:textId="3DE4704F" w:rsidR="00175781" w:rsidRDefault="00D26B9F" w:rsidP="00C8522B">
      <w:pPr>
        <w:numPr>
          <w:ilvl w:val="1"/>
          <w:numId w:val="6"/>
        </w:numPr>
        <w:pBdr>
          <w:top w:val="nil"/>
          <w:left w:val="nil"/>
          <w:bottom w:val="nil"/>
          <w:right w:val="nil"/>
          <w:between w:val="nil"/>
        </w:pBdr>
        <w:spacing w:after="120" w:line="276" w:lineRule="auto"/>
        <w:ind w:left="1928" w:hanging="357"/>
        <w:jc w:val="both"/>
        <w:rPr>
          <w:rFonts w:ascii="Arial" w:eastAsia="Arial" w:hAnsi="Arial" w:cs="Arial"/>
          <w:color w:val="000000"/>
          <w:sz w:val="20"/>
          <w:szCs w:val="20"/>
        </w:rPr>
      </w:pPr>
      <w:r>
        <w:rPr>
          <w:rFonts w:ascii="Arial" w:eastAsia="Arial" w:hAnsi="Arial" w:cs="Arial"/>
          <w:color w:val="000000"/>
          <w:sz w:val="20"/>
          <w:szCs w:val="20"/>
        </w:rPr>
        <w:t>v době od 0</w:t>
      </w:r>
      <w:r>
        <w:rPr>
          <w:rFonts w:ascii="Arial" w:eastAsia="Arial" w:hAnsi="Arial" w:cs="Arial"/>
          <w:sz w:val="20"/>
          <w:szCs w:val="20"/>
        </w:rPr>
        <w:t>6</w:t>
      </w:r>
      <w:r>
        <w:rPr>
          <w:rFonts w:ascii="Arial" w:eastAsia="Arial" w:hAnsi="Arial" w:cs="Arial"/>
          <w:color w:val="000000"/>
          <w:sz w:val="20"/>
          <w:szCs w:val="20"/>
        </w:rPr>
        <w:t>.00 hod. do 14.</w:t>
      </w:r>
      <w:r>
        <w:rPr>
          <w:rFonts w:ascii="Arial" w:eastAsia="Arial" w:hAnsi="Arial" w:cs="Arial"/>
          <w:sz w:val="20"/>
          <w:szCs w:val="20"/>
        </w:rPr>
        <w:t>00</w:t>
      </w:r>
      <w:r>
        <w:rPr>
          <w:rFonts w:ascii="Arial" w:eastAsia="Arial" w:hAnsi="Arial" w:cs="Arial"/>
          <w:color w:val="000000"/>
          <w:sz w:val="20"/>
          <w:szCs w:val="20"/>
        </w:rPr>
        <w:t xml:space="preserve"> hod. téhož dne ⁠nejpozději do šesti (6) hodin od zjištění či</w:t>
      </w:r>
      <w:r w:rsidR="00E913DA">
        <w:rPr>
          <w:rFonts w:ascii="Arial" w:eastAsia="Arial" w:hAnsi="Arial" w:cs="Arial"/>
          <w:color w:val="000000"/>
          <w:sz w:val="20"/>
          <w:szCs w:val="20"/>
        </w:rPr>
        <w:t> </w:t>
      </w:r>
      <w:r>
        <w:rPr>
          <w:rFonts w:ascii="Arial" w:eastAsia="Arial" w:hAnsi="Arial" w:cs="Arial"/>
          <w:color w:val="000000"/>
          <w:sz w:val="20"/>
          <w:szCs w:val="20"/>
        </w:rPr>
        <w:t>nahlášení ponechání Vozidla mimo Pevné stanoviště nebo Vyznačené stanoviště,</w:t>
      </w:r>
    </w:p>
    <w:p w14:paraId="698AC2C1" w14:textId="7FB54DCD" w:rsidR="00175781" w:rsidRDefault="00D26B9F">
      <w:pPr>
        <w:numPr>
          <w:ilvl w:val="1"/>
          <w:numId w:val="6"/>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color w:val="000000"/>
          <w:sz w:val="20"/>
          <w:szCs w:val="20"/>
        </w:rPr>
        <w:t>v době od 14.00 hod. do 20.00 hod. nejpozději do 08</w:t>
      </w:r>
      <w:r w:rsidR="0070739F">
        <w:rPr>
          <w:rFonts w:ascii="Arial" w:eastAsia="Arial" w:hAnsi="Arial" w:cs="Arial"/>
          <w:sz w:val="20"/>
          <w:szCs w:val="20"/>
        </w:rPr>
        <w:t>.</w:t>
      </w:r>
      <w:r>
        <w:rPr>
          <w:rFonts w:ascii="Arial" w:eastAsia="Arial" w:hAnsi="Arial" w:cs="Arial"/>
          <w:sz w:val="20"/>
          <w:szCs w:val="20"/>
        </w:rPr>
        <w:t>00</w:t>
      </w:r>
      <w:r>
        <w:rPr>
          <w:rFonts w:ascii="Arial" w:eastAsia="Arial" w:hAnsi="Arial" w:cs="Arial"/>
          <w:color w:val="000000"/>
          <w:sz w:val="20"/>
          <w:szCs w:val="20"/>
        </w:rPr>
        <w:t xml:space="preserve"> hodin následujícího dne,</w:t>
      </w:r>
    </w:p>
    <w:p w14:paraId="0B5E5F21" w14:textId="77777777" w:rsidR="00175781" w:rsidRDefault="00D26B9F">
      <w:pPr>
        <w:numPr>
          <w:ilvl w:val="0"/>
          <w:numId w:val="6"/>
        </w:numPr>
        <w:pBdr>
          <w:top w:val="nil"/>
          <w:left w:val="nil"/>
          <w:bottom w:val="nil"/>
          <w:right w:val="nil"/>
          <w:between w:val="nil"/>
        </w:pBdr>
        <w:spacing w:after="200" w:line="276" w:lineRule="auto"/>
        <w:jc w:val="both"/>
        <w:rPr>
          <w:rFonts w:ascii="Arial" w:eastAsia="Arial" w:hAnsi="Arial" w:cs="Arial"/>
          <w:sz w:val="20"/>
          <w:szCs w:val="20"/>
        </w:rPr>
      </w:pPr>
      <w:r>
        <w:rPr>
          <w:rFonts w:ascii="Arial" w:eastAsia="Arial" w:hAnsi="Arial" w:cs="Arial"/>
          <w:sz w:val="20"/>
          <w:szCs w:val="20"/>
        </w:rPr>
        <w:t>ve dnech pracovního klidu a státních svátcích:</w:t>
      </w:r>
    </w:p>
    <w:p w14:paraId="3E741AFA" w14:textId="12579823" w:rsidR="00175781" w:rsidRDefault="00D26B9F">
      <w:pPr>
        <w:numPr>
          <w:ilvl w:val="1"/>
          <w:numId w:val="6"/>
        </w:numPr>
        <w:pBdr>
          <w:top w:val="nil"/>
          <w:left w:val="nil"/>
          <w:bottom w:val="nil"/>
          <w:right w:val="nil"/>
          <w:between w:val="nil"/>
        </w:pBdr>
        <w:spacing w:after="200" w:line="276" w:lineRule="auto"/>
        <w:jc w:val="both"/>
        <w:rPr>
          <w:rFonts w:ascii="Arial" w:eastAsia="Arial" w:hAnsi="Arial" w:cs="Arial"/>
          <w:sz w:val="20"/>
          <w:szCs w:val="20"/>
        </w:rPr>
      </w:pPr>
      <w:r>
        <w:rPr>
          <w:rFonts w:ascii="Arial" w:eastAsia="Arial" w:hAnsi="Arial" w:cs="Arial"/>
          <w:sz w:val="20"/>
          <w:szCs w:val="20"/>
        </w:rPr>
        <w:t>v době od 06.00 do 00.00 – nejpozději do 12.00 následujícího dne</w:t>
      </w:r>
      <w:r w:rsidR="00840968">
        <w:rPr>
          <w:rFonts w:ascii="Arial" w:eastAsia="Arial" w:hAnsi="Arial" w:cs="Arial"/>
          <w:sz w:val="20"/>
          <w:szCs w:val="20"/>
        </w:rPr>
        <w:t>,</w:t>
      </w:r>
    </w:p>
    <w:p w14:paraId="073BC62F" w14:textId="457425FF" w:rsidR="00175781" w:rsidRDefault="00D26B9F">
      <w:pPr>
        <w:numPr>
          <w:ilvl w:val="1"/>
          <w:numId w:val="6"/>
        </w:numPr>
        <w:pBdr>
          <w:top w:val="nil"/>
          <w:left w:val="nil"/>
          <w:bottom w:val="nil"/>
          <w:right w:val="nil"/>
          <w:between w:val="nil"/>
        </w:pBdr>
        <w:spacing w:after="200" w:line="276" w:lineRule="auto"/>
        <w:jc w:val="both"/>
        <w:rPr>
          <w:rFonts w:ascii="Arial" w:eastAsia="Arial" w:hAnsi="Arial" w:cs="Arial"/>
          <w:sz w:val="20"/>
          <w:szCs w:val="20"/>
        </w:rPr>
      </w:pPr>
      <w:r>
        <w:rPr>
          <w:rFonts w:ascii="Arial" w:eastAsia="Arial" w:hAnsi="Arial" w:cs="Arial"/>
          <w:sz w:val="20"/>
          <w:szCs w:val="20"/>
        </w:rPr>
        <w:t>v době mezi 00.00 do 06.00 – nejpozději do 12</w:t>
      </w:r>
      <w:r w:rsidR="0070739F">
        <w:rPr>
          <w:rFonts w:ascii="Arial" w:eastAsia="Arial" w:hAnsi="Arial" w:cs="Arial"/>
          <w:sz w:val="20"/>
          <w:szCs w:val="20"/>
        </w:rPr>
        <w:t>.</w:t>
      </w:r>
      <w:r>
        <w:rPr>
          <w:rFonts w:ascii="Arial" w:eastAsia="Arial" w:hAnsi="Arial" w:cs="Arial"/>
          <w:sz w:val="20"/>
          <w:szCs w:val="20"/>
        </w:rPr>
        <w:t>00 tohoto dne</w:t>
      </w:r>
      <w:r w:rsidR="00840968">
        <w:rPr>
          <w:rFonts w:ascii="Arial" w:eastAsia="Arial" w:hAnsi="Arial" w:cs="Arial"/>
          <w:sz w:val="20"/>
          <w:szCs w:val="20"/>
        </w:rPr>
        <w:t>.</w:t>
      </w:r>
    </w:p>
    <w:p w14:paraId="1B2EB8FE" w14:textId="0BB5D290" w:rsidR="00175781" w:rsidRDefault="00D26B9F">
      <w:pPr>
        <w:pBdr>
          <w:top w:val="nil"/>
          <w:left w:val="nil"/>
          <w:bottom w:val="nil"/>
          <w:right w:val="nil"/>
          <w:between w:val="nil"/>
        </w:pBdr>
        <w:spacing w:after="200" w:line="276" w:lineRule="auto"/>
        <w:ind w:left="851"/>
        <w:jc w:val="both"/>
        <w:rPr>
          <w:rFonts w:ascii="Arial" w:eastAsia="Arial" w:hAnsi="Arial" w:cs="Arial"/>
          <w:color w:val="000000"/>
          <w:sz w:val="20"/>
          <w:szCs w:val="20"/>
        </w:rPr>
      </w:pPr>
      <w:r>
        <w:rPr>
          <w:rFonts w:ascii="Arial" w:eastAsia="Arial" w:hAnsi="Arial" w:cs="Arial"/>
          <w:color w:val="000000"/>
          <w:sz w:val="20"/>
          <w:szCs w:val="20"/>
        </w:rPr>
        <w:t>kdy pro určení konkrétní povinnosti Provozovatel</w:t>
      </w:r>
      <w:r w:rsidR="00871265">
        <w:rPr>
          <w:rFonts w:ascii="Arial" w:eastAsia="Arial" w:hAnsi="Arial" w:cs="Arial"/>
          <w:color w:val="000000"/>
          <w:sz w:val="20"/>
          <w:szCs w:val="20"/>
        </w:rPr>
        <w:t>e</w:t>
      </w:r>
      <w:r>
        <w:rPr>
          <w:rFonts w:ascii="Arial" w:eastAsia="Arial" w:hAnsi="Arial" w:cs="Arial"/>
          <w:color w:val="000000"/>
          <w:sz w:val="20"/>
          <w:szCs w:val="20"/>
        </w:rPr>
        <w:t xml:space="preserve"> k odklizení Vozidla se pro výše uvedené časové intervaly použije počítání na jednotky </w:t>
      </w:r>
      <w:r w:rsidR="009C6EEC">
        <w:rPr>
          <w:rFonts w:ascii="Arial" w:eastAsia="Arial" w:hAnsi="Arial" w:cs="Arial"/>
          <w:color w:val="000000"/>
          <w:sz w:val="20"/>
          <w:szCs w:val="20"/>
        </w:rPr>
        <w:t>sekund</w:t>
      </w:r>
      <w:r>
        <w:rPr>
          <w:rFonts w:ascii="Arial" w:eastAsia="Arial" w:hAnsi="Arial" w:cs="Arial"/>
          <w:color w:val="000000"/>
          <w:sz w:val="20"/>
          <w:szCs w:val="20"/>
        </w:rPr>
        <w:t xml:space="preserve">. Nesplní-li Provozovatel svou povinnost k odstranění Vozidla, uloží mu HMP v souladu s touto Smlouvou smluvní pokutu a zajistí odstranění Vozidla na náklady Provozovatele.  </w:t>
      </w:r>
    </w:p>
    <w:p w14:paraId="6A7B996D" w14:textId="3181C23C"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Ponechání Vozidla na jiném místě, než na Pevném stanovišti nebo Vyznačeném stanovišti, nebrání v</w:t>
      </w:r>
      <w:r w:rsidR="004C0031">
        <w:rPr>
          <w:rFonts w:ascii="Arial" w:eastAsia="Arial" w:hAnsi="Arial" w:cs="Arial"/>
          <w:color w:val="000000"/>
          <w:sz w:val="20"/>
          <w:szCs w:val="20"/>
        </w:rPr>
        <w:t> </w:t>
      </w:r>
      <w:r>
        <w:rPr>
          <w:rFonts w:ascii="Arial" w:eastAsia="Arial" w:hAnsi="Arial" w:cs="Arial"/>
          <w:color w:val="000000"/>
          <w:sz w:val="20"/>
          <w:szCs w:val="20"/>
        </w:rPr>
        <w:t xml:space="preserve">zahájení jeho užívání dalšími koncovými uživateli (příp. i stejným koncovým uživatelem). Zahájení užívání koncovým uživatelem podle předchozí věty se považuje za odstranění Vozidla dle čl. </w:t>
      </w:r>
      <w:r w:rsidR="007D7C2F">
        <w:rPr>
          <w:rFonts w:ascii="Arial" w:eastAsia="Arial" w:hAnsi="Arial" w:cs="Arial"/>
          <w:color w:val="000000"/>
          <w:sz w:val="20"/>
          <w:szCs w:val="20"/>
        </w:rPr>
        <w:fldChar w:fldCharType="begin"/>
      </w:r>
      <w:r w:rsidR="007D7C2F">
        <w:rPr>
          <w:rFonts w:ascii="Arial" w:eastAsia="Arial" w:hAnsi="Arial" w:cs="Arial"/>
          <w:color w:val="000000"/>
          <w:sz w:val="20"/>
          <w:szCs w:val="20"/>
        </w:rPr>
        <w:instrText xml:space="preserve"> REF _Ref217309605 \r \h </w:instrText>
      </w:r>
      <w:r w:rsidR="007D7C2F">
        <w:rPr>
          <w:rFonts w:ascii="Arial" w:eastAsia="Arial" w:hAnsi="Arial" w:cs="Arial"/>
          <w:color w:val="000000"/>
          <w:sz w:val="20"/>
          <w:szCs w:val="20"/>
        </w:rPr>
      </w:r>
      <w:r w:rsidR="007D7C2F">
        <w:rPr>
          <w:rFonts w:ascii="Arial" w:eastAsia="Arial" w:hAnsi="Arial" w:cs="Arial"/>
          <w:color w:val="000000"/>
          <w:sz w:val="20"/>
          <w:szCs w:val="20"/>
        </w:rPr>
        <w:fldChar w:fldCharType="separate"/>
      </w:r>
      <w:r w:rsidR="007D7C2F">
        <w:rPr>
          <w:rFonts w:ascii="Arial" w:eastAsia="Arial" w:hAnsi="Arial" w:cs="Arial"/>
          <w:color w:val="000000"/>
          <w:sz w:val="20"/>
          <w:szCs w:val="20"/>
        </w:rPr>
        <w:t>2.7</w:t>
      </w:r>
      <w:r w:rsidR="007D7C2F">
        <w:rPr>
          <w:rFonts w:ascii="Arial" w:eastAsia="Arial" w:hAnsi="Arial" w:cs="Arial"/>
          <w:color w:val="000000"/>
          <w:sz w:val="20"/>
          <w:szCs w:val="20"/>
        </w:rPr>
        <w:fldChar w:fldCharType="end"/>
      </w:r>
      <w:r w:rsidR="007D7C2F">
        <w:rPr>
          <w:rFonts w:ascii="Arial" w:eastAsia="Arial" w:hAnsi="Arial" w:cs="Arial"/>
          <w:color w:val="000000"/>
          <w:sz w:val="20"/>
          <w:szCs w:val="20"/>
        </w:rPr>
        <w:t xml:space="preserve"> </w:t>
      </w:r>
      <w:r>
        <w:rPr>
          <w:rFonts w:ascii="Arial" w:eastAsia="Arial" w:hAnsi="Arial" w:cs="Arial"/>
          <w:color w:val="000000"/>
          <w:sz w:val="20"/>
          <w:szCs w:val="20"/>
        </w:rPr>
        <w:t>této Smlouvy.</w:t>
      </w:r>
    </w:p>
    <w:p w14:paraId="22B9CA6F"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V případě, že koncový uživatel řádně skončí užívání Vozidla na Pevném stanovišti nebo Vyznačeném stanovišti, má se za to, že Provozovatel neodpovídá za zevní vlivy / cizí faktory, které Vozidlo přemístí. Zevními vlivy se rozumí především počasí (např. silný vítr), cizími faktory se rozumí především vandalismus (svévolné přemístění Vozidla třetí osobou). Časovými intervaly pro přemístění Vozidla na Pevné stanoviště nebo Vyznačené stanoviště je sice Provozovatel vázán i v takovém případě, ovšem nesplní-li tuto povinnost, je TSK oprávněno pouze odstranit Vozidlo na náklady Provozovatele. Prokázání takového důvodu je na straně Provozovatele. </w:t>
      </w:r>
    </w:p>
    <w:p w14:paraId="4C97C403"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V případě, že z provozování služby sdílených kol vznikne koncovému uživateli nebo i třetí osobě materiální škoda nebo újma na zdraví, která bude uplatněna vůči TSK a/nebo HMP (dále společně „</w:t>
      </w:r>
      <w:r>
        <w:rPr>
          <w:rFonts w:ascii="Arial" w:eastAsia="Arial" w:hAnsi="Arial" w:cs="Arial"/>
          <w:b/>
          <w:bCs/>
          <w:color w:val="000000"/>
          <w:sz w:val="20"/>
          <w:szCs w:val="20"/>
        </w:rPr>
        <w:t>Organizace</w:t>
      </w:r>
      <w:r>
        <w:rPr>
          <w:rFonts w:ascii="Arial" w:eastAsia="Arial" w:hAnsi="Arial" w:cs="Arial"/>
          <w:color w:val="000000"/>
          <w:sz w:val="20"/>
          <w:szCs w:val="20"/>
        </w:rPr>
        <w:t>“), zavazuje se Provozovatel, že Organizacím nahradí v plném rozsahu to, co budou koncovému uživateli nebo třetí osobě povinné plnit (např. dle pravomocného a vykonatelného rozsudku o náhradě škody). Současně se Provozovatel zavazuje uhradit i související účelně vynaložené náklady (např. na právní zastoupení). Mimo to bude Provozovatel Organizacím poskytovat veškerou potřebnou součinnost při hájení zájmů Organizací v příslušném soudním řízení (např. jako vedlejší účastník řízení).</w:t>
      </w:r>
    </w:p>
    <w:p w14:paraId="556EA202" w14:textId="1D0B5CD1" w:rsidR="00175781" w:rsidRPr="008275DD" w:rsidRDefault="00D26B9F" w:rsidP="008275DD">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sz w:val="20"/>
          <w:szCs w:val="20"/>
        </w:rPr>
        <w:t xml:space="preserve">Provozovatel je oprávněn požádat HMP, aby pro účely označení Pevných stanovišť i Vyznačených stanovišť zajistila svislé dopravní značení, které zakáže parkování osobními či nákladními automobily. TSK takovou žádost Provozovatele posoudí a vyvine snahu jí vyhovět (odmítnutí bude možné pouze ze závažných důvodů). </w:t>
      </w:r>
    </w:p>
    <w:p w14:paraId="104A0BA9" w14:textId="77777777" w:rsidR="00175781" w:rsidRDefault="00D26B9F">
      <w:pPr>
        <w:numPr>
          <w:ilvl w:val="0"/>
          <w:numId w:val="2"/>
        </w:numPr>
        <w:pBdr>
          <w:top w:val="nil"/>
          <w:left w:val="nil"/>
          <w:bottom w:val="nil"/>
          <w:right w:val="nil"/>
          <w:between w:val="nil"/>
        </w:pBdr>
        <w:spacing w:after="200" w:line="276" w:lineRule="auto"/>
        <w:jc w:val="both"/>
        <w:rPr>
          <w:rFonts w:ascii="Arial" w:eastAsia="Arial" w:hAnsi="Arial" w:cs="Arial"/>
          <w:color w:val="000000"/>
          <w:sz w:val="20"/>
          <w:szCs w:val="20"/>
        </w:rPr>
      </w:pPr>
      <w:bookmarkStart w:id="8" w:name="_w94xpffqmckq" w:colFirst="0" w:colLast="0"/>
      <w:bookmarkStart w:id="9" w:name="_Ref217308568"/>
      <w:bookmarkEnd w:id="8"/>
      <w:r>
        <w:rPr>
          <w:rFonts w:ascii="Arial" w:eastAsia="Arial" w:hAnsi="Arial" w:cs="Arial"/>
          <w:b/>
          <w:bCs/>
          <w:color w:val="000000"/>
          <w:sz w:val="20"/>
          <w:szCs w:val="20"/>
        </w:rPr>
        <w:t>POŽADAVKY NA TECHNICKÉ ŘEŠENÍ</w:t>
      </w:r>
      <w:bookmarkEnd w:id="9"/>
      <w:r>
        <w:rPr>
          <w:rFonts w:ascii="Arial" w:eastAsia="Arial" w:hAnsi="Arial" w:cs="Arial"/>
          <w:b/>
          <w:bCs/>
          <w:color w:val="000000"/>
          <w:sz w:val="20"/>
          <w:szCs w:val="20"/>
        </w:rPr>
        <w:t xml:space="preserve"> </w:t>
      </w:r>
    </w:p>
    <w:p w14:paraId="03ADF936"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Provozovatel bude službu sdílených kol koncovým uživatelům poskytovat výhradně prostřednictvím funkčního technického řešení v podobě softwarové aplikace provozované v souladu s právními předpisy („</w:t>
      </w:r>
      <w:r>
        <w:rPr>
          <w:rFonts w:ascii="Arial" w:eastAsia="Arial" w:hAnsi="Arial" w:cs="Arial"/>
          <w:b/>
          <w:bCs/>
          <w:color w:val="000000"/>
          <w:sz w:val="20"/>
          <w:szCs w:val="20"/>
        </w:rPr>
        <w:t>Aplikace</w:t>
      </w:r>
      <w:r>
        <w:rPr>
          <w:rFonts w:ascii="Arial" w:eastAsia="Arial" w:hAnsi="Arial" w:cs="Arial"/>
          <w:color w:val="000000"/>
          <w:sz w:val="20"/>
          <w:szCs w:val="20"/>
        </w:rPr>
        <w:t>“). Tato Aplikace musí být použitelná v chytrých telefonech, na počítači nebo jiném sdělovacím / záznamovém zařízení; a dále být dostupná nejméně v české a anglické jazykové mutaci (včetně všech upozornění a sdělení, která budou koncovému uživateli dle této Smlouvy zasílána, nebo je bude muset potvrdit).</w:t>
      </w:r>
    </w:p>
    <w:p w14:paraId="443E438A"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Provozovatel bere na vědomí, že prostřednictvím Aplikace bude zajišťováno poskytování Vozidel k užívání koncovým uživatelům, a také monitorování a sledování Vozidel na mapových podkladech, zjišťování kapacity jejich baterií či jiných zdrojů energie (je-li to relevantní) a provedení platby za užívání Vozidla při využití on-line platební brány či obdobné bankovní platformy. </w:t>
      </w:r>
    </w:p>
    <w:p w14:paraId="23B1E472"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10" w:name="_nnjj6ovkec0" w:colFirst="0" w:colLast="0"/>
      <w:bookmarkEnd w:id="10"/>
      <w:r>
        <w:rPr>
          <w:rFonts w:ascii="Arial" w:eastAsia="Arial" w:hAnsi="Arial" w:cs="Arial"/>
          <w:color w:val="000000"/>
          <w:sz w:val="20"/>
          <w:szCs w:val="20"/>
        </w:rPr>
        <w:t>Provozovatel prostřednictvím Aplikace upozorní koncové uživatele na povinnost dodržovat pravidla silničního provozu vyplývající z relevantních právních předpisů, zejména ze zákona č. 361/2000 Sb., zákon o provozu na pozemních komunikacích a o změnách některých zákonů (zákon o silničním provozu), ve znění pozdějších předpisů.</w:t>
      </w:r>
    </w:p>
    <w:p w14:paraId="7A959EAF"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Výslovně bude v Aplikaci uvedeno, že při používání Vozidla musí koncoví uživatelé dodržovat maximální stanovenou rychlost a že nesmějí užívat Vozidlo na chodníku, pokud se nenachází v cyklistické zóně, sdílené zóně nebo na stezce pro chodce s povoleným vjezdem kol. Dále bude v Aplikaci uvedeno, že musí dodržovat veškeré zákonné povinnosti účastníků silničního provozu a jsou odpovědní za jejich případné porušení. Provozovatel zajistí, aby koncový uživatel musel nejméně při registraci do Aplikace (tj. před prvním užitím Vozidla) výslovně vzít tato upozornění na vědomí a potvrdit, že byl o způsobu a pravidlech užívání Vozidel poučen. Aniž by tím byla dotčena povinnost dle předchozí věty, může Provozovatel na tyto skutečnosti upozornit koncové uživatele také jiným vhodným způsobem.   </w:t>
      </w:r>
    </w:p>
    <w:p w14:paraId="58F5A565" w14:textId="421F7076"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Provozovatel je povinen zajistit HMP, příp. i dalším subjektům, které HMP určí, alespoň jeden přístup do</w:t>
      </w:r>
      <w:r w:rsidR="00D00129">
        <w:rPr>
          <w:rFonts w:ascii="Arial" w:eastAsia="Arial" w:hAnsi="Arial" w:cs="Arial"/>
          <w:color w:val="000000"/>
          <w:sz w:val="20"/>
          <w:szCs w:val="20"/>
        </w:rPr>
        <w:t> </w:t>
      </w:r>
      <w:r>
        <w:rPr>
          <w:rFonts w:ascii="Arial" w:eastAsia="Arial" w:hAnsi="Arial" w:cs="Arial"/>
          <w:color w:val="000000"/>
          <w:sz w:val="20"/>
          <w:szCs w:val="20"/>
        </w:rPr>
        <w:t xml:space="preserve">Aplikace s dostatečným oprávněním za účelem kontroly souladu Aplikace s touto Smlouvou, kontroly </w:t>
      </w:r>
      <w:r>
        <w:rPr>
          <w:rFonts w:ascii="Arial" w:eastAsia="Arial" w:hAnsi="Arial" w:cs="Arial"/>
          <w:color w:val="000000"/>
          <w:sz w:val="20"/>
          <w:szCs w:val="20"/>
        </w:rPr>
        <w:lastRenderedPageBreak/>
        <w:t>množství provozovaných Vozidel, umístění Pevných stanovišť a Vyznačených stanovišť a celkové funkčnosti služby sdílených kol, jako</w:t>
      </w:r>
      <w:r w:rsidR="00074FB6">
        <w:rPr>
          <w:rFonts w:ascii="Arial" w:eastAsia="Arial" w:hAnsi="Arial" w:cs="Arial"/>
          <w:color w:val="000000"/>
          <w:sz w:val="20"/>
          <w:szCs w:val="20"/>
        </w:rPr>
        <w:t>ž</w:t>
      </w:r>
      <w:r>
        <w:rPr>
          <w:rFonts w:ascii="Arial" w:eastAsia="Arial" w:hAnsi="Arial" w:cs="Arial"/>
          <w:color w:val="000000"/>
          <w:sz w:val="20"/>
          <w:szCs w:val="20"/>
        </w:rPr>
        <w:t xml:space="preserve"> i dalších podstatných skutečností. </w:t>
      </w:r>
    </w:p>
    <w:p w14:paraId="62D6FD6A"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11" w:name="_vf9zuobm5riy" w:colFirst="0" w:colLast="0"/>
      <w:bookmarkEnd w:id="11"/>
      <w:r>
        <w:rPr>
          <w:rFonts w:ascii="Arial" w:eastAsia="Arial" w:hAnsi="Arial" w:cs="Arial"/>
          <w:color w:val="000000"/>
          <w:sz w:val="20"/>
          <w:szCs w:val="20"/>
        </w:rPr>
        <w:t>Aplikace musí být prosta reklam či sdělení, které by byly v rozporu s dobrými mravy. Tím se rozumí zejména reklamy a sdělení mající zjevně obscénní charakter či obsah, vyzývající k násilí či jakékoliv formě nesnášenlivosti, nebo podporující hnutí, jejichž cílem je potlačení lidských práv a svobod nebo demokratických hodnot. Dále je rovněž nepřípustné prostřednictvím Aplikace přispívat k šíření prokazatelných dezinformací nebo podporovat či propagovat dezinformační weby.</w:t>
      </w:r>
    </w:p>
    <w:p w14:paraId="6CC4B0A9" w14:textId="14114BCE"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Aplikace musí být dostatečně zajištěna z hlediska její kybernetické bezpečnosti a chránit osobní údaje koncových uživatelů, zejména v souladu s čl. </w:t>
      </w:r>
      <w:r w:rsidR="009D3DAF">
        <w:rPr>
          <w:rFonts w:ascii="Arial" w:eastAsia="Arial" w:hAnsi="Arial" w:cs="Arial"/>
          <w:color w:val="000000"/>
          <w:sz w:val="20"/>
          <w:szCs w:val="20"/>
        </w:rPr>
        <w:fldChar w:fldCharType="begin"/>
      </w:r>
      <w:r w:rsidR="009D3DAF">
        <w:rPr>
          <w:rFonts w:ascii="Arial" w:eastAsia="Arial" w:hAnsi="Arial" w:cs="Arial"/>
          <w:color w:val="000000"/>
          <w:sz w:val="20"/>
          <w:szCs w:val="20"/>
        </w:rPr>
        <w:instrText xml:space="preserve"> REF _Ref217306868 \r \h </w:instrText>
      </w:r>
      <w:r w:rsidR="009D3DAF">
        <w:rPr>
          <w:rFonts w:ascii="Arial" w:eastAsia="Arial" w:hAnsi="Arial" w:cs="Arial"/>
          <w:color w:val="000000"/>
          <w:sz w:val="20"/>
          <w:szCs w:val="20"/>
        </w:rPr>
      </w:r>
      <w:r w:rsidR="009D3DAF">
        <w:rPr>
          <w:rFonts w:ascii="Arial" w:eastAsia="Arial" w:hAnsi="Arial" w:cs="Arial"/>
          <w:color w:val="000000"/>
          <w:sz w:val="20"/>
          <w:szCs w:val="20"/>
        </w:rPr>
        <w:fldChar w:fldCharType="separate"/>
      </w:r>
      <w:r w:rsidR="009D3DAF">
        <w:rPr>
          <w:rFonts w:ascii="Arial" w:eastAsia="Arial" w:hAnsi="Arial" w:cs="Arial"/>
          <w:color w:val="000000"/>
          <w:sz w:val="20"/>
          <w:szCs w:val="20"/>
        </w:rPr>
        <w:t>15</w:t>
      </w:r>
      <w:r w:rsidR="009D3DAF">
        <w:rPr>
          <w:rFonts w:ascii="Arial" w:eastAsia="Arial" w:hAnsi="Arial" w:cs="Arial"/>
          <w:color w:val="000000"/>
          <w:sz w:val="20"/>
          <w:szCs w:val="20"/>
        </w:rPr>
        <w:fldChar w:fldCharType="end"/>
      </w:r>
      <w:r>
        <w:rPr>
          <w:rFonts w:ascii="Arial" w:eastAsia="Arial" w:hAnsi="Arial" w:cs="Arial"/>
          <w:color w:val="000000"/>
          <w:sz w:val="20"/>
          <w:szCs w:val="20"/>
        </w:rPr>
        <w:t xml:space="preserve"> této Smlouvy.     </w:t>
      </w:r>
    </w:p>
    <w:p w14:paraId="50BA257A"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12" w:name="_Ref217308673"/>
      <w:r>
        <w:rPr>
          <w:rFonts w:ascii="Arial" w:eastAsia="Arial" w:hAnsi="Arial" w:cs="Arial"/>
          <w:color w:val="000000"/>
          <w:sz w:val="20"/>
          <w:szCs w:val="20"/>
        </w:rPr>
        <w:t xml:space="preserve">Každé Vozidlo Provozovatele bude opatřeno zařízením s GNSS a internetovým připojením, které umožní minimálně určení počátku a konce jízdy Vozidla a jeho aktuální polohy. Pokud se na </w:t>
      </w:r>
      <w:r>
        <w:rPr>
          <w:rFonts w:ascii="Arial" w:eastAsia="Arial" w:hAnsi="Arial" w:cs="Arial"/>
          <w:sz w:val="20"/>
          <w:szCs w:val="20"/>
        </w:rPr>
        <w:t>Vozidlu vlivem externích faktorů stane internetové připojení nefunkční (např. vandalizací, pokusem o krádež, aj.) a Provozovatel není schopen zjistit, kde se aktuálně nachází, potom se takové Vozidlo nepočítá do Celkové kapacity (dle níže uvedené definice) nebo do kapacity Vyznačeného stanoviště a neplatí se z něj Úplata, ledaže by takovou nefunkčnost způsobil Provozovatel sám. Provozovatel vyvine úsilí takové Vozidlo lokalizovat a internetové připojení opravit.</w:t>
      </w:r>
      <w:bookmarkEnd w:id="12"/>
    </w:p>
    <w:p w14:paraId="103C8A52" w14:textId="77777777" w:rsidR="00175781" w:rsidRDefault="00D26B9F">
      <w:pPr>
        <w:numPr>
          <w:ilvl w:val="0"/>
          <w:numId w:val="2"/>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b/>
          <w:bCs/>
          <w:color w:val="000000"/>
          <w:sz w:val="20"/>
          <w:szCs w:val="20"/>
        </w:rPr>
        <w:t>ZÁKAZNICKÁ LINKA</w:t>
      </w:r>
    </w:p>
    <w:p w14:paraId="7D932CD3" w14:textId="36864AF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Provozovatel je povinen při provozu služby sdílených kol disponovat telefonní zákaznickou linkou nebo on-line podporou koncových uživatelů v českém a anglickém jazyce, a to pro textovou i přímou ústní komunikaci s operátorem. Kontaktní informace k zákaznické lince nebo on-line podpoře budou uvedeny v Aplikaci, na</w:t>
      </w:r>
      <w:r w:rsidR="00BE62A7">
        <w:rPr>
          <w:rFonts w:ascii="Arial" w:eastAsia="Arial" w:hAnsi="Arial" w:cs="Arial"/>
          <w:color w:val="000000"/>
          <w:sz w:val="20"/>
          <w:szCs w:val="20"/>
        </w:rPr>
        <w:t> </w:t>
      </w:r>
      <w:r>
        <w:rPr>
          <w:rFonts w:ascii="Arial" w:eastAsia="Arial" w:hAnsi="Arial" w:cs="Arial"/>
          <w:color w:val="000000"/>
          <w:sz w:val="20"/>
          <w:szCs w:val="20"/>
        </w:rPr>
        <w:t xml:space="preserve">internetových stránkách Provozovatele a na každém Vozidle.  </w:t>
      </w:r>
    </w:p>
    <w:p w14:paraId="122B8DF8"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Telefonní zákaznická linka bude dostupná aspoň v pracovních dnech minimálně od 9.00 do 18.00 hod. </w:t>
      </w:r>
      <w:r>
        <w:rPr>
          <w:rFonts w:ascii="Arial" w:eastAsia="Arial" w:hAnsi="Arial" w:cs="Arial"/>
          <w:color w:val="000000"/>
          <w:sz w:val="20"/>
          <w:szCs w:val="20"/>
        </w:rPr>
        <w:br/>
        <w:t>I mimo tuto dobu a ve dnech pracovního klidu však musí být zákaznická linka dostupná aspoň (i bez přímého kontaktu s operátorem) pro hlášení závad a jiných skutečností v režimu 24 / 7 (tj. non-stop). Ve stejném režimu, až na ojedinělé případy plánované údržby či odstávek systému, je Provozovatel povinen zajistit také podporu koncových uživatelů v Aplikaci. Plánovanou údržbu či odstávky systému bude Provozovatel provádět zpravidla v časech od 00.00 do 04.00 hod.</w:t>
      </w:r>
    </w:p>
    <w:p w14:paraId="2BF22B8D"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13" w:name="_jji7e2akt9tj" w:colFirst="0" w:colLast="0"/>
      <w:bookmarkEnd w:id="13"/>
      <w:r>
        <w:rPr>
          <w:rFonts w:ascii="Arial" w:eastAsia="Arial" w:hAnsi="Arial" w:cs="Arial"/>
          <w:color w:val="000000"/>
          <w:sz w:val="20"/>
          <w:szCs w:val="20"/>
        </w:rPr>
        <w:t xml:space="preserve">Zákaznickou linku a on-line podporu budou moci využít také třetí osoby odlišené od koncových zákazníků, a to zejména v případech, kdy budou nahlašovat Vozidlo umístěné mimo Pevné nebo Vyznačené stanoviště, případně nepojízdné Vozidlo.  </w:t>
      </w:r>
    </w:p>
    <w:p w14:paraId="5F83E0E4" w14:textId="61671B50" w:rsidR="00175781" w:rsidRPr="00B92617" w:rsidRDefault="00D26B9F" w:rsidP="00B92617">
      <w:pPr>
        <w:numPr>
          <w:ilvl w:val="0"/>
          <w:numId w:val="2"/>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b/>
          <w:bCs/>
          <w:color w:val="000000"/>
          <w:sz w:val="20"/>
          <w:szCs w:val="20"/>
        </w:rPr>
        <w:t>MÍSTA POSKYTOVÁNÍ SLUŽBY SDÍLENÝCH KOL</w:t>
      </w:r>
    </w:p>
    <w:p w14:paraId="61577539"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Seznam míst, která jsou určena jako Pevná stanoviště nebo Vyznačená stanoviště, je veden v Jednotném datovém standardu MDS. K první alokaci míst určených jako Pevná stanoviště nebo Vyznačená stanoviště dojde před uzavřením této Smlouvy. HMP však zároveň nepřejímá odpovědnost za počet, rozmístění, ani kapacitu Pevných stanovišť a Vyznačených stanovišť, respektive si vyhrazuje právo tento seznam v případě potřeby měnit.  </w:t>
      </w:r>
    </w:p>
    <w:p w14:paraId="73390936"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14" w:name="_5uf5vr6ktj9" w:colFirst="0" w:colLast="0"/>
      <w:bookmarkEnd w:id="14"/>
      <w:r>
        <w:rPr>
          <w:rFonts w:ascii="Arial" w:eastAsia="Arial" w:hAnsi="Arial" w:cs="Arial"/>
          <w:color w:val="000000"/>
          <w:sz w:val="20"/>
          <w:szCs w:val="20"/>
        </w:rPr>
        <w:t xml:space="preserve">K úpravě seznamu a/nebo alokace Pevných stanovišť a Vyznačených stanovišť bude docházet po dobu trvání této Smlouvy průběžně, a to s ohledem na možné stavební úpravy, plánované nebo havarijní opravy, zábory veřejných prostranství a jejich běžnou údržbu, či jiné závažné skutečnosti. HMP </w:t>
      </w:r>
      <w:r>
        <w:rPr>
          <w:rFonts w:ascii="Arial" w:eastAsia="Arial" w:hAnsi="Arial" w:cs="Arial"/>
          <w:sz w:val="20"/>
          <w:szCs w:val="20"/>
        </w:rPr>
        <w:t>o úpravě lokace Pevného stanoviště nebo Vyznačeného stanoviště informuje Provozovatele s dostatečným předstihem, zpravidla nejméně deset (10) pracovních dnů.</w:t>
      </w:r>
    </w:p>
    <w:p w14:paraId="6E233FF8" w14:textId="0F0F2BC3"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Provozovatel </w:t>
      </w:r>
      <w:r>
        <w:rPr>
          <w:rFonts w:ascii="Arial" w:eastAsia="Arial" w:hAnsi="Arial" w:cs="Arial"/>
          <w:sz w:val="20"/>
          <w:szCs w:val="20"/>
        </w:rPr>
        <w:t xml:space="preserve">má možnost </w:t>
      </w:r>
      <w:r>
        <w:rPr>
          <w:rFonts w:ascii="Arial" w:eastAsia="Arial" w:hAnsi="Arial" w:cs="Arial"/>
          <w:color w:val="000000"/>
          <w:sz w:val="20"/>
          <w:szCs w:val="20"/>
        </w:rPr>
        <w:t>umožnit koncovým uživatelům využívat kterékoliv Pevného stanoviště či</w:t>
      </w:r>
      <w:r w:rsidR="009A6B71">
        <w:rPr>
          <w:rFonts w:ascii="Arial" w:eastAsia="Arial" w:hAnsi="Arial" w:cs="Arial"/>
          <w:color w:val="000000"/>
          <w:sz w:val="20"/>
          <w:szCs w:val="20"/>
        </w:rPr>
        <w:t> </w:t>
      </w:r>
      <w:r>
        <w:rPr>
          <w:rFonts w:ascii="Arial" w:eastAsia="Arial" w:hAnsi="Arial" w:cs="Arial"/>
          <w:color w:val="000000"/>
          <w:sz w:val="20"/>
          <w:szCs w:val="20"/>
        </w:rPr>
        <w:t xml:space="preserve">Vyznačeného stanoviště uvedeného v tomto seznamu míst. </w:t>
      </w:r>
    </w:p>
    <w:p w14:paraId="595A07E6" w14:textId="112E2C6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15" w:name="_9yp0akely42d" w:colFirst="0" w:colLast="0"/>
      <w:bookmarkEnd w:id="15"/>
      <w:r>
        <w:rPr>
          <w:rFonts w:ascii="Arial" w:eastAsia="Arial" w:hAnsi="Arial" w:cs="Arial"/>
          <w:color w:val="000000"/>
          <w:sz w:val="20"/>
          <w:szCs w:val="20"/>
        </w:rPr>
        <w:t>HMP vyčlenilo z veřejného prostranství celkový počet míst, na kterých bude povoleno zvláštní užívání veřejného prostranství, tj. budou zřízena Pevná stanoviště a Vyznačená stanoviště pro odkládání Vozidel („</w:t>
      </w:r>
      <w:r>
        <w:rPr>
          <w:rFonts w:ascii="Arial" w:eastAsia="Arial" w:hAnsi="Arial" w:cs="Arial"/>
          <w:b/>
          <w:bCs/>
          <w:color w:val="000000"/>
          <w:sz w:val="20"/>
          <w:szCs w:val="20"/>
        </w:rPr>
        <w:t>Celková kapacita</w:t>
      </w:r>
      <w:r>
        <w:rPr>
          <w:rFonts w:ascii="Arial" w:eastAsia="Arial" w:hAnsi="Arial" w:cs="Arial"/>
          <w:color w:val="000000"/>
          <w:sz w:val="20"/>
          <w:szCs w:val="20"/>
        </w:rPr>
        <w:t>“). Tato Celková kapacita</w:t>
      </w:r>
      <w:r w:rsidR="00A558F2">
        <w:rPr>
          <w:rFonts w:ascii="Arial" w:eastAsia="Arial" w:hAnsi="Arial" w:cs="Arial"/>
          <w:color w:val="000000"/>
          <w:sz w:val="20"/>
          <w:szCs w:val="20"/>
        </w:rPr>
        <w:t xml:space="preserve"> čítá </w:t>
      </w:r>
      <w:r w:rsidR="007F3313">
        <w:rPr>
          <w:rFonts w:ascii="Arial" w:eastAsia="Arial" w:hAnsi="Arial" w:cs="Arial"/>
          <w:color w:val="000000"/>
          <w:sz w:val="20"/>
          <w:szCs w:val="20"/>
        </w:rPr>
        <w:t xml:space="preserve">k okamžiku účinnosti této </w:t>
      </w:r>
      <w:r w:rsidR="00A558F2">
        <w:rPr>
          <w:rFonts w:ascii="Arial" w:eastAsia="Arial" w:hAnsi="Arial" w:cs="Arial"/>
          <w:color w:val="000000"/>
          <w:sz w:val="20"/>
          <w:szCs w:val="20"/>
        </w:rPr>
        <w:t>Smlouvy</w:t>
      </w:r>
      <w:r w:rsidR="00C8522B">
        <w:rPr>
          <w:rFonts w:ascii="Arial" w:eastAsia="Arial" w:hAnsi="Arial" w:cs="Arial"/>
          <w:color w:val="000000"/>
          <w:sz w:val="20"/>
          <w:szCs w:val="20"/>
        </w:rPr>
        <w:t xml:space="preserve"> devět tisíc</w:t>
      </w:r>
      <w:r w:rsidR="00A558F2">
        <w:rPr>
          <w:rFonts w:ascii="Arial" w:eastAsia="Arial" w:hAnsi="Arial" w:cs="Arial"/>
          <w:color w:val="000000"/>
          <w:sz w:val="20"/>
          <w:szCs w:val="20"/>
        </w:rPr>
        <w:t xml:space="preserve"> </w:t>
      </w:r>
      <w:r w:rsidR="00C8522B">
        <w:rPr>
          <w:rFonts w:ascii="Arial" w:eastAsia="Arial" w:hAnsi="Arial" w:cs="Arial"/>
          <w:color w:val="000000"/>
          <w:sz w:val="20"/>
          <w:szCs w:val="20"/>
        </w:rPr>
        <w:t>(9</w:t>
      </w:r>
      <w:r w:rsidR="00A558F2">
        <w:rPr>
          <w:rFonts w:ascii="Arial" w:eastAsia="Arial" w:hAnsi="Arial" w:cs="Arial"/>
          <w:color w:val="000000"/>
          <w:sz w:val="20"/>
          <w:szCs w:val="20"/>
        </w:rPr>
        <w:t>.000</w:t>
      </w:r>
      <w:r w:rsidR="00C8522B">
        <w:rPr>
          <w:rFonts w:ascii="Arial" w:eastAsia="Arial" w:hAnsi="Arial" w:cs="Arial"/>
          <w:color w:val="000000"/>
          <w:sz w:val="20"/>
          <w:szCs w:val="20"/>
        </w:rPr>
        <w:t>)</w:t>
      </w:r>
      <w:r w:rsidR="00A558F2">
        <w:rPr>
          <w:rFonts w:ascii="Arial" w:eastAsia="Arial" w:hAnsi="Arial" w:cs="Arial"/>
          <w:color w:val="000000"/>
          <w:sz w:val="20"/>
          <w:szCs w:val="20"/>
        </w:rPr>
        <w:t xml:space="preserve"> Vozidel pro rok 2026, přičemž Provozovatel je povinen vždy do 30. 8. každého kalendářního roku sdělit HMP svůj požadavek na následující kalendářní rok. Pro výpočet Celkové kapacity v kalendářním roce </w:t>
      </w:r>
      <w:r w:rsidR="00756DEE">
        <w:rPr>
          <w:rFonts w:ascii="Arial" w:eastAsia="Arial" w:hAnsi="Arial" w:cs="Arial"/>
          <w:color w:val="000000"/>
          <w:sz w:val="20"/>
          <w:szCs w:val="20"/>
        </w:rPr>
        <w:t>bude sloužit celková plocha všech Pevných stanovišť a Vyznačených stanovišť, kdy platí, že na jedno Vozidlo připadá 1 m</w:t>
      </w:r>
      <w:r w:rsidR="00756DEE" w:rsidRPr="00756DEE">
        <w:rPr>
          <w:rFonts w:ascii="Arial" w:eastAsia="Arial" w:hAnsi="Arial" w:cs="Arial"/>
          <w:color w:val="000000"/>
          <w:sz w:val="20"/>
          <w:szCs w:val="20"/>
          <w:vertAlign w:val="superscript"/>
        </w:rPr>
        <w:t>2</w:t>
      </w:r>
      <w:r w:rsidR="00756DEE">
        <w:rPr>
          <w:rFonts w:ascii="Arial" w:eastAsia="Arial" w:hAnsi="Arial" w:cs="Arial"/>
          <w:color w:val="000000"/>
          <w:sz w:val="20"/>
          <w:szCs w:val="20"/>
          <w:vertAlign w:val="superscript"/>
        </w:rPr>
        <w:t xml:space="preserve"> </w:t>
      </w:r>
      <w:r w:rsidR="00756DEE">
        <w:rPr>
          <w:rFonts w:ascii="Arial" w:eastAsia="Arial" w:hAnsi="Arial" w:cs="Arial"/>
          <w:color w:val="000000"/>
          <w:sz w:val="20"/>
          <w:szCs w:val="20"/>
        </w:rPr>
        <w:t xml:space="preserve">každého takového stanoviště. Celková kapacita </w:t>
      </w:r>
      <w:r>
        <w:rPr>
          <w:rFonts w:ascii="Arial" w:eastAsia="Arial" w:hAnsi="Arial" w:cs="Arial"/>
          <w:color w:val="000000"/>
          <w:sz w:val="20"/>
          <w:szCs w:val="20"/>
        </w:rPr>
        <w:t>bude</w:t>
      </w:r>
      <w:r w:rsidR="00756DEE">
        <w:rPr>
          <w:rFonts w:ascii="Arial" w:eastAsia="Arial" w:hAnsi="Arial" w:cs="Arial"/>
          <w:color w:val="000000"/>
          <w:sz w:val="20"/>
          <w:szCs w:val="20"/>
        </w:rPr>
        <w:t xml:space="preserve"> </w:t>
      </w:r>
      <w:r>
        <w:rPr>
          <w:rFonts w:ascii="Arial" w:eastAsia="Arial" w:hAnsi="Arial" w:cs="Arial"/>
          <w:color w:val="000000"/>
          <w:sz w:val="20"/>
          <w:szCs w:val="20"/>
        </w:rPr>
        <w:t>uvedena ve formátu Jednotného datového standardu MDS. Provozovatel bere výslovně na vědomí, že rozdělení Celkové kapacity</w:t>
      </w:r>
      <w:r w:rsidR="00756DEE">
        <w:rPr>
          <w:rFonts w:ascii="Arial" w:eastAsia="Arial" w:hAnsi="Arial" w:cs="Arial"/>
          <w:color w:val="000000"/>
          <w:sz w:val="20"/>
          <w:szCs w:val="20"/>
        </w:rPr>
        <w:t xml:space="preserve">, ať už </w:t>
      </w:r>
      <w:r w:rsidR="007F3313">
        <w:rPr>
          <w:rFonts w:ascii="Arial" w:eastAsia="Arial" w:hAnsi="Arial" w:cs="Arial"/>
          <w:color w:val="000000"/>
          <w:sz w:val="20"/>
          <w:szCs w:val="20"/>
        </w:rPr>
        <w:t xml:space="preserve">ke dni účinnosti </w:t>
      </w:r>
      <w:r w:rsidR="00756DEE">
        <w:rPr>
          <w:rFonts w:ascii="Arial" w:eastAsia="Arial" w:hAnsi="Arial" w:cs="Arial"/>
          <w:color w:val="000000"/>
          <w:sz w:val="20"/>
          <w:szCs w:val="20"/>
        </w:rPr>
        <w:t>Smlouvy,</w:t>
      </w:r>
      <w:r w:rsidR="007F3313">
        <w:rPr>
          <w:rFonts w:ascii="Arial" w:eastAsia="Arial" w:hAnsi="Arial" w:cs="Arial"/>
          <w:color w:val="000000"/>
          <w:sz w:val="20"/>
          <w:szCs w:val="20"/>
        </w:rPr>
        <w:t xml:space="preserve"> </w:t>
      </w:r>
      <w:r w:rsidR="00756DEE">
        <w:rPr>
          <w:rFonts w:ascii="Arial" w:eastAsia="Arial" w:hAnsi="Arial" w:cs="Arial"/>
          <w:color w:val="000000"/>
          <w:sz w:val="20"/>
          <w:szCs w:val="20"/>
        </w:rPr>
        <w:t xml:space="preserve">nebo dle výpočtu v následujících kalendářních letech, </w:t>
      </w:r>
      <w:r>
        <w:rPr>
          <w:rFonts w:ascii="Arial" w:eastAsia="Arial" w:hAnsi="Arial" w:cs="Arial"/>
          <w:color w:val="000000"/>
          <w:sz w:val="20"/>
          <w:szCs w:val="20"/>
        </w:rPr>
        <w:t>bude</w:t>
      </w:r>
      <w:r w:rsidR="00756DEE">
        <w:rPr>
          <w:rFonts w:ascii="Arial" w:eastAsia="Arial" w:hAnsi="Arial" w:cs="Arial"/>
          <w:color w:val="000000"/>
          <w:sz w:val="20"/>
          <w:szCs w:val="20"/>
        </w:rPr>
        <w:t xml:space="preserve"> </w:t>
      </w:r>
      <w:r>
        <w:rPr>
          <w:rFonts w:ascii="Arial" w:eastAsia="Arial" w:hAnsi="Arial" w:cs="Arial"/>
          <w:color w:val="000000"/>
          <w:sz w:val="20"/>
          <w:szCs w:val="20"/>
        </w:rPr>
        <w:t>učiněno poměrně mezi všechny provozovatele, kteří budou službu sdílených kol na území HMP provozovat.</w:t>
      </w:r>
      <w:r w:rsidR="00756DEE">
        <w:rPr>
          <w:rFonts w:ascii="Arial" w:eastAsia="Arial" w:hAnsi="Arial" w:cs="Arial"/>
          <w:color w:val="000000"/>
          <w:sz w:val="20"/>
          <w:szCs w:val="20"/>
        </w:rPr>
        <w:t xml:space="preserve"> </w:t>
      </w:r>
      <w:r>
        <w:rPr>
          <w:rFonts w:ascii="Arial" w:eastAsia="Arial" w:hAnsi="Arial" w:cs="Arial"/>
          <w:color w:val="000000"/>
          <w:sz w:val="20"/>
          <w:szCs w:val="20"/>
        </w:rPr>
        <w:t>Toto rozdělení tedy není v čase nijak garantováno a</w:t>
      </w:r>
      <w:r w:rsidR="00D11EC3">
        <w:rPr>
          <w:rFonts w:ascii="Arial" w:eastAsia="Arial" w:hAnsi="Arial" w:cs="Arial"/>
          <w:color w:val="000000"/>
          <w:sz w:val="20"/>
          <w:szCs w:val="20"/>
        </w:rPr>
        <w:t> </w:t>
      </w:r>
      <w:r>
        <w:rPr>
          <w:rFonts w:ascii="Arial" w:eastAsia="Arial" w:hAnsi="Arial" w:cs="Arial"/>
          <w:color w:val="000000"/>
          <w:sz w:val="20"/>
          <w:szCs w:val="20"/>
        </w:rPr>
        <w:t>může být po dobu trvání Smlouvy proměnlivé.</w:t>
      </w:r>
      <w:r w:rsidR="00706C37">
        <w:rPr>
          <w:rFonts w:ascii="Arial" w:eastAsia="Arial" w:hAnsi="Arial" w:cs="Arial"/>
          <w:color w:val="000000"/>
          <w:sz w:val="20"/>
          <w:szCs w:val="20"/>
        </w:rPr>
        <w:t xml:space="preserve"> </w:t>
      </w:r>
      <w:bookmarkStart w:id="16" w:name="_Hlk217387782"/>
      <w:r w:rsidR="00706C37" w:rsidRPr="00706C37">
        <w:rPr>
          <w:rFonts w:ascii="Arial" w:eastAsia="Arial" w:hAnsi="Arial" w:cs="Arial"/>
          <w:color w:val="000000"/>
          <w:sz w:val="20"/>
          <w:szCs w:val="20"/>
        </w:rPr>
        <w:t>Pokud</w:t>
      </w:r>
      <w:r w:rsidR="00706C37">
        <w:rPr>
          <w:rFonts w:ascii="Arial" w:eastAsia="Arial" w:hAnsi="Arial" w:cs="Arial"/>
          <w:color w:val="000000"/>
          <w:sz w:val="20"/>
          <w:szCs w:val="20"/>
        </w:rPr>
        <w:t xml:space="preserve"> HMP </w:t>
      </w:r>
      <w:r w:rsidR="00706C37" w:rsidRPr="00706C37">
        <w:rPr>
          <w:rFonts w:ascii="Arial" w:eastAsia="Arial" w:hAnsi="Arial" w:cs="Arial"/>
          <w:color w:val="000000"/>
          <w:sz w:val="20"/>
          <w:szCs w:val="20"/>
        </w:rPr>
        <w:t xml:space="preserve">neinformuje Poskytovatele o změně Celkové kapacity pro </w:t>
      </w:r>
      <w:r w:rsidR="00706C37">
        <w:rPr>
          <w:rFonts w:ascii="Arial" w:eastAsia="Arial" w:hAnsi="Arial" w:cs="Arial"/>
          <w:color w:val="000000"/>
          <w:sz w:val="20"/>
          <w:szCs w:val="20"/>
        </w:rPr>
        <w:t xml:space="preserve">nadcházející </w:t>
      </w:r>
      <w:r w:rsidR="00706C37" w:rsidRPr="00706C37">
        <w:rPr>
          <w:rFonts w:ascii="Arial" w:eastAsia="Arial" w:hAnsi="Arial" w:cs="Arial"/>
          <w:color w:val="000000"/>
          <w:sz w:val="20"/>
          <w:szCs w:val="20"/>
        </w:rPr>
        <w:t>kalendářní rok nejpozději do 15.9.</w:t>
      </w:r>
      <w:r w:rsidR="00706C37">
        <w:rPr>
          <w:rFonts w:ascii="Arial" w:eastAsia="Arial" w:hAnsi="Arial" w:cs="Arial"/>
          <w:color w:val="000000"/>
          <w:sz w:val="20"/>
          <w:szCs w:val="20"/>
        </w:rPr>
        <w:t xml:space="preserve"> příslušného kalendářního roku</w:t>
      </w:r>
      <w:r w:rsidR="00706C37" w:rsidRPr="00706C37">
        <w:rPr>
          <w:rFonts w:ascii="Arial" w:eastAsia="Arial" w:hAnsi="Arial" w:cs="Arial"/>
          <w:color w:val="000000"/>
          <w:sz w:val="20"/>
          <w:szCs w:val="20"/>
        </w:rPr>
        <w:t xml:space="preserve">, má se za to, že Celková kapacita se pro </w:t>
      </w:r>
      <w:r w:rsidR="00706C37">
        <w:rPr>
          <w:rFonts w:ascii="Arial" w:eastAsia="Arial" w:hAnsi="Arial" w:cs="Arial"/>
          <w:color w:val="000000"/>
          <w:sz w:val="20"/>
          <w:szCs w:val="20"/>
        </w:rPr>
        <w:t xml:space="preserve">nadcházející kalendářní </w:t>
      </w:r>
      <w:r w:rsidR="00706C37" w:rsidRPr="00706C37">
        <w:rPr>
          <w:rFonts w:ascii="Arial" w:eastAsia="Arial" w:hAnsi="Arial" w:cs="Arial"/>
          <w:color w:val="000000"/>
          <w:sz w:val="20"/>
          <w:szCs w:val="20"/>
        </w:rPr>
        <w:t>rok</w:t>
      </w:r>
      <w:r w:rsidR="00706C37">
        <w:rPr>
          <w:rFonts w:ascii="Arial" w:eastAsia="Arial" w:hAnsi="Arial" w:cs="Arial"/>
          <w:color w:val="000000"/>
          <w:sz w:val="20"/>
          <w:szCs w:val="20"/>
        </w:rPr>
        <w:t xml:space="preserve"> </w:t>
      </w:r>
      <w:r w:rsidR="00706C37" w:rsidRPr="00706C37">
        <w:rPr>
          <w:rFonts w:ascii="Arial" w:eastAsia="Arial" w:hAnsi="Arial" w:cs="Arial"/>
          <w:color w:val="000000"/>
          <w:sz w:val="20"/>
          <w:szCs w:val="20"/>
        </w:rPr>
        <w:t>nezmenší.</w:t>
      </w:r>
      <w:r w:rsidR="00706C37">
        <w:rPr>
          <w:rFonts w:ascii="Arial" w:eastAsia="Arial" w:hAnsi="Arial" w:cs="Arial"/>
          <w:color w:val="000000"/>
          <w:sz w:val="20"/>
          <w:szCs w:val="20"/>
        </w:rPr>
        <w:t xml:space="preserve"> </w:t>
      </w:r>
      <w:r w:rsidR="00706C37" w:rsidRPr="00706C37">
        <w:rPr>
          <w:rFonts w:ascii="Arial" w:eastAsia="Arial" w:hAnsi="Arial" w:cs="Arial"/>
          <w:color w:val="000000"/>
          <w:sz w:val="20"/>
          <w:szCs w:val="20"/>
        </w:rPr>
        <w:t>HMP si zároveň vyhrazuje, že v rámci každoročního výpočtu Celkové kapacity může v odůvodněných případech snížit Celkovou kapacitu pod úroveň výpočtu dle tohoto odstavce</w:t>
      </w:r>
      <w:bookmarkEnd w:id="16"/>
      <w:r>
        <w:rPr>
          <w:rFonts w:ascii="Arial" w:eastAsia="Arial" w:hAnsi="Arial" w:cs="Arial"/>
          <w:color w:val="000000"/>
          <w:sz w:val="20"/>
          <w:szCs w:val="20"/>
        </w:rPr>
        <w:t xml:space="preserve">. S ohledem na tyto skutečnosti je uzavření této Smlouvy výslovným a nepřenositelným podnikatelským rizikem Provozovatele. </w:t>
      </w:r>
    </w:p>
    <w:p w14:paraId="6DEDF7AA" w14:textId="4CEAC536"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Počet míst na jednotlivých Pevných stanovištích je limitován pouze jejich maximální kapacitou, rozdělenou rovným dílem mezi provozovatele. Počet míst na Vyznačených stanovištích je limitován pouze jejich aktuálním využitím</w:t>
      </w:r>
      <w:r>
        <w:rPr>
          <w:rFonts w:ascii="Arial" w:eastAsia="Arial" w:hAnsi="Arial" w:cs="Arial"/>
          <w:sz w:val="20"/>
          <w:szCs w:val="20"/>
        </w:rPr>
        <w:t xml:space="preserve">. V případě odstavení Vozidla koncovým uživatelem i přes naplnění </w:t>
      </w:r>
      <w:r>
        <w:rPr>
          <w:rFonts w:ascii="Arial" w:eastAsia="Arial" w:hAnsi="Arial" w:cs="Arial"/>
          <w:color w:val="000000"/>
          <w:sz w:val="20"/>
          <w:szCs w:val="20"/>
        </w:rPr>
        <w:t xml:space="preserve">kapacity Pevného stanoviště nebo Vyznačeného stanoviště je Provozovatel povinen Vozidlo z tohoto místa odstranit. Při odstranění Vozidla postupuje Provozovatel v časových intervalech dle čl. </w:t>
      </w:r>
      <w:r w:rsidR="002039A8">
        <w:rPr>
          <w:rFonts w:ascii="Arial" w:eastAsia="Arial" w:hAnsi="Arial" w:cs="Arial"/>
          <w:color w:val="000000"/>
          <w:sz w:val="20"/>
          <w:szCs w:val="20"/>
        </w:rPr>
        <w:fldChar w:fldCharType="begin"/>
      </w:r>
      <w:r w:rsidR="002039A8">
        <w:rPr>
          <w:rFonts w:ascii="Arial" w:eastAsia="Arial" w:hAnsi="Arial" w:cs="Arial"/>
          <w:color w:val="000000"/>
          <w:sz w:val="20"/>
          <w:szCs w:val="20"/>
        </w:rPr>
        <w:instrText xml:space="preserve"> REF _Ref217307507 \r \h </w:instrText>
      </w:r>
      <w:r w:rsidR="002039A8">
        <w:rPr>
          <w:rFonts w:ascii="Arial" w:eastAsia="Arial" w:hAnsi="Arial" w:cs="Arial"/>
          <w:color w:val="000000"/>
          <w:sz w:val="20"/>
          <w:szCs w:val="20"/>
        </w:rPr>
      </w:r>
      <w:r w:rsidR="002039A8">
        <w:rPr>
          <w:rFonts w:ascii="Arial" w:eastAsia="Arial" w:hAnsi="Arial" w:cs="Arial"/>
          <w:color w:val="000000"/>
          <w:sz w:val="20"/>
          <w:szCs w:val="20"/>
        </w:rPr>
        <w:fldChar w:fldCharType="separate"/>
      </w:r>
      <w:r w:rsidR="002039A8">
        <w:rPr>
          <w:rFonts w:ascii="Arial" w:eastAsia="Arial" w:hAnsi="Arial" w:cs="Arial"/>
          <w:color w:val="000000"/>
          <w:sz w:val="20"/>
          <w:szCs w:val="20"/>
        </w:rPr>
        <w:t>2.8</w:t>
      </w:r>
      <w:r w:rsidR="002039A8">
        <w:rPr>
          <w:rFonts w:ascii="Arial" w:eastAsia="Arial" w:hAnsi="Arial" w:cs="Arial"/>
          <w:color w:val="000000"/>
          <w:sz w:val="20"/>
          <w:szCs w:val="20"/>
        </w:rPr>
        <w:fldChar w:fldCharType="end"/>
      </w:r>
      <w:r w:rsidR="002039A8">
        <w:rPr>
          <w:rFonts w:ascii="Arial" w:eastAsia="Arial" w:hAnsi="Arial" w:cs="Arial"/>
          <w:color w:val="000000"/>
          <w:sz w:val="20"/>
          <w:szCs w:val="20"/>
        </w:rPr>
        <w:t xml:space="preserve"> </w:t>
      </w:r>
      <w:r>
        <w:rPr>
          <w:rFonts w:ascii="Arial" w:eastAsia="Arial" w:hAnsi="Arial" w:cs="Arial"/>
          <w:color w:val="000000"/>
          <w:sz w:val="20"/>
          <w:szCs w:val="20"/>
        </w:rPr>
        <w:t>této Smlouvy. Za odstranění Vozidla se považuje i jeho odstranění či p</w:t>
      </w:r>
      <w:r>
        <w:rPr>
          <w:rFonts w:ascii="Arial" w:eastAsia="Arial" w:hAnsi="Arial" w:cs="Arial"/>
          <w:sz w:val="20"/>
          <w:szCs w:val="20"/>
        </w:rPr>
        <w:t>ůjčení jiného Vozidla z Pevného stanoviště, tj. skutečnost, že se celkový počet vozidel</w:t>
      </w:r>
      <w:r w:rsidR="00B92617">
        <w:rPr>
          <w:rFonts w:ascii="Arial" w:eastAsia="Arial" w:hAnsi="Arial" w:cs="Arial"/>
          <w:sz w:val="20"/>
          <w:szCs w:val="20"/>
        </w:rPr>
        <w:t xml:space="preserve"> </w:t>
      </w:r>
      <w:r>
        <w:rPr>
          <w:rFonts w:ascii="Arial" w:eastAsia="Arial" w:hAnsi="Arial" w:cs="Arial"/>
          <w:sz w:val="20"/>
          <w:szCs w:val="20"/>
        </w:rPr>
        <w:t>Poskytovatele jakkoliv zmenšil tak, že se rovná maximální kapacitě daného Pevného stanoviště, nebo je nižší než jeho maximální kapacita.</w:t>
      </w:r>
    </w:p>
    <w:p w14:paraId="5D43314A" w14:textId="7737D786"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Není vyloučeno, aby byl poměr Vozidel Provozovatele a ostatních provozovatelů na Vyznačeném stanovišti neproporcionální, nebo aby Provozovatel (nebo kterýkoliv z provozovatelů) zcela zaplnil konkrétní Vyznačené stanoviště pouze svými Vozidly. Parita mezi jednotlivými provozovateli je zajištěna rozdělením Celkové kapacity. Podá-li však Provozovatel (nebo kterýkoliv z provozovatelů) návrh na přerozdělení kapacity Vyznačených stanovišť z důvodu nespravedlivého stavu, může HMP do tohoto nastavení zasáhnout. HMP</w:t>
      </w:r>
      <w:r w:rsidR="00B92617">
        <w:rPr>
          <w:rFonts w:ascii="Arial" w:eastAsia="Arial" w:hAnsi="Arial" w:cs="Arial"/>
          <w:color w:val="000000"/>
          <w:sz w:val="20"/>
          <w:szCs w:val="20"/>
        </w:rPr>
        <w:t xml:space="preserve"> může </w:t>
      </w:r>
      <w:r>
        <w:rPr>
          <w:rFonts w:ascii="Arial" w:eastAsia="Arial" w:hAnsi="Arial" w:cs="Arial"/>
          <w:color w:val="000000"/>
          <w:sz w:val="20"/>
          <w:szCs w:val="20"/>
        </w:rPr>
        <w:t xml:space="preserve">kapacitu Pevných stanovišť přerozdělit i bez návrhu tam, kde některý provozovatel neposkytuje služby sdílených kol podle této Smlouvy vůbec či v nedostatečném rozsahu, resp. tam, kde neumožňuje koncovým uživatelům některá Pevná stanoviště využívat.   </w:t>
      </w:r>
    </w:p>
    <w:p w14:paraId="75C6B986"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Provozovatel bere výslovně na vědomí, že Pevná stanoviště i Vyznačená stanoviště je oprávněna využívat i veřejnost, která může jejich aktuální volnou kapacitu dočasně omezit (zpravidla ne více, než 20 %). Veřejnost má při zaplnění kapacity Pevného stanoviště či Vyznačeného stanoviště přednost před Vozidly Provozovatele (resp. ostatních provozovatelů).   </w:t>
      </w:r>
    </w:p>
    <w:p w14:paraId="63C83B1F" w14:textId="61E4A48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Provozovatel je kdykoliv oprávněn si nad rámec Celkové kapacity zajistit pro svá Vozidla i další místa, která nejsou ve vlastnictví HMP a</w:t>
      </w:r>
      <w:r w:rsidR="00584F33">
        <w:rPr>
          <w:rFonts w:ascii="Arial" w:eastAsia="Arial" w:hAnsi="Arial" w:cs="Arial"/>
          <w:color w:val="000000"/>
          <w:sz w:val="20"/>
          <w:szCs w:val="20"/>
        </w:rPr>
        <w:t>/</w:t>
      </w:r>
      <w:r>
        <w:rPr>
          <w:rFonts w:ascii="Arial" w:eastAsia="Arial" w:hAnsi="Arial" w:cs="Arial"/>
          <w:color w:val="000000"/>
          <w:sz w:val="20"/>
          <w:szCs w:val="20"/>
        </w:rPr>
        <w:t>nebo jsou ve svěřené správě městské části, která nepověřila TSK uzavřením této Smlouvy. Tato jiná místa však nejsou podřazena režimu této Smlouvy a Provozovatel si užívací právo k nim sjedná na vlastní náklady, riziko a odpovědnost s jejich vlastníkem, případně jinou osobou, která je</w:t>
      </w:r>
      <w:r w:rsidR="00BE1E05">
        <w:rPr>
          <w:rFonts w:ascii="Arial" w:eastAsia="Arial" w:hAnsi="Arial" w:cs="Arial"/>
          <w:color w:val="000000"/>
          <w:sz w:val="20"/>
          <w:szCs w:val="20"/>
        </w:rPr>
        <w:t> </w:t>
      </w:r>
      <w:r>
        <w:rPr>
          <w:rFonts w:ascii="Arial" w:eastAsia="Arial" w:hAnsi="Arial" w:cs="Arial"/>
          <w:color w:val="000000"/>
          <w:sz w:val="20"/>
          <w:szCs w:val="20"/>
        </w:rPr>
        <w:t xml:space="preserve">oprávněna s nimi nakládat. Provozovatel je však povinen informovat o této skutečnosti HMP do pěti (5) pracovních dnů od chvíle, kdy nastane, aby mohlo být místo evidováno ve formátu Jednotného datového standardu MDS.  </w:t>
      </w:r>
    </w:p>
    <w:p w14:paraId="1390EE67"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sz w:val="20"/>
          <w:szCs w:val="20"/>
        </w:rPr>
      </w:pPr>
      <w:r>
        <w:rPr>
          <w:rFonts w:ascii="Arial" w:eastAsia="Arial" w:hAnsi="Arial" w:cs="Arial"/>
          <w:sz w:val="20"/>
          <w:szCs w:val="20"/>
        </w:rPr>
        <w:lastRenderedPageBreak/>
        <w:t>Provozovatel je oprávněn navrhovat HMP jednání o rozšíření, zúžení či jiných úpravách Pevných stanovišť i Vyznačených stanovišť. V případě, že HMP návrhy Provozovatele neschválí, není Provozovatel oprávněn navrhnout opakované jednání v téže věci dříve, než po uplynutí šesti (6) měsíců.</w:t>
      </w:r>
    </w:p>
    <w:p w14:paraId="3A16AC9A" w14:textId="2190296B"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sz w:val="20"/>
          <w:szCs w:val="20"/>
        </w:rPr>
      </w:pPr>
      <w:r>
        <w:rPr>
          <w:rFonts w:ascii="Arial" w:eastAsia="Arial" w:hAnsi="Arial" w:cs="Arial"/>
          <w:sz w:val="20"/>
          <w:szCs w:val="20"/>
        </w:rPr>
        <w:t>Předávání informací ohledně kapacit Pevných stanovišť i Vyznačených stanovišť mezi HMP, TSK a</w:t>
      </w:r>
      <w:r w:rsidR="007E6E4A">
        <w:rPr>
          <w:rFonts w:ascii="Arial" w:eastAsia="Arial" w:hAnsi="Arial" w:cs="Arial"/>
          <w:sz w:val="20"/>
          <w:szCs w:val="20"/>
        </w:rPr>
        <w:t> </w:t>
      </w:r>
      <w:r>
        <w:rPr>
          <w:rFonts w:ascii="Arial" w:eastAsia="Arial" w:hAnsi="Arial" w:cs="Arial"/>
          <w:sz w:val="20"/>
          <w:szCs w:val="20"/>
        </w:rPr>
        <w:t xml:space="preserve">Provozovatelem a mezi provozovateli navzájem, a také o umístění Vozidel, bude zajištěno prostřednictvím Jednotného datového standardu MDS (podrobnosti stanoví čl. </w:t>
      </w:r>
      <w:r w:rsidR="007E6E4A">
        <w:rPr>
          <w:rFonts w:ascii="Arial" w:eastAsia="Arial" w:hAnsi="Arial" w:cs="Arial"/>
          <w:sz w:val="20"/>
          <w:szCs w:val="20"/>
        </w:rPr>
        <w:fldChar w:fldCharType="begin"/>
      </w:r>
      <w:r w:rsidR="007E6E4A">
        <w:rPr>
          <w:rFonts w:ascii="Arial" w:eastAsia="Arial" w:hAnsi="Arial" w:cs="Arial"/>
          <w:sz w:val="20"/>
          <w:szCs w:val="20"/>
        </w:rPr>
        <w:instrText xml:space="preserve"> REF _Ref217307652 \r \h </w:instrText>
      </w:r>
      <w:r w:rsidR="007E6E4A">
        <w:rPr>
          <w:rFonts w:ascii="Arial" w:eastAsia="Arial" w:hAnsi="Arial" w:cs="Arial"/>
          <w:sz w:val="20"/>
          <w:szCs w:val="20"/>
        </w:rPr>
      </w:r>
      <w:r w:rsidR="007E6E4A">
        <w:rPr>
          <w:rFonts w:ascii="Arial" w:eastAsia="Arial" w:hAnsi="Arial" w:cs="Arial"/>
          <w:sz w:val="20"/>
          <w:szCs w:val="20"/>
        </w:rPr>
        <w:fldChar w:fldCharType="separate"/>
      </w:r>
      <w:r w:rsidR="007E6E4A">
        <w:rPr>
          <w:rFonts w:ascii="Arial" w:eastAsia="Arial" w:hAnsi="Arial" w:cs="Arial"/>
          <w:sz w:val="20"/>
          <w:szCs w:val="20"/>
        </w:rPr>
        <w:t>7</w:t>
      </w:r>
      <w:r w:rsidR="007E6E4A">
        <w:rPr>
          <w:rFonts w:ascii="Arial" w:eastAsia="Arial" w:hAnsi="Arial" w:cs="Arial"/>
          <w:sz w:val="20"/>
          <w:szCs w:val="20"/>
        </w:rPr>
        <w:fldChar w:fldCharType="end"/>
      </w:r>
      <w:r>
        <w:rPr>
          <w:rFonts w:ascii="Arial" w:eastAsia="Arial" w:hAnsi="Arial" w:cs="Arial"/>
          <w:sz w:val="20"/>
          <w:szCs w:val="20"/>
        </w:rPr>
        <w:t xml:space="preserve"> této Smlouvy).</w:t>
      </w:r>
    </w:p>
    <w:p w14:paraId="12E858DB" w14:textId="22D2251D" w:rsidR="00175781" w:rsidRDefault="00D26B9F">
      <w:pPr>
        <w:numPr>
          <w:ilvl w:val="0"/>
          <w:numId w:val="2"/>
        </w:numPr>
        <w:pBdr>
          <w:top w:val="nil"/>
          <w:left w:val="nil"/>
          <w:bottom w:val="nil"/>
          <w:right w:val="nil"/>
          <w:between w:val="nil"/>
        </w:pBdr>
        <w:spacing w:after="200" w:line="276" w:lineRule="auto"/>
        <w:jc w:val="both"/>
        <w:rPr>
          <w:rFonts w:ascii="Arial" w:eastAsia="Arial" w:hAnsi="Arial" w:cs="Arial"/>
          <w:sz w:val="20"/>
          <w:szCs w:val="20"/>
        </w:rPr>
      </w:pPr>
      <w:bookmarkStart w:id="17" w:name="_6xaw69jpxi8u" w:colFirst="0" w:colLast="0"/>
      <w:bookmarkEnd w:id="17"/>
      <w:r>
        <w:rPr>
          <w:rFonts w:ascii="Arial" w:eastAsia="Arial" w:hAnsi="Arial" w:cs="Arial"/>
          <w:b/>
          <w:bCs/>
          <w:sz w:val="20"/>
          <w:szCs w:val="20"/>
        </w:rPr>
        <w:t>POŽADAVKY NA ÚDRŽBU A ODSTRA</w:t>
      </w:r>
      <w:r w:rsidR="002E020B">
        <w:rPr>
          <w:rFonts w:ascii="Arial" w:eastAsia="Arial" w:hAnsi="Arial" w:cs="Arial"/>
          <w:b/>
          <w:bCs/>
          <w:sz w:val="20"/>
          <w:szCs w:val="20"/>
        </w:rPr>
        <w:t>Ň</w:t>
      </w:r>
      <w:r>
        <w:rPr>
          <w:rFonts w:ascii="Arial" w:eastAsia="Arial" w:hAnsi="Arial" w:cs="Arial"/>
          <w:b/>
          <w:bCs/>
          <w:sz w:val="20"/>
          <w:szCs w:val="20"/>
        </w:rPr>
        <w:t>OVÁNÍ POHOZENÝCH VOZIDEL</w:t>
      </w:r>
    </w:p>
    <w:p w14:paraId="76A572EA"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sz w:val="20"/>
          <w:szCs w:val="20"/>
        </w:rPr>
      </w:pPr>
      <w:bookmarkStart w:id="18" w:name="_gjfz94ql1lga" w:colFirst="0" w:colLast="0"/>
      <w:bookmarkEnd w:id="18"/>
      <w:r>
        <w:rPr>
          <w:rFonts w:ascii="Arial" w:eastAsia="Arial" w:hAnsi="Arial" w:cs="Arial"/>
          <w:sz w:val="20"/>
          <w:szCs w:val="20"/>
        </w:rPr>
        <w:t>Provozovatel bude provádět pravidelnou údržbu svých Vozidel a bude do Pevných stanovišť i Vyznačených stanovišť umisťovat pouze Vozidla způsobilá provozu dle Vyhlášky č. 153/2023. Pokud zjistí, nebo mu bude jakkoliv oznámeno, že se na území HMP vyskytuje Vozidlo, které není způsobilé provozu (tj. neodpovídá Vyhlášce 153/2023), je povinen je do 72 hodin odstranit. Od okamžiku zjištění, že Vozidlo není způsobilé k provozu, až do jeho odstranění, rovněž Provozovatel neumožní rezervaci a užití Vozidla prostřednictvím Aplikace.</w:t>
      </w:r>
      <w:r>
        <w:rPr>
          <w:rFonts w:ascii="Arial" w:eastAsia="Arial" w:hAnsi="Arial" w:cs="Arial"/>
          <w:color w:val="000000"/>
          <w:sz w:val="20"/>
          <w:szCs w:val="20"/>
        </w:rPr>
        <w:t xml:space="preserve"> </w:t>
      </w:r>
    </w:p>
    <w:p w14:paraId="44368567" w14:textId="5D314165"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19" w:name="_m5vhgae2g6qv" w:colFirst="0" w:colLast="0"/>
      <w:bookmarkEnd w:id="19"/>
      <w:r>
        <w:rPr>
          <w:rFonts w:ascii="Arial" w:eastAsia="Arial" w:hAnsi="Arial" w:cs="Arial"/>
          <w:color w:val="000000"/>
          <w:sz w:val="20"/>
          <w:szCs w:val="20"/>
        </w:rPr>
        <w:t>Pokud Provozovatel v rozporu s touto Smlouvou nezajistí odstranění Vozidla umístěného mimo Pevné stanoviště nebo Vyznačené stanoviště, nebo Vozidla, které překračuje kapacitu Pevného stanoviště, nebo Vozidla nezpůsobilého k provozu dle Vyhlášky č. 153/2023, je HMP oprávněno provést odstranění vlastními silami, nebo prostřednictvím dalších subjektů, které touto činnost</w:t>
      </w:r>
      <w:r w:rsidR="00C36FA3">
        <w:rPr>
          <w:rFonts w:ascii="Arial" w:eastAsia="Arial" w:hAnsi="Arial" w:cs="Arial"/>
          <w:color w:val="000000"/>
          <w:sz w:val="20"/>
          <w:szCs w:val="20"/>
        </w:rPr>
        <w:t>í</w:t>
      </w:r>
      <w:r>
        <w:rPr>
          <w:rFonts w:ascii="Arial" w:eastAsia="Arial" w:hAnsi="Arial" w:cs="Arial"/>
          <w:color w:val="000000"/>
          <w:sz w:val="20"/>
          <w:szCs w:val="20"/>
        </w:rPr>
        <w:t xml:space="preserve"> pověří. HMP takto odstraněná Vozidla uskladní na náklady Provozovatele. </w:t>
      </w:r>
      <w:bookmarkStart w:id="20" w:name="_Hlk217388623"/>
      <w:r w:rsidR="00A327FD" w:rsidRPr="00A327FD">
        <w:rPr>
          <w:rFonts w:ascii="Arial" w:eastAsia="Arial" w:hAnsi="Arial" w:cs="Arial"/>
          <w:color w:val="000000"/>
          <w:sz w:val="20"/>
          <w:szCs w:val="20"/>
        </w:rPr>
        <w:t>O odstranění a místě uskladnění Vozidla bude HMP informovat Provozovatele bez zbytečného odkladu (zpravidla do 24 hodin, nejpozději však do 48 hodin) ve formátu Jednotného datového standardu MDS. Pokud není možné informovat pomocí Jednotného datového standardu MDS, pak HMP použije e-mail</w:t>
      </w:r>
      <w:bookmarkEnd w:id="20"/>
      <w:r>
        <w:rPr>
          <w:rFonts w:ascii="Arial" w:eastAsia="Arial" w:hAnsi="Arial" w:cs="Arial"/>
          <w:color w:val="000000"/>
          <w:sz w:val="20"/>
          <w:szCs w:val="20"/>
        </w:rPr>
        <w:t xml:space="preserve">.   </w:t>
      </w:r>
    </w:p>
    <w:p w14:paraId="2E474946" w14:textId="6EBF6CC4" w:rsidR="00175781" w:rsidRPr="00584F33" w:rsidRDefault="00D26B9F" w:rsidP="00584F33">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Uskladněná Vozidla budou vydána Provozovateli po uhrazení nákladů vynaložených na jejich odstranění a uskladnění. Strany se dohodly, že výše nákladů na odstranění jednoho Vozidla činí paušální částku 500</w:t>
      </w:r>
      <w:r w:rsidR="00541BCE">
        <w:rPr>
          <w:rFonts w:ascii="Arial" w:eastAsia="Arial" w:hAnsi="Arial" w:cs="Arial"/>
          <w:color w:val="000000"/>
          <w:sz w:val="20"/>
          <w:szCs w:val="20"/>
        </w:rPr>
        <w:t> </w:t>
      </w:r>
      <w:r>
        <w:rPr>
          <w:rFonts w:ascii="Arial" w:eastAsia="Arial" w:hAnsi="Arial" w:cs="Arial"/>
          <w:color w:val="000000"/>
          <w:sz w:val="20"/>
          <w:szCs w:val="20"/>
        </w:rPr>
        <w:t xml:space="preserve">Kč a výše nákladů na uskladnění jednoho Vozidla činí paušální částku 100 Kč za každý i započatý den. Provozovatel výslovně akceptuje, že až do okamžiku úhrady nákladů na odstranění a uskladnění Vozidla realizuje HMP na Vozidle (či Vozidlech) zadržovací právo. V případě, kdy Vozidlo (či Vozidla) nebudou Provozovatelem vyzvednuta z místa uskladnění do 60 dnů, platí, že Vozidlo (či Vozidla) jsou opuštěnou věcí a HMP je oprávněno s nimi naložit dle vlastního uvážení, včetně jejich likvidace. Provozovatel se přitom zavazuje, že náklady související s likvidací Vozidla (či Vozidel) uhradí ve prospěch HMP v plné (skutečně vynaložené) výši. Zadržovací právo k okamžiku likvidace Vozidla (či Vozidel) zaniká, nárok HMP na náhradu nákladů na odstranění a uskladnění Vozidla (či Vozidel) tím není dotčen. Forma úhrady jakýchkoliv nákladů, které mohou dle tohoto článku Smlouvy vzniknout, závisí na úvaze HMP. Tyto náklady je HMP oprávněno buď fakturovat, nebo je od Provozovatele přijmout hotovostně i bezhotovostně oproti potvrzení jejich úhrady na místě uskladnění Vozidel. </w:t>
      </w:r>
      <w:bookmarkStart w:id="21" w:name="_yf0kprpwwvqv" w:colFirst="0" w:colLast="0"/>
      <w:bookmarkEnd w:id="21"/>
    </w:p>
    <w:p w14:paraId="7FD2D945"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22" w:name="_s6py5z3tticg" w:colFirst="0" w:colLast="0"/>
      <w:bookmarkEnd w:id="22"/>
      <w:r>
        <w:rPr>
          <w:rFonts w:ascii="Arial" w:eastAsia="Arial" w:hAnsi="Arial" w:cs="Arial"/>
          <w:color w:val="000000"/>
          <w:sz w:val="20"/>
          <w:szCs w:val="20"/>
        </w:rPr>
        <w:t>Pokud si Provozovatel sám zajistí svá vlastní stanoviště, je povinen tato udržovat v provozuschopném stavu tak, aby je mohli koncoví uživatelé využívat pro odstavení Vozidel.</w:t>
      </w:r>
    </w:p>
    <w:p w14:paraId="56E619E9" w14:textId="77777777" w:rsidR="00175781" w:rsidRDefault="00D26B9F">
      <w:pPr>
        <w:numPr>
          <w:ilvl w:val="0"/>
          <w:numId w:val="2"/>
        </w:numPr>
        <w:pBdr>
          <w:top w:val="nil"/>
          <w:left w:val="nil"/>
          <w:bottom w:val="nil"/>
          <w:right w:val="nil"/>
          <w:between w:val="nil"/>
        </w:pBdr>
        <w:spacing w:after="200" w:line="276" w:lineRule="auto"/>
        <w:jc w:val="both"/>
        <w:rPr>
          <w:rFonts w:ascii="Arial" w:eastAsia="Arial" w:hAnsi="Arial" w:cs="Arial"/>
          <w:color w:val="000000"/>
          <w:sz w:val="20"/>
          <w:szCs w:val="20"/>
        </w:rPr>
      </w:pPr>
      <w:bookmarkStart w:id="23" w:name="_bjslbpvvgcqu" w:colFirst="0" w:colLast="0"/>
      <w:bookmarkStart w:id="24" w:name="_Ref217307652"/>
      <w:bookmarkEnd w:id="23"/>
      <w:r>
        <w:rPr>
          <w:rFonts w:ascii="Arial" w:eastAsia="Arial" w:hAnsi="Arial" w:cs="Arial"/>
          <w:b/>
          <w:bCs/>
          <w:color w:val="000000"/>
          <w:sz w:val="20"/>
          <w:szCs w:val="20"/>
        </w:rPr>
        <w:t>PŘEDÁVÁNÍ INFORMACÍ</w:t>
      </w:r>
      <w:bookmarkEnd w:id="24"/>
      <w:r>
        <w:rPr>
          <w:rFonts w:ascii="Arial" w:eastAsia="Arial" w:hAnsi="Arial" w:cs="Arial"/>
          <w:b/>
          <w:bCs/>
          <w:color w:val="000000"/>
          <w:sz w:val="20"/>
          <w:szCs w:val="20"/>
        </w:rPr>
        <w:t xml:space="preserve"> </w:t>
      </w:r>
    </w:p>
    <w:p w14:paraId="547CE492" w14:textId="10751428" w:rsidR="00175781" w:rsidRDefault="00D26B9F">
      <w:pPr>
        <w:numPr>
          <w:ilvl w:val="1"/>
          <w:numId w:val="2"/>
        </w:numPr>
        <w:pBdr>
          <w:top w:val="nil"/>
          <w:left w:val="nil"/>
          <w:bottom w:val="nil"/>
          <w:right w:val="nil"/>
          <w:between w:val="nil"/>
        </w:pBdr>
        <w:spacing w:after="100" w:line="276" w:lineRule="auto"/>
        <w:ind w:left="851" w:hanging="494"/>
        <w:jc w:val="both"/>
        <w:rPr>
          <w:rFonts w:ascii="Arial" w:eastAsia="Arial" w:hAnsi="Arial" w:cs="Arial"/>
          <w:sz w:val="20"/>
          <w:szCs w:val="20"/>
        </w:rPr>
      </w:pPr>
      <w:r>
        <w:rPr>
          <w:rFonts w:ascii="Arial" w:eastAsia="Arial" w:hAnsi="Arial" w:cs="Arial"/>
          <w:sz w:val="20"/>
          <w:szCs w:val="20"/>
        </w:rPr>
        <w:t>Smluvní strany jsou povinny sdílet data prostřednictvím použití Jednotného datového standardu MDS (</w:t>
      </w:r>
      <w:hyperlink r:id="rId8">
        <w:r w:rsidR="00175781">
          <w:rPr>
            <w:rFonts w:ascii="Arial" w:eastAsia="Arial" w:hAnsi="Arial" w:cs="Arial"/>
            <w:color w:val="0000FF"/>
            <w:sz w:val="20"/>
            <w:szCs w:val="20"/>
            <w:u w:val="single"/>
          </w:rPr>
          <w:t>Mobility Data Specification</w:t>
        </w:r>
      </w:hyperlink>
      <w:r>
        <w:rPr>
          <w:rFonts w:ascii="Arial" w:eastAsia="Arial" w:hAnsi="Arial" w:cs="Arial"/>
          <w:sz w:val="20"/>
          <w:szCs w:val="20"/>
        </w:rPr>
        <w:t xml:space="preserve"> </w:t>
      </w:r>
      <w:hyperlink r:id="rId9" w:anchor="cities-using-mds">
        <w:r w:rsidR="00175781">
          <w:rPr>
            <w:rFonts w:ascii="Arial" w:eastAsia="Arial" w:hAnsi="Arial" w:cs="Arial"/>
            <w:color w:val="0000FF"/>
            <w:sz w:val="20"/>
            <w:szCs w:val="20"/>
            <w:u w:val="single"/>
          </w:rPr>
          <w:t>MDS</w:t>
        </w:r>
      </w:hyperlink>
      <w:r>
        <w:rPr>
          <w:rFonts w:ascii="Arial" w:eastAsia="Arial" w:hAnsi="Arial" w:cs="Arial"/>
          <w:sz w:val="20"/>
          <w:szCs w:val="20"/>
        </w:rPr>
        <w:t>). Jednotný datový standard MDS je standard pro výměnu dat mezi provozovateli sdílené mobility a městy nebo jinými městskými subjekty, tj. pro účely této Smlouvy s TSK a</w:t>
      </w:r>
      <w:r w:rsidR="004634F8">
        <w:rPr>
          <w:rFonts w:ascii="Arial" w:eastAsia="Arial" w:hAnsi="Arial" w:cs="Arial"/>
          <w:sz w:val="20"/>
          <w:szCs w:val="20"/>
        </w:rPr>
        <w:t> </w:t>
      </w:r>
      <w:r>
        <w:rPr>
          <w:rFonts w:ascii="Arial" w:eastAsia="Arial" w:hAnsi="Arial" w:cs="Arial"/>
          <w:sz w:val="20"/>
          <w:szCs w:val="20"/>
        </w:rPr>
        <w:t>HMP.</w:t>
      </w:r>
    </w:p>
    <w:p w14:paraId="5659A894" w14:textId="77777777" w:rsidR="00175781" w:rsidRDefault="00D26B9F">
      <w:pPr>
        <w:numPr>
          <w:ilvl w:val="1"/>
          <w:numId w:val="2"/>
        </w:numPr>
        <w:pBdr>
          <w:top w:val="nil"/>
          <w:left w:val="nil"/>
          <w:bottom w:val="nil"/>
          <w:right w:val="nil"/>
          <w:between w:val="nil"/>
        </w:pBdr>
        <w:spacing w:after="100" w:line="276" w:lineRule="auto"/>
        <w:ind w:left="851" w:hanging="494"/>
        <w:jc w:val="both"/>
        <w:rPr>
          <w:rFonts w:ascii="Arial" w:eastAsia="Arial" w:hAnsi="Arial" w:cs="Arial"/>
          <w:sz w:val="20"/>
          <w:szCs w:val="20"/>
        </w:rPr>
      </w:pPr>
      <w:bookmarkStart w:id="25" w:name="_Ref217307862"/>
      <w:r>
        <w:rPr>
          <w:rFonts w:ascii="Arial" w:eastAsia="Arial" w:hAnsi="Arial" w:cs="Arial"/>
          <w:color w:val="000000"/>
          <w:sz w:val="20"/>
          <w:szCs w:val="20"/>
        </w:rPr>
        <w:t xml:space="preserve">Provozovatel se zavazuje sdílet s HMP a TSK tento </w:t>
      </w:r>
      <w:r>
        <w:rPr>
          <w:rFonts w:ascii="Arial" w:eastAsia="Arial" w:hAnsi="Arial" w:cs="Arial"/>
          <w:sz w:val="20"/>
          <w:szCs w:val="20"/>
        </w:rPr>
        <w:t>základní rámec obsahu předávaných dat:</w:t>
      </w:r>
      <w:bookmarkEnd w:id="25"/>
    </w:p>
    <w:p w14:paraId="48A5130D" w14:textId="53FBED61" w:rsidR="00175781" w:rsidRDefault="00D26B9F">
      <w:pPr>
        <w:numPr>
          <w:ilvl w:val="0"/>
          <w:numId w:val="7"/>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u w:val="single"/>
        </w:rPr>
        <w:lastRenderedPageBreak/>
        <w:t>Informace o Vozidlech</w:t>
      </w:r>
      <w:r>
        <w:rPr>
          <w:rFonts w:ascii="Arial" w:eastAsia="Arial" w:hAnsi="Arial" w:cs="Arial"/>
          <w:color w:val="000000"/>
          <w:sz w:val="20"/>
          <w:szCs w:val="20"/>
        </w:rPr>
        <w:t>: ID Vozidla, typ Vozidla (kategorie: Jízdní kolo, Elektrokolo), stav Vozidla (</w:t>
      </w:r>
      <w:r w:rsidR="00221AAB" w:rsidRPr="00221AAB">
        <w:rPr>
          <w:rFonts w:ascii="Arial" w:eastAsia="Arial" w:hAnsi="Arial" w:cs="Arial"/>
          <w:color w:val="000000"/>
          <w:sz w:val="20"/>
          <w:szCs w:val="20"/>
        </w:rPr>
        <w:t>kategorie: available = dostupné, on_trip = zapůjčené, non_operational = mimo provoz, non_contactable = vozidlo je krátkodobě nekontaktovatelné</w:t>
      </w:r>
      <w:r>
        <w:rPr>
          <w:rFonts w:ascii="Arial" w:eastAsia="Arial" w:hAnsi="Arial" w:cs="Arial"/>
          <w:color w:val="000000"/>
          <w:sz w:val="20"/>
          <w:szCs w:val="20"/>
        </w:rPr>
        <w:t>), poloha Vozidla (GNSS souřadnice), čas poslední aktualizace Vozidla.</w:t>
      </w:r>
      <w:r w:rsidR="00221AAB">
        <w:rPr>
          <w:rFonts w:ascii="Arial" w:eastAsia="Arial" w:hAnsi="Arial" w:cs="Arial"/>
          <w:color w:val="000000"/>
          <w:sz w:val="20"/>
          <w:szCs w:val="20"/>
        </w:rPr>
        <w:t xml:space="preserve"> </w:t>
      </w:r>
      <w:r w:rsidR="00221AAB" w:rsidRPr="00221AAB">
        <w:rPr>
          <w:rFonts w:ascii="Arial" w:eastAsia="Arial" w:hAnsi="Arial" w:cs="Arial"/>
          <w:color w:val="000000"/>
          <w:sz w:val="20"/>
          <w:szCs w:val="20"/>
        </w:rPr>
        <w:t>Zároveň platí, že kola, která jsou odcizená, ztracená, odepsaná nebo na skladu, depu, se do</w:t>
      </w:r>
      <w:r w:rsidR="00727EDF">
        <w:rPr>
          <w:rFonts w:ascii="Arial" w:eastAsia="Arial" w:hAnsi="Arial" w:cs="Arial"/>
          <w:color w:val="000000"/>
          <w:sz w:val="20"/>
          <w:szCs w:val="20"/>
        </w:rPr>
        <w:t xml:space="preserve"> Jednotného datového standardu </w:t>
      </w:r>
      <w:r w:rsidR="00221AAB" w:rsidRPr="00221AAB">
        <w:rPr>
          <w:rFonts w:ascii="Arial" w:eastAsia="Arial" w:hAnsi="Arial" w:cs="Arial"/>
          <w:color w:val="000000"/>
          <w:sz w:val="20"/>
          <w:szCs w:val="20"/>
        </w:rPr>
        <w:t>MDS nepropisují</w:t>
      </w:r>
      <w:r w:rsidR="00221AAB">
        <w:rPr>
          <w:rFonts w:ascii="Arial" w:eastAsia="Arial" w:hAnsi="Arial" w:cs="Arial"/>
          <w:color w:val="000000"/>
          <w:sz w:val="20"/>
          <w:szCs w:val="20"/>
        </w:rPr>
        <w:t>.</w:t>
      </w:r>
    </w:p>
    <w:p w14:paraId="7FD8B907" w14:textId="5FD67D62" w:rsidR="00175781" w:rsidRDefault="00D26B9F">
      <w:pPr>
        <w:numPr>
          <w:ilvl w:val="0"/>
          <w:numId w:val="7"/>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u w:val="single"/>
        </w:rPr>
        <w:t>Informace o vykonaných jízdách</w:t>
      </w:r>
      <w:r>
        <w:rPr>
          <w:rFonts w:ascii="Arial" w:eastAsia="Arial" w:hAnsi="Arial" w:cs="Arial"/>
          <w:color w:val="000000"/>
          <w:sz w:val="20"/>
          <w:szCs w:val="20"/>
        </w:rPr>
        <w:t xml:space="preserve">: </w:t>
      </w:r>
      <w:r w:rsidR="00221AAB" w:rsidRPr="00221AAB">
        <w:rPr>
          <w:rFonts w:ascii="Arial" w:eastAsia="Arial" w:hAnsi="Arial" w:cs="Arial"/>
          <w:color w:val="000000"/>
          <w:sz w:val="20"/>
          <w:szCs w:val="20"/>
        </w:rPr>
        <w:t>ID jízdy, ID Vozidla, čas zahájení a ukončení jízdy, počáteční a</w:t>
      </w:r>
      <w:r w:rsidR="00221AAB">
        <w:rPr>
          <w:rFonts w:ascii="Arial" w:eastAsia="Arial" w:hAnsi="Arial" w:cs="Arial"/>
          <w:color w:val="000000"/>
          <w:sz w:val="20"/>
          <w:szCs w:val="20"/>
        </w:rPr>
        <w:t> </w:t>
      </w:r>
      <w:r w:rsidR="00221AAB" w:rsidRPr="00221AAB">
        <w:rPr>
          <w:rFonts w:ascii="Arial" w:eastAsia="Arial" w:hAnsi="Arial" w:cs="Arial"/>
          <w:color w:val="000000"/>
          <w:sz w:val="20"/>
          <w:szCs w:val="20"/>
        </w:rPr>
        <w:t xml:space="preserve">koncová poloha Vozidla, ujetá vzdálenost a doba trvání jízdy, stav jízdy (kategorie: </w:t>
      </w:r>
      <w:r w:rsidR="00221AAB">
        <w:rPr>
          <w:rFonts w:ascii="Arial" w:eastAsia="Arial" w:hAnsi="Arial" w:cs="Arial"/>
          <w:color w:val="000000"/>
          <w:sz w:val="20"/>
          <w:szCs w:val="20"/>
        </w:rPr>
        <w:br/>
      </w:r>
      <w:r w:rsidR="00221AAB" w:rsidRPr="00221AAB">
        <w:rPr>
          <w:rFonts w:ascii="Arial" w:eastAsia="Arial" w:hAnsi="Arial" w:cs="Arial"/>
          <w:color w:val="000000"/>
          <w:sz w:val="20"/>
          <w:szCs w:val="20"/>
        </w:rPr>
        <w:t>dokončena, zrušena, jiné). Vykonání / nevykonání jízdy benefitního programu HMP. Kategorizace uživatelů</w:t>
      </w:r>
      <w:r w:rsidR="00221AAB">
        <w:rPr>
          <w:rFonts w:ascii="Arial" w:eastAsia="Arial" w:hAnsi="Arial" w:cs="Arial"/>
          <w:color w:val="000000"/>
          <w:sz w:val="20"/>
          <w:szCs w:val="20"/>
        </w:rPr>
        <w:t xml:space="preserve"> </w:t>
      </w:r>
      <w:r w:rsidR="00221AAB" w:rsidRPr="00221AAB">
        <w:rPr>
          <w:rFonts w:ascii="Arial" w:eastAsia="Arial" w:hAnsi="Arial" w:cs="Arial"/>
          <w:color w:val="000000"/>
          <w:sz w:val="20"/>
          <w:szCs w:val="20"/>
        </w:rPr>
        <w:t>(lokální</w:t>
      </w:r>
      <w:r w:rsidR="00221AAB">
        <w:rPr>
          <w:rFonts w:ascii="Arial" w:eastAsia="Arial" w:hAnsi="Arial" w:cs="Arial"/>
          <w:color w:val="000000"/>
          <w:sz w:val="20"/>
          <w:szCs w:val="20"/>
        </w:rPr>
        <w:t xml:space="preserve"> </w:t>
      </w:r>
      <w:r w:rsidR="00221AAB" w:rsidRPr="00221AAB">
        <w:rPr>
          <w:rFonts w:ascii="Arial" w:eastAsia="Arial" w:hAnsi="Arial" w:cs="Arial"/>
          <w:color w:val="000000"/>
          <w:sz w:val="20"/>
          <w:szCs w:val="20"/>
        </w:rPr>
        <w:t>/</w:t>
      </w:r>
      <w:r w:rsidR="00221AAB">
        <w:rPr>
          <w:rFonts w:ascii="Arial" w:eastAsia="Arial" w:hAnsi="Arial" w:cs="Arial"/>
          <w:color w:val="000000"/>
          <w:sz w:val="20"/>
          <w:szCs w:val="20"/>
        </w:rPr>
        <w:t xml:space="preserve"> </w:t>
      </w:r>
      <w:r w:rsidR="00221AAB" w:rsidRPr="00221AAB">
        <w:rPr>
          <w:rFonts w:ascii="Arial" w:eastAsia="Arial" w:hAnsi="Arial" w:cs="Arial"/>
          <w:color w:val="000000"/>
          <w:sz w:val="20"/>
          <w:szCs w:val="20"/>
        </w:rPr>
        <w:t>zahraniční</w:t>
      </w:r>
      <w:r w:rsidR="00221AAB">
        <w:rPr>
          <w:rFonts w:ascii="Arial" w:eastAsia="Arial" w:hAnsi="Arial" w:cs="Arial"/>
          <w:color w:val="000000"/>
          <w:sz w:val="20"/>
          <w:szCs w:val="20"/>
        </w:rPr>
        <w:t xml:space="preserve"> </w:t>
      </w:r>
      <w:r w:rsidR="00221AAB" w:rsidRPr="00221AAB">
        <w:rPr>
          <w:rFonts w:ascii="Arial" w:eastAsia="Arial" w:hAnsi="Arial" w:cs="Arial"/>
          <w:color w:val="000000"/>
          <w:sz w:val="20"/>
          <w:szCs w:val="20"/>
        </w:rPr>
        <w:t>/</w:t>
      </w:r>
      <w:r w:rsidR="00221AAB">
        <w:rPr>
          <w:rFonts w:ascii="Arial" w:eastAsia="Arial" w:hAnsi="Arial" w:cs="Arial"/>
          <w:color w:val="000000"/>
          <w:sz w:val="20"/>
          <w:szCs w:val="20"/>
        </w:rPr>
        <w:t xml:space="preserve"> není známo</w:t>
      </w:r>
      <w:r w:rsidR="00221AAB" w:rsidRPr="00221AAB">
        <w:rPr>
          <w:rFonts w:ascii="Arial" w:eastAsia="Arial" w:hAnsi="Arial" w:cs="Arial"/>
          <w:color w:val="000000"/>
          <w:sz w:val="20"/>
          <w:szCs w:val="20"/>
        </w:rPr>
        <w:t xml:space="preserve">) bude dodávána formou agregovaného reportu dodaného do 20. dne následujícího měsíce (ve formátu .csv) </w:t>
      </w:r>
      <w:r w:rsidR="00221AAB">
        <w:rPr>
          <w:rFonts w:ascii="Arial" w:eastAsia="Arial" w:hAnsi="Arial" w:cs="Arial"/>
          <w:color w:val="000000"/>
          <w:sz w:val="20"/>
          <w:szCs w:val="20"/>
        </w:rPr>
        <w:t>–</w:t>
      </w:r>
      <w:r w:rsidR="00221AAB" w:rsidRPr="00221AAB">
        <w:rPr>
          <w:rFonts w:ascii="Arial" w:eastAsia="Arial" w:hAnsi="Arial" w:cs="Arial"/>
          <w:color w:val="000000"/>
          <w:sz w:val="20"/>
          <w:szCs w:val="20"/>
        </w:rPr>
        <w:t xml:space="preserve"> tj</w:t>
      </w:r>
      <w:r w:rsidR="00221AAB">
        <w:rPr>
          <w:rFonts w:ascii="Arial" w:eastAsia="Arial" w:hAnsi="Arial" w:cs="Arial"/>
          <w:color w:val="000000"/>
          <w:sz w:val="20"/>
          <w:szCs w:val="20"/>
        </w:rPr>
        <w:t>.</w:t>
      </w:r>
      <w:r w:rsidR="00221AAB" w:rsidRPr="00221AAB">
        <w:rPr>
          <w:rFonts w:ascii="Arial" w:eastAsia="Arial" w:hAnsi="Arial" w:cs="Arial"/>
          <w:color w:val="000000"/>
          <w:sz w:val="20"/>
          <w:szCs w:val="20"/>
        </w:rPr>
        <w:t xml:space="preserve"> pro každou kategorii uživatelů bude </w:t>
      </w:r>
      <w:r w:rsidR="00147774">
        <w:rPr>
          <w:rFonts w:ascii="Arial" w:eastAsia="Arial" w:hAnsi="Arial" w:cs="Arial"/>
          <w:color w:val="000000"/>
          <w:sz w:val="20"/>
          <w:szCs w:val="20"/>
        </w:rPr>
        <w:t xml:space="preserve">uveden </w:t>
      </w:r>
      <w:r w:rsidR="00221AAB" w:rsidRPr="00221AAB">
        <w:rPr>
          <w:rFonts w:ascii="Arial" w:eastAsia="Arial" w:hAnsi="Arial" w:cs="Arial"/>
          <w:color w:val="000000"/>
          <w:sz w:val="20"/>
          <w:szCs w:val="20"/>
        </w:rPr>
        <w:t>počet jízd v měsíci a</w:t>
      </w:r>
      <w:r w:rsidR="00221AAB">
        <w:rPr>
          <w:rFonts w:ascii="Arial" w:eastAsia="Arial" w:hAnsi="Arial" w:cs="Arial"/>
          <w:color w:val="000000"/>
          <w:sz w:val="20"/>
          <w:szCs w:val="20"/>
        </w:rPr>
        <w:t> </w:t>
      </w:r>
      <w:r w:rsidR="00221AAB" w:rsidRPr="00221AAB">
        <w:rPr>
          <w:rFonts w:ascii="Arial" w:eastAsia="Arial" w:hAnsi="Arial" w:cs="Arial"/>
          <w:color w:val="000000"/>
          <w:sz w:val="20"/>
          <w:szCs w:val="20"/>
        </w:rPr>
        <w:t>počet unikátních uživatelů</w:t>
      </w:r>
      <w:r>
        <w:rPr>
          <w:rFonts w:ascii="Arial" w:eastAsia="Arial" w:hAnsi="Arial" w:cs="Arial"/>
          <w:color w:val="000000"/>
          <w:sz w:val="20"/>
          <w:szCs w:val="20"/>
        </w:rPr>
        <w:t>.</w:t>
      </w:r>
    </w:p>
    <w:p w14:paraId="383F438B" w14:textId="65CD9978" w:rsidR="00175781" w:rsidRDefault="00D26B9F">
      <w:pPr>
        <w:numPr>
          <w:ilvl w:val="0"/>
          <w:numId w:val="7"/>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u w:val="single"/>
        </w:rPr>
        <w:t>Telemetrie (u Elektrokol)</w:t>
      </w:r>
      <w:r>
        <w:rPr>
          <w:rFonts w:ascii="Arial" w:eastAsia="Arial" w:hAnsi="Arial" w:cs="Arial"/>
          <w:color w:val="000000"/>
          <w:sz w:val="20"/>
          <w:szCs w:val="20"/>
        </w:rPr>
        <w:t xml:space="preserve">: </w:t>
      </w:r>
      <w:r w:rsidR="00181DE1" w:rsidRPr="00181DE1">
        <w:rPr>
          <w:rFonts w:ascii="Arial" w:eastAsia="Arial" w:hAnsi="Arial" w:cs="Arial"/>
          <w:color w:val="000000"/>
          <w:sz w:val="20"/>
          <w:szCs w:val="20"/>
        </w:rPr>
        <w:t>trajektorie vykonaných jízd: série GNSS bodů s časovými značkami pohybu Vozidla, je-li to technicky možné tak rychlost, směr, přesnost Vozidla</w:t>
      </w:r>
      <w:r>
        <w:rPr>
          <w:rFonts w:ascii="Arial" w:eastAsia="Arial" w:hAnsi="Arial" w:cs="Arial"/>
          <w:color w:val="000000"/>
          <w:sz w:val="20"/>
          <w:szCs w:val="20"/>
        </w:rPr>
        <w:t>.</w:t>
      </w:r>
    </w:p>
    <w:p w14:paraId="6E0F0B07" w14:textId="479FF70B" w:rsidR="00175781" w:rsidRDefault="00D26B9F">
      <w:pPr>
        <w:numPr>
          <w:ilvl w:val="0"/>
          <w:numId w:val="7"/>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u w:val="single"/>
        </w:rPr>
        <w:t>Události</w:t>
      </w:r>
      <w:r>
        <w:rPr>
          <w:rFonts w:ascii="Arial" w:eastAsia="Arial" w:hAnsi="Arial" w:cs="Arial"/>
          <w:color w:val="000000"/>
          <w:sz w:val="20"/>
          <w:szCs w:val="20"/>
        </w:rPr>
        <w:t xml:space="preserve">: </w:t>
      </w:r>
      <w:r w:rsidR="00181DE1" w:rsidRPr="00181DE1">
        <w:rPr>
          <w:rFonts w:ascii="Arial" w:eastAsia="Arial" w:hAnsi="Arial" w:cs="Arial"/>
          <w:color w:val="000000"/>
          <w:sz w:val="20"/>
          <w:szCs w:val="20"/>
        </w:rPr>
        <w:t>začátek jízdy, ukončení jízdy, změna stavu Vozidla (příp. jiné), typ události, čas a poloha události</w:t>
      </w:r>
      <w:r>
        <w:rPr>
          <w:rFonts w:ascii="Arial" w:eastAsia="Arial" w:hAnsi="Arial" w:cs="Arial"/>
          <w:color w:val="000000"/>
          <w:sz w:val="20"/>
          <w:szCs w:val="20"/>
        </w:rPr>
        <w:t>.</w:t>
      </w:r>
    </w:p>
    <w:p w14:paraId="5226FC16" w14:textId="70959729" w:rsidR="00175781" w:rsidRDefault="00D26B9F">
      <w:pPr>
        <w:numPr>
          <w:ilvl w:val="0"/>
          <w:numId w:val="7"/>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u w:val="single"/>
        </w:rPr>
        <w:t>Soukromá stanoviště Provozovatele</w:t>
      </w:r>
      <w:r>
        <w:rPr>
          <w:rFonts w:ascii="Arial" w:eastAsia="Arial" w:hAnsi="Arial" w:cs="Arial"/>
          <w:color w:val="000000"/>
          <w:sz w:val="20"/>
          <w:szCs w:val="20"/>
        </w:rPr>
        <w:t xml:space="preserve">: </w:t>
      </w:r>
      <w:r w:rsidR="00181DE1" w:rsidRPr="00181DE1">
        <w:rPr>
          <w:rFonts w:ascii="Arial" w:eastAsia="Arial" w:hAnsi="Arial" w:cs="Arial"/>
          <w:color w:val="000000"/>
          <w:sz w:val="20"/>
          <w:szCs w:val="20"/>
        </w:rPr>
        <w:t xml:space="preserve">nikoliv Pevná stanoviště a Vyznačená stanoviště dle této </w:t>
      </w:r>
      <w:r w:rsidR="00150B19" w:rsidRPr="00181DE1">
        <w:rPr>
          <w:rFonts w:ascii="Arial" w:eastAsia="Arial" w:hAnsi="Arial" w:cs="Arial"/>
          <w:color w:val="000000"/>
          <w:sz w:val="20"/>
          <w:szCs w:val="20"/>
        </w:rPr>
        <w:t>Smlouvy – předáno</w:t>
      </w:r>
      <w:r w:rsidR="00181DE1" w:rsidRPr="00181DE1">
        <w:rPr>
          <w:rFonts w:ascii="Arial" w:eastAsia="Arial" w:hAnsi="Arial" w:cs="Arial"/>
          <w:color w:val="000000"/>
          <w:sz w:val="20"/>
          <w:szCs w:val="20"/>
        </w:rPr>
        <w:t xml:space="preserve"> mimo </w:t>
      </w:r>
      <w:r w:rsidR="00181DE1">
        <w:rPr>
          <w:rFonts w:ascii="Arial" w:eastAsia="Arial" w:hAnsi="Arial" w:cs="Arial"/>
          <w:color w:val="000000"/>
          <w:sz w:val="20"/>
          <w:szCs w:val="20"/>
        </w:rPr>
        <w:t xml:space="preserve">Jednotný datový standard </w:t>
      </w:r>
      <w:r w:rsidR="00181DE1" w:rsidRPr="00181DE1">
        <w:rPr>
          <w:rFonts w:ascii="Arial" w:eastAsia="Arial" w:hAnsi="Arial" w:cs="Arial"/>
          <w:color w:val="000000"/>
          <w:sz w:val="20"/>
          <w:szCs w:val="20"/>
        </w:rPr>
        <w:t>MDS formátem GeoJSON nebo .csv (alespoň název stanoviště, lat, lng) na e-mail TSK</w:t>
      </w:r>
      <w:r>
        <w:rPr>
          <w:rFonts w:ascii="Arial" w:eastAsia="Arial" w:hAnsi="Arial" w:cs="Arial"/>
          <w:color w:val="000000"/>
          <w:sz w:val="20"/>
          <w:szCs w:val="20"/>
        </w:rPr>
        <w:t>.</w:t>
      </w:r>
    </w:p>
    <w:p w14:paraId="5580AA80" w14:textId="77777777" w:rsidR="00181DE1" w:rsidRDefault="00181DE1" w:rsidP="00181DE1">
      <w:pPr>
        <w:pBdr>
          <w:top w:val="nil"/>
          <w:left w:val="nil"/>
          <w:bottom w:val="nil"/>
          <w:right w:val="nil"/>
          <w:between w:val="nil"/>
        </w:pBdr>
        <w:spacing w:line="276" w:lineRule="auto"/>
        <w:ind w:left="1211"/>
        <w:jc w:val="both"/>
        <w:rPr>
          <w:rFonts w:ascii="Arial" w:eastAsia="Arial" w:hAnsi="Arial" w:cs="Arial"/>
          <w:color w:val="000000"/>
          <w:sz w:val="20"/>
          <w:szCs w:val="20"/>
        </w:rPr>
      </w:pPr>
    </w:p>
    <w:p w14:paraId="2133156F" w14:textId="77777777" w:rsidR="00175781" w:rsidRDefault="00D26B9F">
      <w:pPr>
        <w:numPr>
          <w:ilvl w:val="1"/>
          <w:numId w:val="2"/>
        </w:numPr>
        <w:pBdr>
          <w:top w:val="nil"/>
          <w:left w:val="nil"/>
          <w:bottom w:val="nil"/>
          <w:right w:val="nil"/>
          <w:between w:val="nil"/>
        </w:pBdr>
        <w:spacing w:after="100" w:line="276" w:lineRule="auto"/>
        <w:ind w:left="851" w:hanging="494"/>
        <w:jc w:val="both"/>
        <w:rPr>
          <w:rFonts w:ascii="Arial" w:eastAsia="Arial" w:hAnsi="Arial" w:cs="Arial"/>
          <w:sz w:val="20"/>
          <w:szCs w:val="20"/>
        </w:rPr>
      </w:pPr>
      <w:bookmarkStart w:id="26" w:name="_Ref217307889"/>
      <w:r>
        <w:rPr>
          <w:rFonts w:ascii="Arial" w:eastAsia="Arial" w:hAnsi="Arial" w:cs="Arial"/>
          <w:sz w:val="20"/>
          <w:szCs w:val="20"/>
        </w:rPr>
        <w:t>TSK bude s Provozovatelem sdílet tento základní rámec obsahu předávaných dat:</w:t>
      </w:r>
      <w:bookmarkEnd w:id="26"/>
    </w:p>
    <w:p w14:paraId="3FCA07BC" w14:textId="77777777" w:rsidR="00175781" w:rsidRDefault="00D26B9F">
      <w:pPr>
        <w:numPr>
          <w:ilvl w:val="0"/>
          <w:numId w:val="8"/>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Pevná stanoviště a Vyznačená stanoviště (vč. GNSS souřadnice a souřadnice určující plochu daného stanoviště).</w:t>
      </w:r>
    </w:p>
    <w:p w14:paraId="44978AEB" w14:textId="31B44DD0" w:rsidR="00175781" w:rsidRDefault="00D26B9F">
      <w:pPr>
        <w:numPr>
          <w:ilvl w:val="0"/>
          <w:numId w:val="8"/>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Maximální poč</w:t>
      </w:r>
      <w:r w:rsidR="00150B19">
        <w:rPr>
          <w:rFonts w:ascii="Arial" w:eastAsia="Arial" w:hAnsi="Arial" w:cs="Arial"/>
          <w:color w:val="000000"/>
          <w:sz w:val="20"/>
          <w:szCs w:val="20"/>
        </w:rPr>
        <w:t>et</w:t>
      </w:r>
      <w:r>
        <w:rPr>
          <w:rFonts w:ascii="Arial" w:eastAsia="Arial" w:hAnsi="Arial" w:cs="Arial"/>
          <w:color w:val="000000"/>
          <w:sz w:val="20"/>
          <w:szCs w:val="20"/>
        </w:rPr>
        <w:t xml:space="preserve"> míst v daném Pevném stanovišti, který je vyhrazen pro Provozovatele.</w:t>
      </w:r>
    </w:p>
    <w:p w14:paraId="04B92820" w14:textId="7037FCDE" w:rsidR="00175781" w:rsidRDefault="00D26B9F">
      <w:pPr>
        <w:numPr>
          <w:ilvl w:val="0"/>
          <w:numId w:val="8"/>
        </w:numPr>
        <w:pBdr>
          <w:top w:val="nil"/>
          <w:left w:val="nil"/>
          <w:bottom w:val="nil"/>
          <w:right w:val="nil"/>
          <w:between w:val="nil"/>
        </w:pBdr>
        <w:spacing w:after="100" w:line="276" w:lineRule="auto"/>
        <w:jc w:val="both"/>
        <w:rPr>
          <w:rFonts w:ascii="Arial" w:eastAsia="Arial" w:hAnsi="Arial" w:cs="Arial"/>
          <w:color w:val="000000"/>
          <w:sz w:val="20"/>
          <w:szCs w:val="20"/>
        </w:rPr>
      </w:pPr>
      <w:r>
        <w:rPr>
          <w:rFonts w:ascii="Arial" w:eastAsia="Arial" w:hAnsi="Arial" w:cs="Arial"/>
          <w:color w:val="000000"/>
          <w:sz w:val="20"/>
          <w:szCs w:val="20"/>
        </w:rPr>
        <w:t>Celková kapacita</w:t>
      </w:r>
      <w:r w:rsidR="00181DE1">
        <w:rPr>
          <w:rFonts w:ascii="Arial" w:eastAsia="Arial" w:hAnsi="Arial" w:cs="Arial"/>
          <w:color w:val="000000"/>
          <w:sz w:val="20"/>
          <w:szCs w:val="20"/>
        </w:rPr>
        <w:t xml:space="preserve"> </w:t>
      </w:r>
      <w:r>
        <w:rPr>
          <w:rFonts w:ascii="Arial" w:eastAsia="Arial" w:hAnsi="Arial" w:cs="Arial"/>
          <w:color w:val="000000"/>
          <w:sz w:val="20"/>
          <w:szCs w:val="20"/>
        </w:rPr>
        <w:t>Pevného stanoviště / Vyznačeného stanoviště.</w:t>
      </w:r>
    </w:p>
    <w:p w14:paraId="4E45036E" w14:textId="67EC7237" w:rsidR="00175781" w:rsidRDefault="00181DE1">
      <w:pPr>
        <w:numPr>
          <w:ilvl w:val="1"/>
          <w:numId w:val="2"/>
        </w:numPr>
        <w:pBdr>
          <w:top w:val="nil"/>
          <w:left w:val="nil"/>
          <w:bottom w:val="nil"/>
          <w:right w:val="nil"/>
          <w:between w:val="nil"/>
        </w:pBdr>
        <w:spacing w:after="100" w:line="276" w:lineRule="auto"/>
        <w:ind w:left="851" w:hanging="494"/>
        <w:jc w:val="both"/>
        <w:rPr>
          <w:rFonts w:ascii="Arial" w:eastAsia="Arial" w:hAnsi="Arial" w:cs="Arial"/>
          <w:color w:val="000000"/>
          <w:sz w:val="20"/>
          <w:szCs w:val="20"/>
        </w:rPr>
      </w:pPr>
      <w:bookmarkStart w:id="27" w:name="_Ref217308743"/>
      <w:r w:rsidRPr="00181DE1">
        <w:rPr>
          <w:rFonts w:ascii="Arial" w:eastAsia="Arial" w:hAnsi="Arial" w:cs="Arial"/>
          <w:color w:val="000000"/>
          <w:sz w:val="20"/>
          <w:szCs w:val="20"/>
        </w:rPr>
        <w:t>Provozovatel bere výslovně na vědomí, že HMP a TSK jsou oprávněny si data dle tohoto článku Smlouvy vzájemně předávat, příp. je předávat dalším společnostem, které HMP zřídí a/nebo v nich má majoritní vlastnický podíl, a to za účelem statistického zpracování či vyhodnocování těchto dat, nebo pro další rozvoj Jednotného datového standardu MDS. TSK a HMP zajistí, aby na základě těchto dat nemohl být Provozovatel veřejně identifikován (mezi sebou si však mohou data předávat i s jeho identifikací)</w:t>
      </w:r>
      <w:r>
        <w:rPr>
          <w:rFonts w:ascii="Arial" w:eastAsia="Arial" w:hAnsi="Arial" w:cs="Arial"/>
          <w:color w:val="000000"/>
          <w:sz w:val="20"/>
          <w:szCs w:val="20"/>
        </w:rPr>
        <w:t>.</w:t>
      </w:r>
      <w:bookmarkEnd w:id="27"/>
    </w:p>
    <w:p w14:paraId="48A16874" w14:textId="606A56FF" w:rsidR="00175781" w:rsidRDefault="00181DE1">
      <w:pPr>
        <w:numPr>
          <w:ilvl w:val="1"/>
          <w:numId w:val="2"/>
        </w:numPr>
        <w:pBdr>
          <w:top w:val="nil"/>
          <w:left w:val="nil"/>
          <w:bottom w:val="nil"/>
          <w:right w:val="nil"/>
          <w:between w:val="nil"/>
        </w:pBdr>
        <w:spacing w:after="100" w:line="276" w:lineRule="auto"/>
        <w:ind w:left="851" w:hanging="494"/>
        <w:jc w:val="both"/>
        <w:rPr>
          <w:rFonts w:ascii="Arial" w:eastAsia="Arial" w:hAnsi="Arial" w:cs="Arial"/>
          <w:color w:val="000000"/>
          <w:sz w:val="20"/>
          <w:szCs w:val="20"/>
        </w:rPr>
      </w:pPr>
      <w:r w:rsidRPr="00181DE1">
        <w:rPr>
          <w:rFonts w:ascii="Arial" w:eastAsia="Arial" w:hAnsi="Arial" w:cs="Arial"/>
          <w:color w:val="000000"/>
          <w:sz w:val="20"/>
          <w:szCs w:val="20"/>
        </w:rPr>
        <w:t>Provozovatel na pokyn HMP odkáže přes Aplikaci koncového uživatele na dotazníkové šetření, které bude pořádat HMP, to však nejvýše jedenkrát za 12 měsíců trvání této Smlouvy. Provozovatel neodpovídá za to, jestliže koncový uživatel bude dotazníkové šetření ignorovat</w:t>
      </w:r>
      <w:r>
        <w:rPr>
          <w:rFonts w:ascii="Arial" w:eastAsia="Arial" w:hAnsi="Arial" w:cs="Arial"/>
          <w:color w:val="000000"/>
          <w:sz w:val="20"/>
          <w:szCs w:val="20"/>
        </w:rPr>
        <w:t xml:space="preserve">.     </w:t>
      </w:r>
    </w:p>
    <w:p w14:paraId="73310DA5" w14:textId="3CA41B12" w:rsidR="00175781" w:rsidRDefault="00181DE1">
      <w:pPr>
        <w:numPr>
          <w:ilvl w:val="1"/>
          <w:numId w:val="2"/>
        </w:numPr>
        <w:pBdr>
          <w:top w:val="nil"/>
          <w:left w:val="nil"/>
          <w:bottom w:val="nil"/>
          <w:right w:val="nil"/>
          <w:between w:val="nil"/>
        </w:pBdr>
        <w:spacing w:after="100" w:line="276" w:lineRule="auto"/>
        <w:ind w:left="851" w:hanging="494"/>
        <w:jc w:val="both"/>
        <w:rPr>
          <w:rFonts w:ascii="Arial" w:eastAsia="Arial" w:hAnsi="Arial" w:cs="Arial"/>
          <w:color w:val="000000"/>
          <w:sz w:val="20"/>
          <w:szCs w:val="20"/>
        </w:rPr>
      </w:pPr>
      <w:r w:rsidRPr="00181DE1">
        <w:rPr>
          <w:rFonts w:ascii="Arial" w:eastAsia="Arial" w:hAnsi="Arial" w:cs="Arial"/>
          <w:sz w:val="20"/>
          <w:szCs w:val="20"/>
        </w:rPr>
        <w:t>Provozovatel je povinen podrobit se před zahájením poskytování služby sdílených kol otestování funkčnosti procesu předávání informací dle tohoto článku Smlouvy, bez čehož nelze začít s plněním. HMP Provozovateli písemně potvrdí úspěšné otestování a popíše jeho průběh. Provozovatel bere výslovně na vědomí, že s procesem otestování předávání dat se na straně HMP pojí náklady</w:t>
      </w:r>
      <w:r w:rsidR="00DF7C9B">
        <w:rPr>
          <w:rFonts w:ascii="Arial" w:eastAsia="Arial" w:hAnsi="Arial" w:cs="Arial"/>
          <w:sz w:val="20"/>
          <w:szCs w:val="20"/>
        </w:rPr>
        <w:t xml:space="preserve"> </w:t>
      </w:r>
      <w:r w:rsidRPr="00181DE1">
        <w:rPr>
          <w:rFonts w:ascii="Arial" w:eastAsia="Arial" w:hAnsi="Arial" w:cs="Arial"/>
          <w:sz w:val="20"/>
          <w:szCs w:val="20"/>
        </w:rPr>
        <w:t>ve</w:t>
      </w:r>
      <w:r w:rsidR="00DF7C9B">
        <w:rPr>
          <w:rFonts w:ascii="Arial" w:eastAsia="Arial" w:hAnsi="Arial" w:cs="Arial"/>
          <w:sz w:val="20"/>
          <w:szCs w:val="20"/>
        </w:rPr>
        <w:t xml:space="preserve"> </w:t>
      </w:r>
      <w:r w:rsidRPr="00181DE1">
        <w:rPr>
          <w:rFonts w:ascii="Arial" w:eastAsia="Arial" w:hAnsi="Arial" w:cs="Arial"/>
          <w:sz w:val="20"/>
          <w:szCs w:val="20"/>
        </w:rPr>
        <w:t>výši</w:t>
      </w:r>
      <w:r w:rsidR="00DF7C9B">
        <w:rPr>
          <w:rFonts w:ascii="Arial" w:eastAsia="Arial" w:hAnsi="Arial" w:cs="Arial"/>
          <w:sz w:val="20"/>
          <w:szCs w:val="20"/>
        </w:rPr>
        <w:t xml:space="preserve"> 20.000 </w:t>
      </w:r>
      <w:r w:rsidRPr="00181DE1">
        <w:rPr>
          <w:rFonts w:ascii="Arial" w:eastAsia="Arial" w:hAnsi="Arial" w:cs="Arial"/>
          <w:sz w:val="20"/>
          <w:szCs w:val="20"/>
        </w:rPr>
        <w:t>Kč, které se zavazuje uhradit do třiceti (30) dnů od úspěšného a písemně potvrzeného otestování na účet TSK uvedený v záhlaví této Smlouvy na základě vystavené faktury</w:t>
      </w:r>
      <w:r>
        <w:rPr>
          <w:rFonts w:ascii="Arial" w:eastAsia="Arial" w:hAnsi="Arial" w:cs="Arial"/>
          <w:color w:val="000000"/>
          <w:sz w:val="20"/>
          <w:szCs w:val="20"/>
        </w:rPr>
        <w:t>. Provozovatelé, kte</w:t>
      </w:r>
      <w:r w:rsidR="00A3723A">
        <w:rPr>
          <w:rFonts w:ascii="Arial" w:eastAsia="Arial" w:hAnsi="Arial" w:cs="Arial"/>
          <w:color w:val="000000"/>
          <w:sz w:val="20"/>
          <w:szCs w:val="20"/>
        </w:rPr>
        <w:t>ří</w:t>
      </w:r>
      <w:r>
        <w:rPr>
          <w:rFonts w:ascii="Arial" w:eastAsia="Arial" w:hAnsi="Arial" w:cs="Arial"/>
          <w:color w:val="000000"/>
          <w:sz w:val="20"/>
          <w:szCs w:val="20"/>
        </w:rPr>
        <w:t xml:space="preserve"> se </w:t>
      </w:r>
      <w:r>
        <w:rPr>
          <w:rFonts w:ascii="Arial" w:eastAsia="Arial" w:hAnsi="Arial" w:cs="Arial"/>
          <w:sz w:val="20"/>
          <w:szCs w:val="20"/>
        </w:rPr>
        <w:t xml:space="preserve">účastní </w:t>
      </w:r>
      <w:r w:rsidR="00756DEE">
        <w:rPr>
          <w:rFonts w:ascii="Arial" w:eastAsia="Arial" w:hAnsi="Arial" w:cs="Arial"/>
          <w:sz w:val="20"/>
          <w:szCs w:val="20"/>
        </w:rPr>
        <w:t>p</w:t>
      </w:r>
      <w:r>
        <w:rPr>
          <w:rFonts w:ascii="Arial" w:eastAsia="Arial" w:hAnsi="Arial" w:cs="Arial"/>
          <w:sz w:val="20"/>
          <w:szCs w:val="20"/>
        </w:rPr>
        <w:t>ilotního provozu</w:t>
      </w:r>
      <w:r w:rsidR="00756DEE">
        <w:rPr>
          <w:rFonts w:ascii="Arial" w:eastAsia="Arial" w:hAnsi="Arial" w:cs="Arial"/>
          <w:sz w:val="20"/>
          <w:szCs w:val="20"/>
        </w:rPr>
        <w:t xml:space="preserve"> Jednotného datového standardu MDS</w:t>
      </w:r>
      <w:r w:rsidR="00A3723A">
        <w:rPr>
          <w:rFonts w:ascii="Arial" w:eastAsia="Arial" w:hAnsi="Arial" w:cs="Arial"/>
          <w:sz w:val="20"/>
          <w:szCs w:val="20"/>
        </w:rPr>
        <w:t>,</w:t>
      </w:r>
      <w:r w:rsidR="00756DEE">
        <w:rPr>
          <w:rFonts w:ascii="Arial" w:eastAsia="Arial" w:hAnsi="Arial" w:cs="Arial"/>
          <w:sz w:val="20"/>
          <w:szCs w:val="20"/>
        </w:rPr>
        <w:t xml:space="preserve"> </w:t>
      </w:r>
      <w:r>
        <w:rPr>
          <w:rFonts w:ascii="Arial" w:eastAsia="Arial" w:hAnsi="Arial" w:cs="Arial"/>
          <w:sz w:val="20"/>
          <w:szCs w:val="20"/>
        </w:rPr>
        <w:t xml:space="preserve">jsou vyjmuti z povinnosti úhrady nákladů dle předchozí věty. </w:t>
      </w:r>
      <w:r>
        <w:rPr>
          <w:rFonts w:ascii="Arial" w:eastAsia="Arial" w:hAnsi="Arial" w:cs="Arial"/>
          <w:color w:val="000000"/>
          <w:sz w:val="20"/>
          <w:szCs w:val="20"/>
        </w:rPr>
        <w:t>Provozovatel má povinnost po celou dobu účinnosti této Smlouvy zajistit funkčnost procesu předávání informací.</w:t>
      </w:r>
    </w:p>
    <w:p w14:paraId="3A399566" w14:textId="52B9FA33" w:rsidR="00A9698C" w:rsidRDefault="00A9698C">
      <w:pPr>
        <w:numPr>
          <w:ilvl w:val="1"/>
          <w:numId w:val="2"/>
        </w:numPr>
        <w:pBdr>
          <w:top w:val="nil"/>
          <w:left w:val="nil"/>
          <w:bottom w:val="nil"/>
          <w:right w:val="nil"/>
          <w:between w:val="nil"/>
        </w:pBdr>
        <w:spacing w:after="100" w:line="276" w:lineRule="auto"/>
        <w:ind w:left="851" w:hanging="494"/>
        <w:jc w:val="both"/>
        <w:rPr>
          <w:rFonts w:ascii="Arial" w:eastAsia="Arial" w:hAnsi="Arial" w:cs="Arial"/>
          <w:color w:val="000000"/>
          <w:sz w:val="20"/>
          <w:szCs w:val="20"/>
        </w:rPr>
      </w:pPr>
      <w:r w:rsidRPr="00A9698C">
        <w:rPr>
          <w:rFonts w:ascii="Arial" w:eastAsia="Arial" w:hAnsi="Arial" w:cs="Arial"/>
          <w:color w:val="000000"/>
          <w:sz w:val="20"/>
          <w:szCs w:val="20"/>
        </w:rPr>
        <w:t>HMP je oprávněno za podmínek níže uvedených měnit závazek z této Smlouvy tím způsobem, že změní základní rámec obsahu předávaných dat uvedený v ujednání čl.</w:t>
      </w:r>
      <w:r>
        <w:rPr>
          <w:rFonts w:ascii="Arial" w:eastAsia="Arial" w:hAnsi="Arial" w:cs="Arial"/>
          <w:color w:val="000000"/>
          <w:sz w:val="20"/>
          <w:szCs w:val="20"/>
        </w:rPr>
        <w:t xml:space="preserve"> </w:t>
      </w:r>
      <w:r w:rsidR="00D03F29">
        <w:rPr>
          <w:rFonts w:ascii="Arial" w:eastAsia="Arial" w:hAnsi="Arial" w:cs="Arial"/>
          <w:color w:val="000000"/>
          <w:sz w:val="20"/>
          <w:szCs w:val="20"/>
        </w:rPr>
        <w:fldChar w:fldCharType="begin"/>
      </w:r>
      <w:r w:rsidR="00D03F29">
        <w:rPr>
          <w:rFonts w:ascii="Arial" w:eastAsia="Arial" w:hAnsi="Arial" w:cs="Arial"/>
          <w:color w:val="000000"/>
          <w:sz w:val="20"/>
          <w:szCs w:val="20"/>
        </w:rPr>
        <w:instrText xml:space="preserve"> REF _Ref217307862 \r \h </w:instrText>
      </w:r>
      <w:r w:rsidR="00D03F29">
        <w:rPr>
          <w:rFonts w:ascii="Arial" w:eastAsia="Arial" w:hAnsi="Arial" w:cs="Arial"/>
          <w:color w:val="000000"/>
          <w:sz w:val="20"/>
          <w:szCs w:val="20"/>
        </w:rPr>
      </w:r>
      <w:r w:rsidR="00D03F29">
        <w:rPr>
          <w:rFonts w:ascii="Arial" w:eastAsia="Arial" w:hAnsi="Arial" w:cs="Arial"/>
          <w:color w:val="000000"/>
          <w:sz w:val="20"/>
          <w:szCs w:val="20"/>
        </w:rPr>
        <w:fldChar w:fldCharType="separate"/>
      </w:r>
      <w:r w:rsidR="00D03F29">
        <w:rPr>
          <w:rFonts w:ascii="Arial" w:eastAsia="Arial" w:hAnsi="Arial" w:cs="Arial"/>
          <w:color w:val="000000"/>
          <w:sz w:val="20"/>
          <w:szCs w:val="20"/>
        </w:rPr>
        <w:t>7.2</w:t>
      </w:r>
      <w:r w:rsidR="00D03F29">
        <w:rPr>
          <w:rFonts w:ascii="Arial" w:eastAsia="Arial" w:hAnsi="Arial" w:cs="Arial"/>
          <w:color w:val="000000"/>
          <w:sz w:val="20"/>
          <w:szCs w:val="20"/>
        </w:rPr>
        <w:fldChar w:fldCharType="end"/>
      </w:r>
      <w:r w:rsidRPr="00A9698C">
        <w:rPr>
          <w:rFonts w:ascii="Arial" w:eastAsia="Arial" w:hAnsi="Arial" w:cs="Arial"/>
          <w:color w:val="000000"/>
          <w:sz w:val="20"/>
          <w:szCs w:val="20"/>
        </w:rPr>
        <w:t xml:space="preserve"> a </w:t>
      </w:r>
      <w:r w:rsidR="00D03F29">
        <w:rPr>
          <w:rFonts w:ascii="Arial" w:eastAsia="Arial" w:hAnsi="Arial" w:cs="Arial"/>
          <w:color w:val="000000"/>
          <w:sz w:val="20"/>
          <w:szCs w:val="20"/>
        </w:rPr>
        <w:fldChar w:fldCharType="begin"/>
      </w:r>
      <w:r w:rsidR="00D03F29">
        <w:rPr>
          <w:rFonts w:ascii="Arial" w:eastAsia="Arial" w:hAnsi="Arial" w:cs="Arial"/>
          <w:color w:val="000000"/>
          <w:sz w:val="20"/>
          <w:szCs w:val="20"/>
        </w:rPr>
        <w:instrText xml:space="preserve"> REF _Ref217307889 \r \h </w:instrText>
      </w:r>
      <w:r w:rsidR="00D03F29">
        <w:rPr>
          <w:rFonts w:ascii="Arial" w:eastAsia="Arial" w:hAnsi="Arial" w:cs="Arial"/>
          <w:color w:val="000000"/>
          <w:sz w:val="20"/>
          <w:szCs w:val="20"/>
        </w:rPr>
      </w:r>
      <w:r w:rsidR="00D03F29">
        <w:rPr>
          <w:rFonts w:ascii="Arial" w:eastAsia="Arial" w:hAnsi="Arial" w:cs="Arial"/>
          <w:color w:val="000000"/>
          <w:sz w:val="20"/>
          <w:szCs w:val="20"/>
        </w:rPr>
        <w:fldChar w:fldCharType="separate"/>
      </w:r>
      <w:r w:rsidR="00D03F29">
        <w:rPr>
          <w:rFonts w:ascii="Arial" w:eastAsia="Arial" w:hAnsi="Arial" w:cs="Arial"/>
          <w:color w:val="000000"/>
          <w:sz w:val="20"/>
          <w:szCs w:val="20"/>
        </w:rPr>
        <w:t>7.3</w:t>
      </w:r>
      <w:r w:rsidR="00D03F29">
        <w:rPr>
          <w:rFonts w:ascii="Arial" w:eastAsia="Arial" w:hAnsi="Arial" w:cs="Arial"/>
          <w:color w:val="000000"/>
          <w:sz w:val="20"/>
          <w:szCs w:val="20"/>
        </w:rPr>
        <w:fldChar w:fldCharType="end"/>
      </w:r>
      <w:r w:rsidRPr="00A9698C">
        <w:rPr>
          <w:rFonts w:ascii="Arial" w:eastAsia="Arial" w:hAnsi="Arial" w:cs="Arial"/>
          <w:color w:val="000000"/>
          <w:sz w:val="20"/>
          <w:szCs w:val="20"/>
        </w:rPr>
        <w:t xml:space="preserve"> této Smlouvy, a to maximálně dvakrát ročně, vždy s účinností k 1.1. a 1.7. příslušného roku. Ke změně závazku dojde vždy na základě oznámení HMP doručeného Provozovateli nejpozději</w:t>
      </w:r>
      <w:r w:rsidR="0026214B">
        <w:rPr>
          <w:rFonts w:ascii="Arial" w:eastAsia="Arial" w:hAnsi="Arial" w:cs="Arial"/>
          <w:color w:val="000000"/>
          <w:sz w:val="20"/>
          <w:szCs w:val="20"/>
        </w:rPr>
        <w:t xml:space="preserve"> 3 </w:t>
      </w:r>
      <w:r w:rsidRPr="00A9698C">
        <w:rPr>
          <w:rFonts w:ascii="Arial" w:eastAsia="Arial" w:hAnsi="Arial" w:cs="Arial"/>
          <w:color w:val="000000"/>
          <w:sz w:val="20"/>
          <w:szCs w:val="20"/>
        </w:rPr>
        <w:t>měsíc</w:t>
      </w:r>
      <w:r w:rsidR="0026214B">
        <w:rPr>
          <w:rFonts w:ascii="Arial" w:eastAsia="Arial" w:hAnsi="Arial" w:cs="Arial"/>
          <w:color w:val="000000"/>
          <w:sz w:val="20"/>
          <w:szCs w:val="20"/>
        </w:rPr>
        <w:t xml:space="preserve">e </w:t>
      </w:r>
      <w:r w:rsidRPr="00A9698C">
        <w:rPr>
          <w:rFonts w:ascii="Arial" w:eastAsia="Arial" w:hAnsi="Arial" w:cs="Arial"/>
          <w:color w:val="000000"/>
          <w:sz w:val="20"/>
          <w:szCs w:val="20"/>
        </w:rPr>
        <w:t>před nabytím účinnosti takové změny. Oznámení musí být učiněno písemnou formou, musí být Provozovateli doručeno způsobem uvedeným v</w:t>
      </w:r>
      <w:r w:rsidR="00E71315">
        <w:rPr>
          <w:rFonts w:ascii="Arial" w:eastAsia="Arial" w:hAnsi="Arial" w:cs="Arial"/>
          <w:color w:val="000000"/>
          <w:sz w:val="20"/>
          <w:szCs w:val="20"/>
        </w:rPr>
        <w:t> </w:t>
      </w:r>
      <w:r w:rsidRPr="00A9698C">
        <w:rPr>
          <w:rFonts w:ascii="Arial" w:eastAsia="Arial" w:hAnsi="Arial" w:cs="Arial"/>
          <w:color w:val="000000"/>
          <w:sz w:val="20"/>
          <w:szCs w:val="20"/>
        </w:rPr>
        <w:t xml:space="preserve">této </w:t>
      </w:r>
      <w:r w:rsidRPr="00A9698C">
        <w:rPr>
          <w:rFonts w:ascii="Arial" w:eastAsia="Arial" w:hAnsi="Arial" w:cs="Arial"/>
          <w:color w:val="000000"/>
          <w:sz w:val="20"/>
          <w:szCs w:val="20"/>
        </w:rPr>
        <w:lastRenderedPageBreak/>
        <w:t>Smlouvě a musí obsahovat minimálně popis změny závazku ze Smlouvy a den nabytí účinnosti příslušné změny</w:t>
      </w:r>
      <w:r>
        <w:rPr>
          <w:rFonts w:ascii="Arial" w:eastAsia="Arial" w:hAnsi="Arial" w:cs="Arial"/>
          <w:color w:val="000000"/>
          <w:sz w:val="20"/>
          <w:szCs w:val="20"/>
        </w:rPr>
        <w:t>.</w:t>
      </w:r>
    </w:p>
    <w:p w14:paraId="3BE5552C" w14:textId="77777777" w:rsidR="00175781" w:rsidRDefault="00D26B9F">
      <w:pPr>
        <w:numPr>
          <w:ilvl w:val="0"/>
          <w:numId w:val="2"/>
        </w:numPr>
        <w:pBdr>
          <w:top w:val="nil"/>
          <w:left w:val="nil"/>
          <w:bottom w:val="nil"/>
          <w:right w:val="nil"/>
          <w:between w:val="nil"/>
        </w:pBdr>
        <w:spacing w:after="200" w:line="276" w:lineRule="auto"/>
        <w:jc w:val="both"/>
        <w:rPr>
          <w:rFonts w:ascii="Arial" w:eastAsia="Arial" w:hAnsi="Arial" w:cs="Arial"/>
          <w:color w:val="000000"/>
          <w:sz w:val="20"/>
          <w:szCs w:val="20"/>
        </w:rPr>
      </w:pPr>
      <w:bookmarkStart w:id="28" w:name="_iyh6oedeplsg" w:colFirst="0" w:colLast="0"/>
      <w:bookmarkStart w:id="29" w:name="_Ref217308077"/>
      <w:bookmarkEnd w:id="28"/>
      <w:r>
        <w:rPr>
          <w:rFonts w:ascii="Arial" w:eastAsia="Arial" w:hAnsi="Arial" w:cs="Arial"/>
          <w:b/>
          <w:bCs/>
          <w:color w:val="000000"/>
          <w:sz w:val="20"/>
          <w:szCs w:val="20"/>
        </w:rPr>
        <w:t>PROHLÁŠENÍ PROVOZOVATELE</w:t>
      </w:r>
      <w:bookmarkEnd w:id="29"/>
      <w:r>
        <w:rPr>
          <w:rFonts w:ascii="Arial" w:eastAsia="Arial" w:hAnsi="Arial" w:cs="Arial"/>
          <w:b/>
          <w:bCs/>
          <w:color w:val="000000"/>
          <w:sz w:val="20"/>
          <w:szCs w:val="20"/>
        </w:rPr>
        <w:t xml:space="preserve"> </w:t>
      </w:r>
    </w:p>
    <w:p w14:paraId="680157EB"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30" w:name="_mil3mj4cksn2" w:colFirst="0" w:colLast="0"/>
      <w:bookmarkEnd w:id="30"/>
      <w:r>
        <w:rPr>
          <w:rFonts w:ascii="Arial" w:eastAsia="Arial" w:hAnsi="Arial" w:cs="Arial"/>
          <w:color w:val="000000"/>
          <w:sz w:val="20"/>
          <w:szCs w:val="20"/>
        </w:rPr>
        <w:t>Provozovatel závazně prohlašuje, že pro účely realizace této Smlouvy splňuje požadavky na základní způsobilost ve smyslu § 74 ZZVZ a dále profesní způsobilost dle § 75 odst. 1 písm. a) ZZVZ.</w:t>
      </w:r>
    </w:p>
    <w:p w14:paraId="1696B188" w14:textId="1B971906"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31" w:name="_fio6j0yip7qu" w:colFirst="0" w:colLast="0"/>
      <w:bookmarkEnd w:id="31"/>
      <w:r>
        <w:rPr>
          <w:rFonts w:ascii="Arial" w:eastAsia="Arial" w:hAnsi="Arial" w:cs="Arial"/>
          <w:color w:val="000000"/>
          <w:sz w:val="20"/>
          <w:szCs w:val="20"/>
        </w:rPr>
        <w:t>Provozovatel závazně prohlašuje, že ve vztahu k vlastnické struktuře jeho právnické osoby je proveden zápis do evidence skutečných majitelů ve smyslu zákona č. 37/2021 Sb., o evidenci skutečných majitelů, ve</w:t>
      </w:r>
      <w:r w:rsidR="00E71315">
        <w:rPr>
          <w:rFonts w:ascii="Arial" w:eastAsia="Arial" w:hAnsi="Arial" w:cs="Arial"/>
          <w:color w:val="000000"/>
          <w:sz w:val="20"/>
          <w:szCs w:val="20"/>
        </w:rPr>
        <w:t> </w:t>
      </w:r>
      <w:r>
        <w:rPr>
          <w:rFonts w:ascii="Arial" w:eastAsia="Arial" w:hAnsi="Arial" w:cs="Arial"/>
          <w:color w:val="000000"/>
          <w:sz w:val="20"/>
          <w:szCs w:val="20"/>
        </w:rPr>
        <w:t>znění pozdějších předpisů.</w:t>
      </w:r>
    </w:p>
    <w:p w14:paraId="2E257C1C" w14:textId="5525CF33"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Provozovatel závazně prohlašuje, že má sídlo v zemích Evropské unie nebo Evropského hospodářského prostoru, přičemž nikdy v budoucnu po dobu trvání této Smlouvy je mimo tyto země nepřesune, a to ani v důsledku právního nástupnictví. Současně Provozovatel prohlašuje a zaručuje, že žádná ze společností v rámci téhož koncernu, do kterého případně náleží, nemá a nebude mít své sídlo v zemi, která je nebo bude zapsána na seznamu nespolupracujících daňových jurisdikcí sestaveného Radou Evropské unie, který je dostupný na webu </w:t>
      </w:r>
      <w:hyperlink r:id="rId10">
        <w:r w:rsidR="00175781">
          <w:rPr>
            <w:rFonts w:ascii="Arial" w:eastAsia="Arial" w:hAnsi="Arial" w:cs="Arial"/>
            <w:color w:val="000000"/>
            <w:sz w:val="20"/>
            <w:szCs w:val="20"/>
            <w:u w:val="single"/>
          </w:rPr>
          <w:t>https://www.consilium.europa.eu/cs/policies/eu-list-of-non-cooperative-jurisdictions/</w:t>
        </w:r>
      </w:hyperlink>
      <w:r>
        <w:rPr>
          <w:rFonts w:ascii="Arial" w:eastAsia="Arial" w:hAnsi="Arial" w:cs="Arial"/>
          <w:color w:val="000000"/>
          <w:sz w:val="20"/>
          <w:szCs w:val="20"/>
          <w:u w:val="single"/>
        </w:rPr>
        <w:t>;</w:t>
      </w:r>
      <w:r>
        <w:rPr>
          <w:rFonts w:ascii="Arial" w:eastAsia="Arial" w:hAnsi="Arial" w:cs="Arial"/>
          <w:color w:val="000000"/>
          <w:sz w:val="20"/>
          <w:szCs w:val="20"/>
        </w:rPr>
        <w:t xml:space="preserve"> a</w:t>
      </w:r>
      <w:r w:rsidR="00635858">
        <w:rPr>
          <w:rFonts w:ascii="Arial" w:eastAsia="Arial" w:hAnsi="Arial" w:cs="Arial"/>
          <w:color w:val="000000"/>
          <w:sz w:val="20"/>
          <w:szCs w:val="20"/>
        </w:rPr>
        <w:t> </w:t>
      </w:r>
      <w:r>
        <w:rPr>
          <w:rFonts w:ascii="Arial" w:eastAsia="Arial" w:hAnsi="Arial" w:cs="Arial"/>
          <w:color w:val="000000"/>
          <w:sz w:val="20"/>
          <w:szCs w:val="20"/>
        </w:rPr>
        <w:t>současně do takové země své sídlo ani nikdy v budoucnu po dobu trvání této Smlouvy nepřemístí, a to ani v důsledku právního nástupnictví. Tento požadavek HMP se ve stejném rozsahu vztahuje i na banky či</w:t>
      </w:r>
      <w:r w:rsidR="00635858">
        <w:rPr>
          <w:rFonts w:ascii="Arial" w:eastAsia="Arial" w:hAnsi="Arial" w:cs="Arial"/>
          <w:color w:val="000000"/>
          <w:sz w:val="20"/>
          <w:szCs w:val="20"/>
        </w:rPr>
        <w:t> </w:t>
      </w:r>
      <w:r>
        <w:rPr>
          <w:rFonts w:ascii="Arial" w:eastAsia="Arial" w:hAnsi="Arial" w:cs="Arial"/>
          <w:color w:val="000000"/>
          <w:sz w:val="20"/>
          <w:szCs w:val="20"/>
        </w:rPr>
        <w:t>jiné finanční instituce, u kterých Provozovatel vede své účty, čerpá úvěry, získává bankovní záruky, nebo provádí jiné obdobné finanční operace.</w:t>
      </w:r>
    </w:p>
    <w:p w14:paraId="6F16FF82" w14:textId="268AAB13"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32" w:name="_56ocearma7tg" w:colFirst="0" w:colLast="0"/>
      <w:bookmarkEnd w:id="32"/>
      <w:r>
        <w:rPr>
          <w:rFonts w:ascii="Arial" w:eastAsia="Arial" w:hAnsi="Arial" w:cs="Arial"/>
          <w:color w:val="000000"/>
          <w:sz w:val="20"/>
          <w:szCs w:val="20"/>
        </w:rPr>
        <w:t xml:space="preserve">Provozovatel závazně prohlašuje, že disponuje a po celou dobu trvání Smlouvy bude disponovat, nezbytnými veřejnoprávními oprávněními anebo povoleními, která jsou nutná pro zajištění služby sdílených kol. Pozbyde-li v průběhu trvání Smlouvy Provozovatel taková nutná veřejnoprávní oprávnění nebo povolení, je neprodleně povinen o této skutečnosti informovat HMP a je povinen přerušit poskytování Služeb dle Smlouvy do doby, než bude opět všemi nutnými veřejnoprávními oprávněními nebo povoleními disponovat, o čemž je opět povinen neprodleně informovat HMP. Přerušení poskytování služeb Provozovatelem dle předchozí věty nemá vliv na povinnost realizovat úplatu ve prospěch HMP, ani na jiné povinnosti stanovené touto Smlouvou.    </w:t>
      </w:r>
    </w:p>
    <w:p w14:paraId="6055070D" w14:textId="30D1BFAF"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Provozovatel závazně prohlašuje, že má předchozí zkušenosti s provozováním služby sdílených kol. Tím se</w:t>
      </w:r>
      <w:r w:rsidR="003455FB">
        <w:rPr>
          <w:rFonts w:ascii="Arial" w:eastAsia="Arial" w:hAnsi="Arial" w:cs="Arial"/>
          <w:color w:val="000000"/>
          <w:sz w:val="20"/>
          <w:szCs w:val="20"/>
        </w:rPr>
        <w:t> </w:t>
      </w:r>
      <w:r>
        <w:rPr>
          <w:rFonts w:ascii="Arial" w:eastAsia="Arial" w:hAnsi="Arial" w:cs="Arial"/>
          <w:color w:val="000000"/>
          <w:sz w:val="20"/>
          <w:szCs w:val="20"/>
        </w:rPr>
        <w:t>rozumí, že Provozovatel v posledních třech (3) letech ode dne účinnosti této Smlouvy poskytoval obdobné služby (tj. provoz buď Jízdních kol, nebo Elektrokol), a to pro územní samosprávný celek (nebo obdobný / srovnatelný útvar v zahraničí) s rozlohou alespoň 150 km</w:t>
      </w:r>
      <w:r>
        <w:rPr>
          <w:rFonts w:ascii="Arial" w:eastAsia="Arial" w:hAnsi="Arial" w:cs="Arial"/>
          <w:color w:val="000000"/>
          <w:sz w:val="20"/>
          <w:szCs w:val="20"/>
          <w:vertAlign w:val="superscript"/>
        </w:rPr>
        <w:t>2</w:t>
      </w:r>
      <w:r>
        <w:rPr>
          <w:rFonts w:ascii="Arial" w:eastAsia="Arial" w:hAnsi="Arial" w:cs="Arial"/>
          <w:color w:val="000000"/>
          <w:sz w:val="20"/>
          <w:szCs w:val="20"/>
        </w:rPr>
        <w:t xml:space="preserve">, nebo nejméně sto tisíci (100.000) obyvateli. </w:t>
      </w:r>
    </w:p>
    <w:p w14:paraId="38FC5C0F"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Provozovatel při provozu služby sdílených kol postupuje samostatně a na vlastní podnikatelské riziko. Provozovatel bere výslovně na vědomí a souhlasí, že TSK ani HMP nenesou jakoukoliv odpovědnost za výnosnost či ztrátovost jeho podnikání souvisejícího s uzavřením této Smlouvy. Odpovědnost TSK i HMP za škodu v podobě ušlého zisku způsobenou na základě a v souvislosti s touto Smlouvou je vyloučena. Provozovatel je však povinen HMP bezodkladně informovat, pokud byly provozem služby sdílených kol nebo mohly být dotčeny zájmy TSK a HMP a jeho městských částí (poškození majetku, újma na zdraví, výpadek či zastavení provozu služby sdílených kol z jakéhokoliv důvodu atd.).</w:t>
      </w:r>
    </w:p>
    <w:p w14:paraId="4464793A" w14:textId="74E3D16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Provozovatel je povinen bez zbytečného odkladu, jinak nejdéle do deseti (10) pracovních dnů od výzvy HMP, předložit HMP čestné prohlášení o splnění základní způsobilosti a prostou kopii dokladu prokazující splnění profesní způsobilosti. Dále Provozovatel doloží v téže lhůtě prosté kopie příslušné dokumentace, podkladů či jiných důkazních prostředků, ze kterých bude vyplývat, že splňuje rovněž zbývající požadavky dle tohoto článku Smlouvy. V případě pochybností je HMP oprávněno vyžádat si originály či úředně ověřené kopie všech těchto dokumentů, dokladů či jiných důkazních prostředků. Platí přitom, že nesplnění kterékoliv </w:t>
      </w:r>
      <w:r>
        <w:rPr>
          <w:rFonts w:ascii="Arial" w:eastAsia="Arial" w:hAnsi="Arial" w:cs="Arial"/>
          <w:color w:val="000000"/>
          <w:sz w:val="20"/>
          <w:szCs w:val="20"/>
        </w:rPr>
        <w:lastRenderedPageBreak/>
        <w:t>z uvedených povinností, nebo neprokázání či nedodržení základní či profesní způsobilosti kladené na</w:t>
      </w:r>
      <w:r w:rsidR="0036103B">
        <w:rPr>
          <w:rFonts w:ascii="Arial" w:eastAsia="Arial" w:hAnsi="Arial" w:cs="Arial"/>
          <w:color w:val="000000"/>
          <w:sz w:val="20"/>
          <w:szCs w:val="20"/>
        </w:rPr>
        <w:t> </w:t>
      </w:r>
      <w:r>
        <w:rPr>
          <w:rFonts w:ascii="Arial" w:eastAsia="Arial" w:hAnsi="Arial" w:cs="Arial"/>
          <w:color w:val="000000"/>
          <w:sz w:val="20"/>
          <w:szCs w:val="20"/>
        </w:rPr>
        <w:t xml:space="preserve">Provozovatele, resp. nepravdivost některého prohlášení či porušení záruky dle tohoto čl. </w:t>
      </w:r>
      <w:r w:rsidR="0036103B">
        <w:rPr>
          <w:rFonts w:ascii="Arial" w:eastAsia="Arial" w:hAnsi="Arial" w:cs="Arial"/>
          <w:color w:val="000000"/>
          <w:sz w:val="20"/>
          <w:szCs w:val="20"/>
        </w:rPr>
        <w:fldChar w:fldCharType="begin"/>
      </w:r>
      <w:r w:rsidR="0036103B">
        <w:rPr>
          <w:rFonts w:ascii="Arial" w:eastAsia="Arial" w:hAnsi="Arial" w:cs="Arial"/>
          <w:color w:val="000000"/>
          <w:sz w:val="20"/>
          <w:szCs w:val="20"/>
        </w:rPr>
        <w:instrText xml:space="preserve"> REF _Ref217308077 \r \h </w:instrText>
      </w:r>
      <w:r w:rsidR="0036103B">
        <w:rPr>
          <w:rFonts w:ascii="Arial" w:eastAsia="Arial" w:hAnsi="Arial" w:cs="Arial"/>
          <w:color w:val="000000"/>
          <w:sz w:val="20"/>
          <w:szCs w:val="20"/>
        </w:rPr>
      </w:r>
      <w:r w:rsidR="0036103B">
        <w:rPr>
          <w:rFonts w:ascii="Arial" w:eastAsia="Arial" w:hAnsi="Arial" w:cs="Arial"/>
          <w:color w:val="000000"/>
          <w:sz w:val="20"/>
          <w:szCs w:val="20"/>
        </w:rPr>
        <w:fldChar w:fldCharType="separate"/>
      </w:r>
      <w:r w:rsidR="0036103B">
        <w:rPr>
          <w:rFonts w:ascii="Arial" w:eastAsia="Arial" w:hAnsi="Arial" w:cs="Arial"/>
          <w:color w:val="000000"/>
          <w:sz w:val="20"/>
          <w:szCs w:val="20"/>
        </w:rPr>
        <w:t>8</w:t>
      </w:r>
      <w:r w:rsidR="0036103B">
        <w:rPr>
          <w:rFonts w:ascii="Arial" w:eastAsia="Arial" w:hAnsi="Arial" w:cs="Arial"/>
          <w:color w:val="000000"/>
          <w:sz w:val="20"/>
          <w:szCs w:val="20"/>
        </w:rPr>
        <w:fldChar w:fldCharType="end"/>
      </w:r>
      <w:r>
        <w:rPr>
          <w:rFonts w:ascii="Arial" w:eastAsia="Arial" w:hAnsi="Arial" w:cs="Arial"/>
          <w:color w:val="000000"/>
          <w:sz w:val="20"/>
          <w:szCs w:val="20"/>
        </w:rPr>
        <w:t>, je důvodem pro odmítnutí uzavření této Smlouvy na straně HMP, případně podstatným porušením této Smlouvy, nastane-li anebo vyjde-li najevo až po jejím uzavření.</w:t>
      </w:r>
    </w:p>
    <w:p w14:paraId="5D8B6E60"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Provozovatel se zavazuje, že bude v rámci své podnikatelské činnosti realizované zejména na základě této Smlouvy, ale i v jiných právních / obchodních vztazích, které navazuje, obdobně dodržovat právní předpisy a Protikorupční strategii Hlavního města Prahy 2022–2027, resp. případné navazující dokumenty obdobného charakteru pro období po roce 2027. </w:t>
      </w:r>
    </w:p>
    <w:p w14:paraId="49163D94"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Nový provozovatel může přistoupit k provozování služby sdílených kol na území HMP kdykoli po splnění podmínek dle tohoto článku Smlouvy a na základě písemné žádosti předložené HMP. Uzavření smlouvy s novým provozovatelem a nabytí její účinnosti proběhne zpravidla nejpozději do třech měsíců od podání žádosti dle předchozí věty.    </w:t>
      </w:r>
    </w:p>
    <w:p w14:paraId="75453566" w14:textId="77777777" w:rsidR="00175781" w:rsidRDefault="00D26B9F">
      <w:pPr>
        <w:numPr>
          <w:ilvl w:val="0"/>
          <w:numId w:val="2"/>
        </w:numPr>
        <w:pBdr>
          <w:top w:val="nil"/>
          <w:left w:val="nil"/>
          <w:bottom w:val="nil"/>
          <w:right w:val="nil"/>
          <w:between w:val="nil"/>
        </w:pBdr>
        <w:spacing w:after="200" w:line="276" w:lineRule="auto"/>
        <w:jc w:val="both"/>
        <w:rPr>
          <w:rFonts w:ascii="Arial" w:eastAsia="Arial" w:hAnsi="Arial" w:cs="Arial"/>
          <w:color w:val="000000"/>
          <w:sz w:val="20"/>
          <w:szCs w:val="20"/>
        </w:rPr>
      </w:pPr>
      <w:bookmarkStart w:id="33" w:name="_7a9a40azzhlk" w:colFirst="0" w:colLast="0"/>
      <w:bookmarkStart w:id="34" w:name="_Ref217308314"/>
      <w:bookmarkEnd w:id="33"/>
      <w:r>
        <w:rPr>
          <w:rFonts w:ascii="Arial" w:eastAsia="Arial" w:hAnsi="Arial" w:cs="Arial"/>
          <w:b/>
          <w:bCs/>
          <w:color w:val="000000"/>
          <w:sz w:val="20"/>
          <w:szCs w:val="20"/>
        </w:rPr>
        <w:t>ÚPLATA</w:t>
      </w:r>
      <w:bookmarkEnd w:id="34"/>
    </w:p>
    <w:p w14:paraId="7B1E73B3" w14:textId="68DBC28D"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Provozovatel se tímto zavazuje hradit HMP pravidelnou měsíční úplatu za zvláštní užívání veřejného prostranství („</w:t>
      </w:r>
      <w:r>
        <w:rPr>
          <w:rFonts w:ascii="Arial" w:eastAsia="Arial" w:hAnsi="Arial" w:cs="Arial"/>
          <w:b/>
          <w:bCs/>
          <w:color w:val="000000"/>
          <w:sz w:val="20"/>
          <w:szCs w:val="20"/>
        </w:rPr>
        <w:t>Úplata</w:t>
      </w:r>
      <w:r>
        <w:rPr>
          <w:rFonts w:ascii="Arial" w:eastAsia="Arial" w:hAnsi="Arial" w:cs="Arial"/>
          <w:color w:val="000000"/>
          <w:sz w:val="20"/>
          <w:szCs w:val="20"/>
        </w:rPr>
        <w:t>“). Úplata se odvíjí od počtu Vozidel Provozovatele provozovaných dle této Smlouvy na</w:t>
      </w:r>
      <w:r w:rsidR="009F1777">
        <w:rPr>
          <w:rFonts w:ascii="Arial" w:eastAsia="Arial" w:hAnsi="Arial" w:cs="Arial"/>
          <w:color w:val="000000"/>
          <w:sz w:val="20"/>
          <w:szCs w:val="20"/>
        </w:rPr>
        <w:t> </w:t>
      </w:r>
      <w:r>
        <w:rPr>
          <w:rFonts w:ascii="Arial" w:eastAsia="Arial" w:hAnsi="Arial" w:cs="Arial"/>
          <w:color w:val="000000"/>
          <w:sz w:val="20"/>
          <w:szCs w:val="20"/>
        </w:rPr>
        <w:t>území HMP a sjednává se jako pevná částka ve výši 25 Kč bez DPH za každé jednotlivé Vozidlo Provozovatele,</w:t>
      </w:r>
      <w:r>
        <w:rPr>
          <w:rFonts w:ascii="Arial" w:eastAsia="Arial" w:hAnsi="Arial" w:cs="Arial"/>
          <w:sz w:val="20"/>
          <w:szCs w:val="20"/>
        </w:rPr>
        <w:t xml:space="preserve"> které bylo provozováno (tj. u kterého byl umožněn jeho pronájem koncovým uživatelům) v</w:t>
      </w:r>
      <w:r w:rsidR="009F1777">
        <w:rPr>
          <w:rFonts w:ascii="Arial" w:eastAsia="Arial" w:hAnsi="Arial" w:cs="Arial"/>
          <w:sz w:val="20"/>
          <w:szCs w:val="20"/>
        </w:rPr>
        <w:t> </w:t>
      </w:r>
      <w:r>
        <w:rPr>
          <w:rFonts w:ascii="Arial" w:eastAsia="Arial" w:hAnsi="Arial" w:cs="Arial"/>
          <w:sz w:val="20"/>
          <w:szCs w:val="20"/>
        </w:rPr>
        <w:t>daném měsíci. Pokud Vozidlo bylo provozováno jen část měsíce, počítá se poměrem "počet dní v provozu" / "počet dní v měsíci" * 25, kdy výsledek bude vyjádřen v Kč bez DPH).</w:t>
      </w:r>
      <w:r>
        <w:rPr>
          <w:rFonts w:ascii="Arial" w:eastAsia="Arial" w:hAnsi="Arial" w:cs="Arial"/>
          <w:color w:val="000000"/>
          <w:sz w:val="20"/>
          <w:szCs w:val="20"/>
        </w:rPr>
        <w:t xml:space="preserve"> Úplata bude Provozovatelem poukazována na základě faktury vydané TSK na účet uvedený v záhlaví této Smlouvy </w:t>
      </w:r>
      <w:r>
        <w:rPr>
          <w:rFonts w:ascii="Arial" w:eastAsia="Arial" w:hAnsi="Arial" w:cs="Arial"/>
          <w:sz w:val="20"/>
          <w:szCs w:val="20"/>
        </w:rPr>
        <w:t>se splatností 30 dní</w:t>
      </w:r>
      <w:r>
        <w:rPr>
          <w:rFonts w:ascii="Arial" w:eastAsia="Arial" w:hAnsi="Arial" w:cs="Arial"/>
          <w:color w:val="000000"/>
          <w:sz w:val="20"/>
          <w:szCs w:val="20"/>
        </w:rPr>
        <w:t xml:space="preserve">. Dnem, kdy je Úplata provedena, se rozumí den připsání celé dané částky na účet TSK (uvedený v záhlaví této Smlouvy).  </w:t>
      </w:r>
    </w:p>
    <w:p w14:paraId="5A499EB9"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Úplata poskytovaná podle této Smlouvy může být ze strany HMP po dobu jejího trvání jednostranně navýšena, a to na základě ročního indexu průměrné meziroční míry inflace uveřejňovaného Českým statistickým úřadem („</w:t>
      </w:r>
      <w:r>
        <w:rPr>
          <w:rFonts w:ascii="Arial" w:eastAsia="Arial" w:hAnsi="Arial" w:cs="Arial"/>
          <w:b/>
          <w:bCs/>
          <w:color w:val="000000"/>
          <w:sz w:val="20"/>
          <w:szCs w:val="20"/>
        </w:rPr>
        <w:t>ČSÚ</w:t>
      </w:r>
      <w:r>
        <w:rPr>
          <w:rFonts w:ascii="Arial" w:eastAsia="Arial" w:hAnsi="Arial" w:cs="Arial"/>
          <w:color w:val="000000"/>
          <w:sz w:val="20"/>
          <w:szCs w:val="20"/>
        </w:rPr>
        <w:t>“) k prosinci kalendářního roku (průměrná roční míra inflace), a to vždy s účinností od prvního (1.) dne čtvrtého (4.) měsíce následujícího po měsíci, v němž bude takové vyhlášení oficiálně učiněno.</w:t>
      </w:r>
    </w:p>
    <w:p w14:paraId="555B136B"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Pro případ navýšení Úplaty dle tohoto článku Smlouvy není třeba mezi Stranami uzavírat dodatek a postačí písemné oznámení zaslané mezi kontaktními osobami Stran. Navýšení Úplaty bude účinné vždy k prvnímu (1.) dni kalendářního měsíce následujícího po doručení písemného oznámení dle předchozí věty.</w:t>
      </w:r>
    </w:p>
    <w:p w14:paraId="2204E583" w14:textId="51C396A1"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Pokud by ČSÚ přestal v průběhu trvání této Smlouvy vyhlašovat průměrnou meziroční míru inflace anebo by jeho působnost přešla na jiný úřad, zavazují se Strany jednat v dobré víře tak, aby v co nejkratší době po</w:t>
      </w:r>
      <w:r w:rsidR="0084500A">
        <w:rPr>
          <w:rFonts w:ascii="Arial" w:eastAsia="Arial" w:hAnsi="Arial" w:cs="Arial"/>
          <w:color w:val="000000"/>
          <w:sz w:val="20"/>
          <w:szCs w:val="20"/>
        </w:rPr>
        <w:t> </w:t>
      </w:r>
      <w:r>
        <w:rPr>
          <w:rFonts w:ascii="Arial" w:eastAsia="Arial" w:hAnsi="Arial" w:cs="Arial"/>
          <w:color w:val="000000"/>
          <w:sz w:val="20"/>
          <w:szCs w:val="20"/>
        </w:rPr>
        <w:t>nastání takové skutečnosti uzavřely dodatek k této Smlouvě, kterým bude toto ustanovení nahrazeno. Tím se rozumí zejména použití údajů vyhlašovaných obecně uznávanou autoritou či autoritou, na kterou přešla působnost ČSŮ, které se budou vztahovat k věcně obdobnému předmětu, a jejichž tvorba bude vycházet z obdobných zásad a roční průměrný růst takového údaje (za předchozí období, tak i v budoucnu očekávatelný/očekávaný) bude co nejbližší nahrazovanému údaji.</w:t>
      </w:r>
    </w:p>
    <w:p w14:paraId="30E58CCF" w14:textId="57767E8C"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Nad rámec možnosti navyšování Úplaty na základě ročního indexu průměrné meziroční míry inflace dle tohoto článku Smlouvy je HMP oprávněno jednou za 12 měsíců jejího trvání Úplatu jednostranně navýšit až</w:t>
      </w:r>
      <w:r w:rsidR="001D629C">
        <w:rPr>
          <w:rFonts w:ascii="Arial" w:eastAsia="Arial" w:hAnsi="Arial" w:cs="Arial"/>
          <w:color w:val="000000"/>
          <w:sz w:val="20"/>
          <w:szCs w:val="20"/>
        </w:rPr>
        <w:t> </w:t>
      </w:r>
      <w:r>
        <w:rPr>
          <w:rFonts w:ascii="Arial" w:eastAsia="Arial" w:hAnsi="Arial" w:cs="Arial"/>
          <w:color w:val="000000"/>
          <w:sz w:val="20"/>
          <w:szCs w:val="20"/>
        </w:rPr>
        <w:t xml:space="preserve">o </w:t>
      </w:r>
      <w:r>
        <w:rPr>
          <w:rFonts w:ascii="Arial" w:eastAsia="Arial" w:hAnsi="Arial" w:cs="Arial"/>
          <w:sz w:val="20"/>
          <w:szCs w:val="20"/>
        </w:rPr>
        <w:t>5</w:t>
      </w:r>
      <w:r w:rsidR="00F11BFC">
        <w:rPr>
          <w:rFonts w:ascii="Arial" w:eastAsia="Arial" w:hAnsi="Arial" w:cs="Arial"/>
          <w:sz w:val="20"/>
          <w:szCs w:val="20"/>
        </w:rPr>
        <w:t xml:space="preserve"> </w:t>
      </w:r>
      <w:r>
        <w:rPr>
          <w:rFonts w:ascii="Arial" w:eastAsia="Arial" w:hAnsi="Arial" w:cs="Arial"/>
          <w:color w:val="000000"/>
          <w:sz w:val="20"/>
          <w:szCs w:val="20"/>
        </w:rPr>
        <w:t xml:space="preserve">% ročně, a to zejména s ohledem na výši svých nákladů na provoz systému sdílených kol. Navýšení Úplaty je účinné od prvního měsíce, který následuje po měsíci, kdy k navýšení došlo, a platí pro dobu následujících 12 měsíců trvání této Smlouvy. Náklady na odstranění či uskladnění Vozidla dle této Smlouvy, </w:t>
      </w:r>
      <w:r>
        <w:rPr>
          <w:rFonts w:ascii="Arial" w:eastAsia="Arial" w:hAnsi="Arial" w:cs="Arial"/>
          <w:color w:val="000000"/>
          <w:sz w:val="20"/>
          <w:szCs w:val="20"/>
        </w:rPr>
        <w:lastRenderedPageBreak/>
        <w:t xml:space="preserve">případně jiné (zejména finančně vyjádřené) smluvní podmínky, je HMP oprávněna navyšovat či upravovat dle tohoto ustanovení obdobně.     </w:t>
      </w:r>
    </w:p>
    <w:p w14:paraId="7157C035" w14:textId="77777777" w:rsidR="00175781" w:rsidRDefault="00D26B9F">
      <w:pPr>
        <w:numPr>
          <w:ilvl w:val="0"/>
          <w:numId w:val="2"/>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b/>
          <w:bCs/>
          <w:color w:val="000000"/>
          <w:sz w:val="20"/>
          <w:szCs w:val="20"/>
        </w:rPr>
        <w:t xml:space="preserve">PRÁVA A POVINNOSTI HMP  </w:t>
      </w:r>
    </w:p>
    <w:p w14:paraId="4E759761"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35" w:name="_4xqxylq7tdk" w:colFirst="0" w:colLast="0"/>
      <w:bookmarkEnd w:id="35"/>
      <w:r>
        <w:rPr>
          <w:rFonts w:ascii="Arial" w:eastAsia="Arial" w:hAnsi="Arial" w:cs="Arial"/>
          <w:color w:val="000000"/>
          <w:sz w:val="20"/>
          <w:szCs w:val="20"/>
        </w:rPr>
        <w:t>HMP na základě Usnesení HMP uděluje Provozovateli za Úplatu souhlas ke zvláštnímu užívání veřejných prostranství HMP, na kterých jsou umístěna Pevná stanoviště a Vyznačená stanoviště.</w:t>
      </w:r>
    </w:p>
    <w:p w14:paraId="103D5442"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HMP ani TSK neodpovídají za ztrátu, poškození nebo zničení Vozidel rozmístěných na území HMP.</w:t>
      </w:r>
    </w:p>
    <w:p w14:paraId="1BD630A9"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HMP má právo kdykoliv kontrolovat na území HMP stav Vozidel a Pevných stanovišť i Vyznačených stanovišť, jejich provozuschopnost a plnění všech povinností dle této Smlouvy. </w:t>
      </w:r>
    </w:p>
    <w:p w14:paraId="03157E38" w14:textId="77E19573"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HMP je povinno bezodkladně informovat Provozovatele o všech skutečnostech, které mohou mít vliv na</w:t>
      </w:r>
      <w:r w:rsidR="00713106">
        <w:rPr>
          <w:rFonts w:ascii="Arial" w:eastAsia="Arial" w:hAnsi="Arial" w:cs="Arial"/>
          <w:color w:val="000000"/>
          <w:sz w:val="20"/>
          <w:szCs w:val="20"/>
        </w:rPr>
        <w:t> </w:t>
      </w:r>
      <w:r>
        <w:rPr>
          <w:rFonts w:ascii="Arial" w:eastAsia="Arial" w:hAnsi="Arial" w:cs="Arial"/>
          <w:color w:val="000000"/>
          <w:sz w:val="20"/>
          <w:szCs w:val="20"/>
        </w:rPr>
        <w:t>plnění této Smlouvy, a předložit a za součinnosti Provozovatele bezodkladně projednat návrh jejich řešení.</w:t>
      </w:r>
    </w:p>
    <w:p w14:paraId="6A97CE02" w14:textId="77777777" w:rsidR="00175781" w:rsidRDefault="00D26B9F">
      <w:pPr>
        <w:numPr>
          <w:ilvl w:val="0"/>
          <w:numId w:val="2"/>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b/>
          <w:bCs/>
          <w:color w:val="000000"/>
          <w:sz w:val="20"/>
          <w:szCs w:val="20"/>
        </w:rPr>
        <w:t>DOBA TRVÁNÍ A UKONČENÍ SMLOUVY</w:t>
      </w:r>
    </w:p>
    <w:p w14:paraId="5CC70E40"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Tato Smlouva se uzavírá na dobu neurčitou.</w:t>
      </w:r>
    </w:p>
    <w:p w14:paraId="5B7A90D4"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Tato Smlouva může být ukončena:</w:t>
      </w:r>
    </w:p>
    <w:p w14:paraId="0812FE38" w14:textId="77777777" w:rsidR="00175781" w:rsidRDefault="00D26B9F">
      <w:pPr>
        <w:numPr>
          <w:ilvl w:val="0"/>
          <w:numId w:val="12"/>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color w:val="000000"/>
          <w:sz w:val="20"/>
          <w:szCs w:val="20"/>
        </w:rPr>
        <w:t>písemnou dohodou obou Stran,</w:t>
      </w:r>
    </w:p>
    <w:p w14:paraId="5BAF5EB8" w14:textId="77777777" w:rsidR="00175781" w:rsidRDefault="00D26B9F">
      <w:pPr>
        <w:numPr>
          <w:ilvl w:val="0"/>
          <w:numId w:val="12"/>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color w:val="000000"/>
          <w:sz w:val="20"/>
          <w:szCs w:val="20"/>
        </w:rPr>
        <w:t>výpovědí,</w:t>
      </w:r>
    </w:p>
    <w:p w14:paraId="71D19168" w14:textId="242F5FC1" w:rsidR="00175781" w:rsidRDefault="00D26B9F">
      <w:pPr>
        <w:numPr>
          <w:ilvl w:val="0"/>
          <w:numId w:val="12"/>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color w:val="000000"/>
          <w:sz w:val="20"/>
          <w:szCs w:val="20"/>
        </w:rPr>
        <w:t>odstoupením od Smlouvy</w:t>
      </w:r>
      <w:r w:rsidR="00713106">
        <w:rPr>
          <w:rFonts w:ascii="Arial" w:eastAsia="Arial" w:hAnsi="Arial" w:cs="Arial"/>
          <w:color w:val="000000"/>
          <w:sz w:val="20"/>
          <w:szCs w:val="20"/>
        </w:rPr>
        <w:t>.</w:t>
      </w:r>
    </w:p>
    <w:p w14:paraId="0FC43773" w14:textId="6D1C2AE6"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HMP má právo vypovědět Smlouvu s Provozovatelem bez udání důvodu, pokud tak učiní i ve vztahu ke</w:t>
      </w:r>
      <w:r w:rsidR="00713106">
        <w:rPr>
          <w:rFonts w:ascii="Arial" w:eastAsia="Arial" w:hAnsi="Arial" w:cs="Arial"/>
          <w:color w:val="000000"/>
          <w:sz w:val="20"/>
          <w:szCs w:val="20"/>
        </w:rPr>
        <w:t> </w:t>
      </w:r>
      <w:r>
        <w:rPr>
          <w:rFonts w:ascii="Arial" w:eastAsia="Arial" w:hAnsi="Arial" w:cs="Arial"/>
          <w:color w:val="000000"/>
          <w:sz w:val="20"/>
          <w:szCs w:val="20"/>
        </w:rPr>
        <w:t>všem dalším provozovatelům. Výpovědní doba v takovém případě činí šest (6) měsíců a začne běžet od</w:t>
      </w:r>
      <w:r w:rsidR="00713106">
        <w:rPr>
          <w:rFonts w:ascii="Arial" w:eastAsia="Arial" w:hAnsi="Arial" w:cs="Arial"/>
          <w:color w:val="000000"/>
          <w:sz w:val="20"/>
          <w:szCs w:val="20"/>
        </w:rPr>
        <w:t> </w:t>
      </w:r>
      <w:r>
        <w:rPr>
          <w:rFonts w:ascii="Arial" w:eastAsia="Arial" w:hAnsi="Arial" w:cs="Arial"/>
          <w:color w:val="000000"/>
          <w:sz w:val="20"/>
          <w:szCs w:val="20"/>
        </w:rPr>
        <w:t xml:space="preserve">prvního (1.) dne měsíce následujícího po doručení výpovědi.  </w:t>
      </w:r>
    </w:p>
    <w:p w14:paraId="758FE335" w14:textId="7FA9A60B"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HMP </w:t>
      </w:r>
      <w:bookmarkStart w:id="36" w:name="_Hlk217388337"/>
      <w:r>
        <w:rPr>
          <w:rFonts w:ascii="Arial" w:eastAsia="Arial" w:hAnsi="Arial" w:cs="Arial"/>
          <w:color w:val="000000"/>
          <w:sz w:val="20"/>
          <w:szCs w:val="20"/>
        </w:rPr>
        <w:t xml:space="preserve">má právo vypovědět Smlouvu, pokud Provozovatel porušuje své povinnosti vyplývající z této Smlouvy, čímž se rozumí prodlení s kteroukoliv částí Úplaty dle čl. </w:t>
      </w:r>
      <w:r w:rsidR="00255158">
        <w:rPr>
          <w:rFonts w:ascii="Arial" w:eastAsia="Arial" w:hAnsi="Arial" w:cs="Arial"/>
          <w:color w:val="000000"/>
          <w:sz w:val="20"/>
          <w:szCs w:val="20"/>
        </w:rPr>
        <w:fldChar w:fldCharType="begin"/>
      </w:r>
      <w:r w:rsidR="00255158">
        <w:rPr>
          <w:rFonts w:ascii="Arial" w:eastAsia="Arial" w:hAnsi="Arial" w:cs="Arial"/>
          <w:color w:val="000000"/>
          <w:sz w:val="20"/>
          <w:szCs w:val="20"/>
        </w:rPr>
        <w:instrText xml:space="preserve"> REF _Ref217308314 \r \h </w:instrText>
      </w:r>
      <w:r w:rsidR="0041390D">
        <w:rPr>
          <w:rFonts w:ascii="Arial" w:eastAsia="Arial" w:hAnsi="Arial" w:cs="Arial"/>
          <w:color w:val="000000"/>
          <w:sz w:val="20"/>
          <w:szCs w:val="20"/>
        </w:rPr>
        <w:instrText xml:space="preserve"> \* MERGEFORMAT </w:instrText>
      </w:r>
      <w:r w:rsidR="00255158">
        <w:rPr>
          <w:rFonts w:ascii="Arial" w:eastAsia="Arial" w:hAnsi="Arial" w:cs="Arial"/>
          <w:color w:val="000000"/>
          <w:sz w:val="20"/>
          <w:szCs w:val="20"/>
        </w:rPr>
      </w:r>
      <w:r w:rsidR="00255158">
        <w:rPr>
          <w:rFonts w:ascii="Arial" w:eastAsia="Arial" w:hAnsi="Arial" w:cs="Arial"/>
          <w:color w:val="000000"/>
          <w:sz w:val="20"/>
          <w:szCs w:val="20"/>
        </w:rPr>
        <w:fldChar w:fldCharType="separate"/>
      </w:r>
      <w:r w:rsidR="00255158">
        <w:rPr>
          <w:rFonts w:ascii="Arial" w:eastAsia="Arial" w:hAnsi="Arial" w:cs="Arial"/>
          <w:color w:val="000000"/>
          <w:sz w:val="20"/>
          <w:szCs w:val="20"/>
        </w:rPr>
        <w:t>9</w:t>
      </w:r>
      <w:r w:rsidR="00255158">
        <w:rPr>
          <w:rFonts w:ascii="Arial" w:eastAsia="Arial" w:hAnsi="Arial" w:cs="Arial"/>
          <w:color w:val="000000"/>
          <w:sz w:val="20"/>
          <w:szCs w:val="20"/>
        </w:rPr>
        <w:fldChar w:fldCharType="end"/>
      </w:r>
      <w:r>
        <w:rPr>
          <w:rFonts w:ascii="Arial" w:eastAsia="Arial" w:hAnsi="Arial" w:cs="Arial"/>
          <w:color w:val="000000"/>
          <w:sz w:val="20"/>
          <w:szCs w:val="20"/>
        </w:rPr>
        <w:t xml:space="preserve"> Smlouvy o více než 60 dní, pokud Provozovatel na výzvu HMP neprovede nápravu ani do dalších 15 dnů; nebo nepředávání jakýchkoliv informací dle čl. </w:t>
      </w:r>
      <w:r w:rsidR="00FD2864">
        <w:rPr>
          <w:rFonts w:ascii="Arial" w:eastAsia="Arial" w:hAnsi="Arial" w:cs="Arial"/>
          <w:color w:val="000000"/>
          <w:sz w:val="20"/>
          <w:szCs w:val="20"/>
        </w:rPr>
        <w:fldChar w:fldCharType="begin"/>
      </w:r>
      <w:r w:rsidR="00FD2864">
        <w:rPr>
          <w:rFonts w:ascii="Arial" w:eastAsia="Arial" w:hAnsi="Arial" w:cs="Arial"/>
          <w:color w:val="000000"/>
          <w:sz w:val="20"/>
          <w:szCs w:val="20"/>
        </w:rPr>
        <w:instrText xml:space="preserve"> REF _Ref217307652 \r \h </w:instrText>
      </w:r>
      <w:r w:rsidR="0041390D">
        <w:rPr>
          <w:rFonts w:ascii="Arial" w:eastAsia="Arial" w:hAnsi="Arial" w:cs="Arial"/>
          <w:color w:val="000000"/>
          <w:sz w:val="20"/>
          <w:szCs w:val="20"/>
        </w:rPr>
        <w:instrText xml:space="preserve"> \* MERGEFORMAT </w:instrText>
      </w:r>
      <w:r w:rsidR="00FD2864">
        <w:rPr>
          <w:rFonts w:ascii="Arial" w:eastAsia="Arial" w:hAnsi="Arial" w:cs="Arial"/>
          <w:color w:val="000000"/>
          <w:sz w:val="20"/>
          <w:szCs w:val="20"/>
        </w:rPr>
      </w:r>
      <w:r w:rsidR="00FD2864">
        <w:rPr>
          <w:rFonts w:ascii="Arial" w:eastAsia="Arial" w:hAnsi="Arial" w:cs="Arial"/>
          <w:color w:val="000000"/>
          <w:sz w:val="20"/>
          <w:szCs w:val="20"/>
        </w:rPr>
        <w:fldChar w:fldCharType="separate"/>
      </w:r>
      <w:r w:rsidR="00FD2864">
        <w:rPr>
          <w:rFonts w:ascii="Arial" w:eastAsia="Arial" w:hAnsi="Arial" w:cs="Arial"/>
          <w:color w:val="000000"/>
          <w:sz w:val="20"/>
          <w:szCs w:val="20"/>
        </w:rPr>
        <w:t>7</w:t>
      </w:r>
      <w:r w:rsidR="00FD2864">
        <w:rPr>
          <w:rFonts w:ascii="Arial" w:eastAsia="Arial" w:hAnsi="Arial" w:cs="Arial"/>
          <w:color w:val="000000"/>
          <w:sz w:val="20"/>
          <w:szCs w:val="20"/>
        </w:rPr>
        <w:fldChar w:fldCharType="end"/>
      </w:r>
      <w:r>
        <w:rPr>
          <w:rFonts w:ascii="Arial" w:eastAsia="Arial" w:hAnsi="Arial" w:cs="Arial"/>
          <w:color w:val="000000"/>
          <w:sz w:val="20"/>
          <w:szCs w:val="20"/>
        </w:rPr>
        <w:t xml:space="preserve"> Smlouvy</w:t>
      </w:r>
      <w:r w:rsidR="0041390D">
        <w:rPr>
          <w:rFonts w:ascii="Arial" w:eastAsia="Arial" w:hAnsi="Arial" w:cs="Arial"/>
          <w:color w:val="000000"/>
          <w:sz w:val="20"/>
          <w:szCs w:val="20"/>
        </w:rPr>
        <w:t xml:space="preserve">, </w:t>
      </w:r>
      <w:r w:rsidR="0041390D" w:rsidRPr="0041390D">
        <w:rPr>
          <w:rFonts w:ascii="Arial" w:eastAsia="Arial" w:hAnsi="Arial" w:cs="Arial"/>
          <w:color w:val="000000"/>
          <w:sz w:val="20"/>
          <w:szCs w:val="20"/>
        </w:rPr>
        <w:t>pokud Provozovatel na výzvu HMP neprovede nápravu ani do dalších 7 dnů, přičemž nápravou se rozumí opravení poskytování dat a zároveň poskytnutí dat zpětně, pokud taková data budou existovat</w:t>
      </w:r>
      <w:bookmarkEnd w:id="36"/>
      <w:r w:rsidR="0041390D" w:rsidRPr="0041390D">
        <w:rPr>
          <w:rFonts w:ascii="Arial" w:eastAsia="Arial" w:hAnsi="Arial" w:cs="Arial"/>
          <w:color w:val="000000"/>
          <w:sz w:val="20"/>
          <w:szCs w:val="20"/>
        </w:rPr>
        <w:t xml:space="preserve">. </w:t>
      </w:r>
      <w:r>
        <w:rPr>
          <w:rFonts w:ascii="Arial" w:eastAsia="Arial" w:hAnsi="Arial" w:cs="Arial"/>
          <w:color w:val="000000"/>
          <w:sz w:val="20"/>
          <w:szCs w:val="20"/>
        </w:rPr>
        <w:t>Výpovědní doba v takovém případě činí jeden (1) měsíc a začne běžet od prvního (1.) dne měsíce následujícího po doručení výpovědi.</w:t>
      </w:r>
    </w:p>
    <w:p w14:paraId="7169952F" w14:textId="3E184281" w:rsidR="00175781" w:rsidRPr="00843869" w:rsidRDefault="00D26B9F" w:rsidP="00843869">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HMP, TSK a Provozovatel mají právo od této Smlouvy odstoupit za podmínek stanovených zákonem.</w:t>
      </w:r>
      <w:r>
        <w:rPr>
          <w:rFonts w:ascii="Arial" w:eastAsia="Arial" w:hAnsi="Arial" w:cs="Arial"/>
          <w:sz w:val="20"/>
          <w:szCs w:val="20"/>
        </w:rPr>
        <w:t xml:space="preserve"> </w:t>
      </w:r>
    </w:p>
    <w:p w14:paraId="7A8D23CE"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HMP a TSK jsou dále oprávněny (nad rámec výše uvedených případů) od této Smlouvy odstoupit bez dalšího, a to v následujících případech:</w:t>
      </w:r>
    </w:p>
    <w:p w14:paraId="13A3A03B" w14:textId="77777777" w:rsidR="00175781" w:rsidRDefault="00D26B9F">
      <w:pPr>
        <w:numPr>
          <w:ilvl w:val="0"/>
          <w:numId w:val="3"/>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Provozovatel odmítnul požadavky na indexaci Úplaty či souvisejících plateb dle této Smlouvy;</w:t>
      </w:r>
    </w:p>
    <w:p w14:paraId="0746BDCC" w14:textId="07EC4DE0" w:rsidR="00175781" w:rsidRDefault="00D26B9F">
      <w:pPr>
        <w:numPr>
          <w:ilvl w:val="0"/>
          <w:numId w:val="3"/>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u Provozovatele bylo zahájeno insolvenční řízení</w:t>
      </w:r>
      <w:r w:rsidR="00FD2864">
        <w:rPr>
          <w:rFonts w:ascii="Arial" w:eastAsia="Arial" w:hAnsi="Arial" w:cs="Arial"/>
          <w:color w:val="000000"/>
          <w:sz w:val="20"/>
          <w:szCs w:val="20"/>
        </w:rPr>
        <w:t>;</w:t>
      </w:r>
    </w:p>
    <w:p w14:paraId="3FEBDDBA" w14:textId="77777777" w:rsidR="00175781" w:rsidRDefault="00D26B9F">
      <w:pPr>
        <w:numPr>
          <w:ilvl w:val="0"/>
          <w:numId w:val="3"/>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bylo vydáno rozhodnutí o úpadku Provozovatele;</w:t>
      </w:r>
    </w:p>
    <w:p w14:paraId="56A5FF43" w14:textId="77777777" w:rsidR="00175781" w:rsidRDefault="00D26B9F">
      <w:pPr>
        <w:numPr>
          <w:ilvl w:val="0"/>
          <w:numId w:val="3"/>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insolvenční návrh u Provozovatele byl zamítnut proto, že majetek nepostačuje k úhradě nákladů insolvenčního řízení, nebo byl konkurs zrušen proto, že majetek byl zcela nepostačující;</w:t>
      </w:r>
    </w:p>
    <w:p w14:paraId="393E8D40" w14:textId="77777777" w:rsidR="00175781" w:rsidRDefault="00D26B9F">
      <w:pPr>
        <w:numPr>
          <w:ilvl w:val="0"/>
          <w:numId w:val="3"/>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u Provozovatele byla zavedena nucená správa podle zvláštních právních předpisů;</w:t>
      </w:r>
    </w:p>
    <w:p w14:paraId="2FBD96E9" w14:textId="77777777" w:rsidR="00175781" w:rsidRDefault="00D26B9F">
      <w:pPr>
        <w:numPr>
          <w:ilvl w:val="0"/>
          <w:numId w:val="3"/>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Provozovatel vstoupí do likvidace;</w:t>
      </w:r>
    </w:p>
    <w:p w14:paraId="17532723" w14:textId="77777777" w:rsidR="00175781" w:rsidRDefault="00D26B9F">
      <w:pPr>
        <w:numPr>
          <w:ilvl w:val="0"/>
          <w:numId w:val="3"/>
        </w:numPr>
        <w:pBdr>
          <w:top w:val="nil"/>
          <w:left w:val="nil"/>
          <w:bottom w:val="nil"/>
          <w:right w:val="nil"/>
          <w:between w:val="nil"/>
        </w:pBdr>
        <w:spacing w:after="200" w:line="276" w:lineRule="auto"/>
        <w:ind w:left="1508" w:hanging="357"/>
        <w:jc w:val="both"/>
        <w:rPr>
          <w:color w:val="000000"/>
          <w:sz w:val="20"/>
          <w:szCs w:val="20"/>
        </w:rPr>
      </w:pPr>
      <w:r>
        <w:rPr>
          <w:rFonts w:ascii="Arial" w:eastAsia="Arial" w:hAnsi="Arial" w:cs="Arial"/>
          <w:color w:val="000000"/>
          <w:sz w:val="20"/>
          <w:szCs w:val="20"/>
        </w:rPr>
        <w:lastRenderedPageBreak/>
        <w:t>proti Provozovateli bylo zahájeno trestní stíhání pro trestný čin podle zákona č. 418/2011 Sb., o trestní odpovědnosti právnických osob a řízení proti nim, ve znění pozdějších předpisů.</w:t>
      </w:r>
    </w:p>
    <w:p w14:paraId="6C112FEC" w14:textId="77777777" w:rsidR="00175781" w:rsidRDefault="00D26B9F">
      <w:pPr>
        <w:numPr>
          <w:ilvl w:val="1"/>
          <w:numId w:val="2"/>
        </w:numPr>
        <w:pBdr>
          <w:top w:val="nil"/>
          <w:left w:val="nil"/>
          <w:bottom w:val="nil"/>
          <w:right w:val="nil"/>
          <w:between w:val="nil"/>
        </w:pBdr>
        <w:spacing w:after="200" w:line="276" w:lineRule="auto"/>
        <w:ind w:left="993" w:hanging="636"/>
        <w:jc w:val="both"/>
        <w:rPr>
          <w:rFonts w:ascii="Arial" w:eastAsia="Arial" w:hAnsi="Arial" w:cs="Arial"/>
          <w:color w:val="000000"/>
          <w:sz w:val="20"/>
          <w:szCs w:val="20"/>
        </w:rPr>
      </w:pPr>
      <w:r>
        <w:rPr>
          <w:rFonts w:ascii="Arial" w:eastAsia="Arial" w:hAnsi="Arial" w:cs="Arial"/>
          <w:color w:val="000000"/>
          <w:sz w:val="20"/>
          <w:szCs w:val="20"/>
        </w:rPr>
        <w:t>Dojde-li k odstoupení od této Smlouvy ze strany HMP, nebude HMP povinna Smlouvu opětovně uzavřít dříve, než po uplynutí doby dvou (2) let od odstoupení od Smlouvy. </w:t>
      </w:r>
    </w:p>
    <w:p w14:paraId="6A685224" w14:textId="092BA369" w:rsidR="00175781" w:rsidRDefault="00D26B9F">
      <w:pPr>
        <w:numPr>
          <w:ilvl w:val="1"/>
          <w:numId w:val="2"/>
        </w:numPr>
        <w:pBdr>
          <w:top w:val="nil"/>
          <w:left w:val="nil"/>
          <w:bottom w:val="nil"/>
          <w:right w:val="nil"/>
          <w:between w:val="nil"/>
        </w:pBdr>
        <w:spacing w:after="200" w:line="276" w:lineRule="auto"/>
        <w:ind w:left="993" w:hanging="636"/>
        <w:jc w:val="both"/>
        <w:rPr>
          <w:rFonts w:ascii="Arial" w:eastAsia="Arial" w:hAnsi="Arial" w:cs="Arial"/>
          <w:color w:val="000000"/>
          <w:sz w:val="20"/>
          <w:szCs w:val="20"/>
        </w:rPr>
      </w:pPr>
      <w:r>
        <w:rPr>
          <w:rFonts w:ascii="Arial" w:eastAsia="Arial" w:hAnsi="Arial" w:cs="Arial"/>
          <w:color w:val="000000"/>
          <w:sz w:val="20"/>
          <w:szCs w:val="20"/>
        </w:rPr>
        <w:t>Provozovatel má právo Smlouvu vypovědět z jakéhokoliv důvodu, nebo i bez udání důvodu. Výpovědní doba v takovém případě činí jeden (1) měsíc a začne běžet od prvního (1.) dne měsíce následujícího po</w:t>
      </w:r>
      <w:r w:rsidR="004F14C7">
        <w:rPr>
          <w:rFonts w:ascii="Arial" w:eastAsia="Arial" w:hAnsi="Arial" w:cs="Arial"/>
          <w:color w:val="000000"/>
          <w:sz w:val="20"/>
          <w:szCs w:val="20"/>
        </w:rPr>
        <w:t> </w:t>
      </w:r>
      <w:r>
        <w:rPr>
          <w:rFonts w:ascii="Arial" w:eastAsia="Arial" w:hAnsi="Arial" w:cs="Arial"/>
          <w:color w:val="000000"/>
          <w:sz w:val="20"/>
          <w:szCs w:val="20"/>
        </w:rPr>
        <w:t xml:space="preserve">doručení výpovědi. Dojde-li k výpovědi ze strany Provozovatele, </w:t>
      </w:r>
      <w:r w:rsidR="00B366D8">
        <w:rPr>
          <w:rFonts w:ascii="Arial" w:eastAsia="Arial" w:hAnsi="Arial" w:cs="Arial"/>
          <w:color w:val="000000"/>
          <w:sz w:val="20"/>
          <w:szCs w:val="20"/>
        </w:rPr>
        <w:t xml:space="preserve">nemusí s ním HMP </w:t>
      </w:r>
      <w:r>
        <w:rPr>
          <w:rFonts w:ascii="Arial" w:eastAsia="Arial" w:hAnsi="Arial" w:cs="Arial"/>
          <w:color w:val="000000"/>
          <w:sz w:val="20"/>
          <w:szCs w:val="20"/>
        </w:rPr>
        <w:t>uzavřít</w:t>
      </w:r>
      <w:r w:rsidR="00B366D8">
        <w:rPr>
          <w:rFonts w:ascii="Arial" w:eastAsia="Arial" w:hAnsi="Arial" w:cs="Arial"/>
          <w:color w:val="000000"/>
          <w:sz w:val="20"/>
          <w:szCs w:val="20"/>
        </w:rPr>
        <w:t xml:space="preserve"> smlouvu </w:t>
      </w:r>
      <w:r>
        <w:rPr>
          <w:rFonts w:ascii="Arial" w:eastAsia="Arial" w:hAnsi="Arial" w:cs="Arial"/>
          <w:color w:val="000000"/>
          <w:sz w:val="20"/>
          <w:szCs w:val="20"/>
        </w:rPr>
        <w:t>opětovně</w:t>
      </w:r>
      <w:r w:rsidR="00B366D8">
        <w:rPr>
          <w:rFonts w:ascii="Arial" w:eastAsia="Arial" w:hAnsi="Arial" w:cs="Arial"/>
          <w:color w:val="000000"/>
          <w:sz w:val="20"/>
          <w:szCs w:val="20"/>
        </w:rPr>
        <w:t xml:space="preserve">, a to po dobu </w:t>
      </w:r>
      <w:r>
        <w:rPr>
          <w:rFonts w:ascii="Arial" w:eastAsia="Arial" w:hAnsi="Arial" w:cs="Arial"/>
          <w:color w:val="000000"/>
          <w:sz w:val="20"/>
          <w:szCs w:val="20"/>
        </w:rPr>
        <w:t>jednoho (1) roku od</w:t>
      </w:r>
      <w:r w:rsidR="00B366D8">
        <w:rPr>
          <w:rFonts w:ascii="Arial" w:eastAsia="Arial" w:hAnsi="Arial" w:cs="Arial"/>
          <w:color w:val="000000"/>
          <w:sz w:val="20"/>
          <w:szCs w:val="20"/>
        </w:rPr>
        <w:t xml:space="preserve"> </w:t>
      </w:r>
      <w:r>
        <w:rPr>
          <w:rFonts w:ascii="Arial" w:eastAsia="Arial" w:hAnsi="Arial" w:cs="Arial"/>
          <w:color w:val="000000"/>
          <w:sz w:val="20"/>
          <w:szCs w:val="20"/>
        </w:rPr>
        <w:t>konce výpověd</w:t>
      </w:r>
      <w:r w:rsidR="00ED5DFD">
        <w:rPr>
          <w:rFonts w:ascii="Arial" w:eastAsia="Arial" w:hAnsi="Arial" w:cs="Arial"/>
          <w:color w:val="000000"/>
          <w:sz w:val="20"/>
          <w:szCs w:val="20"/>
        </w:rPr>
        <w:t>n</w:t>
      </w:r>
      <w:r>
        <w:rPr>
          <w:rFonts w:ascii="Arial" w:eastAsia="Arial" w:hAnsi="Arial" w:cs="Arial"/>
          <w:color w:val="000000"/>
          <w:sz w:val="20"/>
          <w:szCs w:val="20"/>
        </w:rPr>
        <w:t>í doby</w:t>
      </w:r>
      <w:r w:rsidR="00B366D8">
        <w:rPr>
          <w:rFonts w:ascii="Arial" w:eastAsia="Arial" w:hAnsi="Arial" w:cs="Arial"/>
          <w:color w:val="000000"/>
          <w:sz w:val="20"/>
          <w:szCs w:val="20"/>
        </w:rPr>
        <w:t xml:space="preserve">. Odmítnutí uzavření smlouvy opětovně z jiných důvodů (např. nesplnění požadavků dle čl. </w:t>
      </w:r>
      <w:r w:rsidR="0015465F">
        <w:rPr>
          <w:rFonts w:ascii="Arial" w:eastAsia="Arial" w:hAnsi="Arial" w:cs="Arial"/>
          <w:color w:val="000000"/>
          <w:sz w:val="20"/>
          <w:szCs w:val="20"/>
        </w:rPr>
        <w:fldChar w:fldCharType="begin"/>
      </w:r>
      <w:r w:rsidR="0015465F">
        <w:rPr>
          <w:rFonts w:ascii="Arial" w:eastAsia="Arial" w:hAnsi="Arial" w:cs="Arial"/>
          <w:color w:val="000000"/>
          <w:sz w:val="20"/>
          <w:szCs w:val="20"/>
        </w:rPr>
        <w:instrText xml:space="preserve"> REF _Ref217308077 \r \h </w:instrText>
      </w:r>
      <w:r w:rsidR="0015465F">
        <w:rPr>
          <w:rFonts w:ascii="Arial" w:eastAsia="Arial" w:hAnsi="Arial" w:cs="Arial"/>
          <w:color w:val="000000"/>
          <w:sz w:val="20"/>
          <w:szCs w:val="20"/>
        </w:rPr>
      </w:r>
      <w:r w:rsidR="0015465F">
        <w:rPr>
          <w:rFonts w:ascii="Arial" w:eastAsia="Arial" w:hAnsi="Arial" w:cs="Arial"/>
          <w:color w:val="000000"/>
          <w:sz w:val="20"/>
          <w:szCs w:val="20"/>
        </w:rPr>
        <w:fldChar w:fldCharType="separate"/>
      </w:r>
      <w:r w:rsidR="0015465F">
        <w:rPr>
          <w:rFonts w:ascii="Arial" w:eastAsia="Arial" w:hAnsi="Arial" w:cs="Arial"/>
          <w:color w:val="000000"/>
          <w:sz w:val="20"/>
          <w:szCs w:val="20"/>
        </w:rPr>
        <w:t>8</w:t>
      </w:r>
      <w:r w:rsidR="0015465F">
        <w:rPr>
          <w:rFonts w:ascii="Arial" w:eastAsia="Arial" w:hAnsi="Arial" w:cs="Arial"/>
          <w:color w:val="000000"/>
          <w:sz w:val="20"/>
          <w:szCs w:val="20"/>
        </w:rPr>
        <w:fldChar w:fldCharType="end"/>
      </w:r>
      <w:r w:rsidR="00B366D8">
        <w:rPr>
          <w:rFonts w:ascii="Arial" w:eastAsia="Arial" w:hAnsi="Arial" w:cs="Arial"/>
          <w:color w:val="000000"/>
          <w:sz w:val="20"/>
          <w:szCs w:val="20"/>
        </w:rPr>
        <w:t xml:space="preserve"> této Smlouvy</w:t>
      </w:r>
      <w:r w:rsidR="0015465F">
        <w:rPr>
          <w:rFonts w:ascii="Arial" w:eastAsia="Arial" w:hAnsi="Arial" w:cs="Arial"/>
          <w:color w:val="000000"/>
          <w:sz w:val="20"/>
          <w:szCs w:val="20"/>
        </w:rPr>
        <w:t>)</w:t>
      </w:r>
      <w:r w:rsidR="00B366D8">
        <w:rPr>
          <w:rFonts w:ascii="Arial" w:eastAsia="Arial" w:hAnsi="Arial" w:cs="Arial"/>
          <w:color w:val="000000"/>
          <w:sz w:val="20"/>
          <w:szCs w:val="20"/>
        </w:rPr>
        <w:t xml:space="preserve"> tím není dotčeno</w:t>
      </w:r>
      <w:r>
        <w:rPr>
          <w:rFonts w:ascii="Arial" w:eastAsia="Arial" w:hAnsi="Arial" w:cs="Arial"/>
          <w:color w:val="000000"/>
          <w:sz w:val="20"/>
          <w:szCs w:val="20"/>
        </w:rPr>
        <w:t>.</w:t>
      </w:r>
    </w:p>
    <w:p w14:paraId="653A683F" w14:textId="77777777" w:rsidR="00175781" w:rsidRDefault="00D26B9F">
      <w:pPr>
        <w:numPr>
          <w:ilvl w:val="1"/>
          <w:numId w:val="2"/>
        </w:numPr>
        <w:pBdr>
          <w:top w:val="nil"/>
          <w:left w:val="nil"/>
          <w:bottom w:val="nil"/>
          <w:right w:val="nil"/>
          <w:between w:val="nil"/>
        </w:pBdr>
        <w:spacing w:after="200" w:line="276" w:lineRule="auto"/>
        <w:ind w:left="993" w:hanging="636"/>
        <w:jc w:val="both"/>
        <w:rPr>
          <w:rFonts w:ascii="Arial" w:eastAsia="Arial" w:hAnsi="Arial" w:cs="Arial"/>
          <w:color w:val="000000"/>
          <w:sz w:val="20"/>
          <w:szCs w:val="20"/>
        </w:rPr>
      </w:pPr>
      <w:r>
        <w:rPr>
          <w:rFonts w:ascii="Arial" w:eastAsia="Arial" w:hAnsi="Arial" w:cs="Arial"/>
          <w:color w:val="000000"/>
          <w:sz w:val="20"/>
          <w:szCs w:val="20"/>
        </w:rPr>
        <w:t xml:space="preserve">Odstoupení od Smlouvy či výpověď Smlouvy musí mít vždy písemnou formu a musí být druhé Straně doručeno způsobem uvedeným v této Smlouvě. </w:t>
      </w:r>
    </w:p>
    <w:p w14:paraId="0CBE2CF4" w14:textId="6A28B647" w:rsidR="00175781" w:rsidRDefault="00D26B9F">
      <w:pPr>
        <w:numPr>
          <w:ilvl w:val="1"/>
          <w:numId w:val="2"/>
        </w:numPr>
        <w:pBdr>
          <w:top w:val="nil"/>
          <w:left w:val="nil"/>
          <w:bottom w:val="nil"/>
          <w:right w:val="nil"/>
          <w:between w:val="nil"/>
        </w:pBdr>
        <w:spacing w:after="200" w:line="276" w:lineRule="auto"/>
        <w:ind w:left="993" w:hanging="636"/>
        <w:jc w:val="both"/>
        <w:rPr>
          <w:rFonts w:ascii="Arial" w:eastAsia="Arial" w:hAnsi="Arial" w:cs="Arial"/>
          <w:color w:val="000000"/>
          <w:sz w:val="20"/>
          <w:szCs w:val="20"/>
        </w:rPr>
      </w:pPr>
      <w:r>
        <w:rPr>
          <w:rFonts w:ascii="Arial" w:eastAsia="Arial" w:hAnsi="Arial" w:cs="Arial"/>
          <w:color w:val="000000"/>
          <w:sz w:val="20"/>
          <w:szCs w:val="20"/>
        </w:rPr>
        <w:t>Ukončí-li HMP tuto Smlouvu s Provozovatelem, bez ohledu na právní důvody k tomuto kroku vedoucí, je</w:t>
      </w:r>
      <w:r w:rsidR="00B74122">
        <w:rPr>
          <w:rFonts w:ascii="Arial" w:eastAsia="Arial" w:hAnsi="Arial" w:cs="Arial"/>
          <w:color w:val="000000"/>
          <w:sz w:val="20"/>
          <w:szCs w:val="20"/>
        </w:rPr>
        <w:t> </w:t>
      </w:r>
      <w:r>
        <w:rPr>
          <w:rFonts w:ascii="Arial" w:eastAsia="Arial" w:hAnsi="Arial" w:cs="Arial"/>
          <w:color w:val="000000"/>
          <w:sz w:val="20"/>
          <w:szCs w:val="20"/>
        </w:rPr>
        <w:t xml:space="preserve">oprávněna pokračovat ve spolupráci s ostatními provozovateli služby sdílených kol, ledaže by došlo k ukončení ve vztahu ke všem provozovatelům. </w:t>
      </w:r>
    </w:p>
    <w:p w14:paraId="76CF4DFA" w14:textId="77777777" w:rsidR="00175781" w:rsidRDefault="00D26B9F">
      <w:pPr>
        <w:numPr>
          <w:ilvl w:val="1"/>
          <w:numId w:val="2"/>
        </w:numPr>
        <w:pBdr>
          <w:top w:val="nil"/>
          <w:left w:val="nil"/>
          <w:bottom w:val="nil"/>
          <w:right w:val="nil"/>
          <w:between w:val="nil"/>
        </w:pBdr>
        <w:spacing w:after="200" w:line="276" w:lineRule="auto"/>
        <w:ind w:left="993" w:hanging="636"/>
        <w:jc w:val="both"/>
        <w:rPr>
          <w:rFonts w:ascii="Arial" w:eastAsia="Arial" w:hAnsi="Arial" w:cs="Arial"/>
          <w:color w:val="000000"/>
          <w:sz w:val="20"/>
          <w:szCs w:val="20"/>
        </w:rPr>
      </w:pPr>
      <w:r>
        <w:rPr>
          <w:rFonts w:ascii="Arial" w:eastAsia="Arial" w:hAnsi="Arial" w:cs="Arial"/>
          <w:color w:val="000000"/>
          <w:sz w:val="20"/>
          <w:szCs w:val="20"/>
        </w:rPr>
        <w:t>Právní účinky odstoupení HMP či Provozovatele od této Smlouvy nastávají okamžikem jeho doručení druhé Straně (ex nunc).</w:t>
      </w:r>
    </w:p>
    <w:p w14:paraId="09EF58A6" w14:textId="36E5B868" w:rsidR="00175781" w:rsidRDefault="00D26B9F">
      <w:pPr>
        <w:numPr>
          <w:ilvl w:val="1"/>
          <w:numId w:val="2"/>
        </w:numPr>
        <w:pBdr>
          <w:top w:val="nil"/>
          <w:left w:val="nil"/>
          <w:bottom w:val="nil"/>
          <w:right w:val="nil"/>
          <w:between w:val="nil"/>
        </w:pBdr>
        <w:spacing w:after="200" w:line="276" w:lineRule="auto"/>
        <w:ind w:left="993" w:hanging="636"/>
        <w:jc w:val="both"/>
        <w:rPr>
          <w:rFonts w:ascii="Arial" w:eastAsia="Arial" w:hAnsi="Arial" w:cs="Arial"/>
          <w:color w:val="000000"/>
          <w:sz w:val="20"/>
          <w:szCs w:val="20"/>
        </w:rPr>
      </w:pPr>
      <w:bookmarkStart w:id="37" w:name="_Ref217308975"/>
      <w:r>
        <w:rPr>
          <w:rFonts w:ascii="Arial" w:eastAsia="Arial" w:hAnsi="Arial" w:cs="Arial"/>
          <w:color w:val="000000"/>
          <w:sz w:val="20"/>
          <w:szCs w:val="20"/>
        </w:rPr>
        <w:t xml:space="preserve">Pro veškerý písemný styk týkající se ukončení této Smlouvy lze </w:t>
      </w:r>
      <w:r>
        <w:rPr>
          <w:rFonts w:ascii="Arial" w:eastAsia="Arial" w:hAnsi="Arial" w:cs="Arial"/>
          <w:sz w:val="20"/>
          <w:szCs w:val="20"/>
        </w:rPr>
        <w:t>použít pouze datovou schránku, pokud jí</w:t>
      </w:r>
      <w:r w:rsidR="009E38A2">
        <w:rPr>
          <w:rFonts w:ascii="Arial" w:eastAsia="Arial" w:hAnsi="Arial" w:cs="Arial"/>
          <w:sz w:val="20"/>
          <w:szCs w:val="20"/>
        </w:rPr>
        <w:t> </w:t>
      </w:r>
      <w:r>
        <w:rPr>
          <w:rFonts w:ascii="Arial" w:eastAsia="Arial" w:hAnsi="Arial" w:cs="Arial"/>
          <w:sz w:val="20"/>
          <w:szCs w:val="20"/>
        </w:rPr>
        <w:t>Provozovatel disponuje.</w:t>
      </w:r>
      <w:bookmarkEnd w:id="37"/>
    </w:p>
    <w:p w14:paraId="3E289047" w14:textId="1050522B" w:rsidR="00175781" w:rsidRDefault="00D26B9F">
      <w:pPr>
        <w:numPr>
          <w:ilvl w:val="1"/>
          <w:numId w:val="2"/>
        </w:numPr>
        <w:pBdr>
          <w:top w:val="nil"/>
          <w:left w:val="nil"/>
          <w:bottom w:val="nil"/>
          <w:right w:val="nil"/>
          <w:between w:val="nil"/>
        </w:pBdr>
        <w:spacing w:after="200" w:line="276" w:lineRule="auto"/>
        <w:ind w:left="993" w:hanging="636"/>
        <w:jc w:val="both"/>
        <w:rPr>
          <w:rFonts w:ascii="Arial" w:eastAsia="Arial" w:hAnsi="Arial" w:cs="Arial"/>
          <w:color w:val="000000"/>
          <w:sz w:val="20"/>
          <w:szCs w:val="20"/>
        </w:rPr>
      </w:pPr>
      <w:bookmarkStart w:id="38" w:name="_Ref217308890"/>
      <w:r>
        <w:rPr>
          <w:rFonts w:ascii="Arial" w:eastAsia="Arial" w:hAnsi="Arial" w:cs="Arial"/>
          <w:color w:val="000000"/>
          <w:sz w:val="20"/>
          <w:szCs w:val="20"/>
        </w:rPr>
        <w:t>Provozovatel je povinen nejpozději do třiceti (30) dnů ode dne ukončení této Smlouvy odstranit veškerá svá Vozidla a svoji případnou další infrastrukturu instalovanou na území HMP (např. nabíjecí stanice). Nedojde-li k odstranění Vozidel a/nebo infrastruktury Provozovatele, je HMP oprávněna toto provést na</w:t>
      </w:r>
      <w:r w:rsidR="009E38A2">
        <w:rPr>
          <w:rFonts w:ascii="Arial" w:eastAsia="Arial" w:hAnsi="Arial" w:cs="Arial"/>
          <w:color w:val="000000"/>
          <w:sz w:val="20"/>
          <w:szCs w:val="20"/>
        </w:rPr>
        <w:t> </w:t>
      </w:r>
      <w:r>
        <w:rPr>
          <w:rFonts w:ascii="Arial" w:eastAsia="Arial" w:hAnsi="Arial" w:cs="Arial"/>
          <w:color w:val="000000"/>
          <w:sz w:val="20"/>
          <w:szCs w:val="20"/>
        </w:rPr>
        <w:t>náklady Provozovatele. Nárok HMP na uhrazení smluvní pokuty tím není dotčen.</w:t>
      </w:r>
      <w:bookmarkEnd w:id="38"/>
      <w:r>
        <w:rPr>
          <w:rFonts w:ascii="Arial" w:eastAsia="Arial" w:hAnsi="Arial" w:cs="Arial"/>
          <w:color w:val="000000"/>
          <w:sz w:val="20"/>
          <w:szCs w:val="20"/>
        </w:rPr>
        <w:t xml:space="preserve"> </w:t>
      </w:r>
    </w:p>
    <w:p w14:paraId="1D95C659" w14:textId="77777777" w:rsidR="00175781" w:rsidRDefault="00D26B9F">
      <w:pPr>
        <w:numPr>
          <w:ilvl w:val="0"/>
          <w:numId w:val="2"/>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b/>
          <w:bCs/>
          <w:color w:val="000000"/>
          <w:sz w:val="20"/>
          <w:szCs w:val="20"/>
        </w:rPr>
        <w:t>ODPOVĚDNOST ZA ŠKODU A SMLUVNÍ POKUTY</w:t>
      </w:r>
    </w:p>
    <w:p w14:paraId="15E702AD" w14:textId="746D07AC"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Provozovatel odpovídá za újmu způsobenou porušením této Smlouvy včetně případné škody a újmy na</w:t>
      </w:r>
      <w:r w:rsidR="009E38A2">
        <w:rPr>
          <w:rFonts w:ascii="Arial" w:eastAsia="Arial" w:hAnsi="Arial" w:cs="Arial"/>
          <w:color w:val="000000"/>
          <w:sz w:val="20"/>
          <w:szCs w:val="20"/>
        </w:rPr>
        <w:t> </w:t>
      </w:r>
      <w:r>
        <w:rPr>
          <w:rFonts w:ascii="Arial" w:eastAsia="Arial" w:hAnsi="Arial" w:cs="Arial"/>
          <w:color w:val="000000"/>
          <w:sz w:val="20"/>
          <w:szCs w:val="20"/>
        </w:rPr>
        <w:t>zdraví spojené s užíváním Vozidel, zejména v důsledku nesplnění povinnosti odklízet Vozidla stojící mimo Pevná stanoviště či Vyznačená stanoviště.</w:t>
      </w:r>
    </w:p>
    <w:p w14:paraId="5A5E5F1E" w14:textId="15CC395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Případnou škodu vzniklou v důsledku nebo v souvislosti s provozem služby sdílených kol vzniklou jedné Straně uhradí druhá Strana v penězích dle její skutečné výše, nežádá-li poškozená Strana uvedení do</w:t>
      </w:r>
      <w:r w:rsidR="009C3496">
        <w:rPr>
          <w:rFonts w:ascii="Arial" w:eastAsia="Arial" w:hAnsi="Arial" w:cs="Arial"/>
          <w:color w:val="000000"/>
          <w:sz w:val="20"/>
          <w:szCs w:val="20"/>
        </w:rPr>
        <w:t> </w:t>
      </w:r>
      <w:r>
        <w:rPr>
          <w:rFonts w:ascii="Arial" w:eastAsia="Arial" w:hAnsi="Arial" w:cs="Arial"/>
          <w:color w:val="000000"/>
          <w:sz w:val="20"/>
          <w:szCs w:val="20"/>
        </w:rPr>
        <w:t>původního stavu. Nemajetkovou újmu jsou Strany povinny hradit pouze tehdy, pokud tak přímo stanoví Občanský zákoník nebo jiný právní předpis.</w:t>
      </w:r>
    </w:p>
    <w:p w14:paraId="7173EB8B" w14:textId="692E13FB"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V případě, že Provozovatel</w:t>
      </w:r>
      <w:r w:rsidR="00B366D8">
        <w:rPr>
          <w:rFonts w:ascii="Arial" w:eastAsia="Arial" w:hAnsi="Arial" w:cs="Arial"/>
          <w:color w:val="000000"/>
          <w:sz w:val="20"/>
          <w:szCs w:val="20"/>
        </w:rPr>
        <w:t xml:space="preserve"> </w:t>
      </w:r>
      <w:r>
        <w:rPr>
          <w:rFonts w:ascii="Arial" w:eastAsia="Arial" w:hAnsi="Arial" w:cs="Arial"/>
          <w:color w:val="000000"/>
          <w:sz w:val="20"/>
          <w:szCs w:val="20"/>
        </w:rPr>
        <w:t>na Pevné</w:t>
      </w:r>
      <w:r w:rsidR="00B366D8">
        <w:rPr>
          <w:rFonts w:ascii="Arial" w:eastAsia="Arial" w:hAnsi="Arial" w:cs="Arial"/>
          <w:color w:val="000000"/>
          <w:sz w:val="20"/>
          <w:szCs w:val="20"/>
        </w:rPr>
        <w:t xml:space="preserve">m </w:t>
      </w:r>
      <w:r>
        <w:rPr>
          <w:rFonts w:ascii="Arial" w:eastAsia="Arial" w:hAnsi="Arial" w:cs="Arial"/>
          <w:color w:val="000000"/>
          <w:sz w:val="20"/>
          <w:szCs w:val="20"/>
        </w:rPr>
        <w:t>stanovišt</w:t>
      </w:r>
      <w:r w:rsidR="00B366D8">
        <w:rPr>
          <w:rFonts w:ascii="Arial" w:eastAsia="Arial" w:hAnsi="Arial" w:cs="Arial"/>
          <w:color w:val="000000"/>
          <w:sz w:val="20"/>
          <w:szCs w:val="20"/>
        </w:rPr>
        <w:t xml:space="preserve">i </w:t>
      </w:r>
      <w:r>
        <w:rPr>
          <w:rFonts w:ascii="Arial" w:eastAsia="Arial" w:hAnsi="Arial" w:cs="Arial"/>
          <w:color w:val="000000"/>
          <w:sz w:val="20"/>
          <w:szCs w:val="20"/>
        </w:rPr>
        <w:t>nebo Vyznačené</w:t>
      </w:r>
      <w:r w:rsidR="00B366D8">
        <w:rPr>
          <w:rFonts w:ascii="Arial" w:eastAsia="Arial" w:hAnsi="Arial" w:cs="Arial"/>
          <w:color w:val="000000"/>
          <w:sz w:val="20"/>
          <w:szCs w:val="20"/>
        </w:rPr>
        <w:t xml:space="preserve">m </w:t>
      </w:r>
      <w:r>
        <w:rPr>
          <w:rFonts w:ascii="Arial" w:eastAsia="Arial" w:hAnsi="Arial" w:cs="Arial"/>
          <w:color w:val="000000"/>
          <w:sz w:val="20"/>
          <w:szCs w:val="20"/>
        </w:rPr>
        <w:t>stanovišt</w:t>
      </w:r>
      <w:r w:rsidR="00B366D8">
        <w:rPr>
          <w:rFonts w:ascii="Arial" w:eastAsia="Arial" w:hAnsi="Arial" w:cs="Arial"/>
          <w:color w:val="000000"/>
          <w:sz w:val="20"/>
          <w:szCs w:val="20"/>
        </w:rPr>
        <w:t>i nabízí koncovým uživatelům</w:t>
      </w:r>
      <w:r w:rsidR="00BA3767">
        <w:rPr>
          <w:rFonts w:ascii="Arial" w:eastAsia="Arial" w:hAnsi="Arial" w:cs="Arial"/>
          <w:color w:val="000000"/>
          <w:sz w:val="20"/>
          <w:szCs w:val="20"/>
        </w:rPr>
        <w:t xml:space="preserve"> k užití </w:t>
      </w:r>
      <w:r>
        <w:rPr>
          <w:rFonts w:ascii="Arial" w:eastAsia="Arial" w:hAnsi="Arial" w:cs="Arial"/>
          <w:color w:val="000000"/>
          <w:sz w:val="20"/>
          <w:szCs w:val="20"/>
        </w:rPr>
        <w:t xml:space="preserve">jakékoliv jiné vozidlo než to, které odpovídá definici Vozidla dle této Smlouvy, uhradí HMP smluvní pokutu ve výši 25.000 Kč za každý jednotlivý případ. </w:t>
      </w:r>
    </w:p>
    <w:p w14:paraId="7A12E445" w14:textId="173965D9" w:rsidR="00175781" w:rsidRPr="00B04A2C" w:rsidRDefault="00D26B9F" w:rsidP="00B04A2C">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Poruší-li Provozovatel svou povinnost odstranit Vozidlo odstavené koncovým uživatelem mimo Pevné stanoviště nebo Vyznačené stanoviště v časových intervalech dle této Smlouvy, zavazuje se Provozovatel uhradit HMP smluvní pokutu ve výši 500 Kč za každý jednotlivý případ.</w:t>
      </w:r>
    </w:p>
    <w:p w14:paraId="41CC28F2" w14:textId="79FB5132"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Poruší-li Provozovatel svou povinnost </w:t>
      </w:r>
      <w:r>
        <w:rPr>
          <w:rFonts w:ascii="Arial" w:eastAsia="Arial" w:hAnsi="Arial" w:cs="Arial"/>
          <w:sz w:val="20"/>
          <w:szCs w:val="20"/>
        </w:rPr>
        <w:t xml:space="preserve">odstranit Vozidlo, které koncový uživatel zanechal na Pevném stanovišti nebo Vyznačeném stanovišti i přes naplnění jejich </w:t>
      </w:r>
      <w:r>
        <w:rPr>
          <w:rFonts w:ascii="Arial" w:eastAsia="Arial" w:hAnsi="Arial" w:cs="Arial"/>
          <w:color w:val="000000"/>
          <w:sz w:val="20"/>
          <w:szCs w:val="20"/>
        </w:rPr>
        <w:t>kapacity, zavazuje se Provozovatel uhradit HMP smluvní pokutu ve výši 500 Kč za každý jednotlivý případ.</w:t>
      </w:r>
    </w:p>
    <w:p w14:paraId="504BABBF" w14:textId="56C068CA"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lastRenderedPageBreak/>
        <w:t>Poruší-li Provozovatel svou povinnost ohlásit ve stanovené lhůtě HMP, že si zajistil pro odstavení svých Vozidel další místa, která nejsou ve vlastnictví HMP nebo nejsou svěřen</w:t>
      </w:r>
      <w:r w:rsidR="00B23D3C">
        <w:rPr>
          <w:rFonts w:ascii="Arial" w:eastAsia="Arial" w:hAnsi="Arial" w:cs="Arial"/>
          <w:color w:val="000000"/>
          <w:sz w:val="20"/>
          <w:szCs w:val="20"/>
        </w:rPr>
        <w:t>a</w:t>
      </w:r>
      <w:r>
        <w:rPr>
          <w:rFonts w:ascii="Arial" w:eastAsia="Arial" w:hAnsi="Arial" w:cs="Arial"/>
          <w:color w:val="000000"/>
          <w:sz w:val="20"/>
          <w:szCs w:val="20"/>
        </w:rPr>
        <w:t xml:space="preserve"> do správy městským částem, popř.</w:t>
      </w:r>
      <w:r w:rsidR="00BA3767">
        <w:rPr>
          <w:rFonts w:ascii="Arial" w:eastAsia="Arial" w:hAnsi="Arial" w:cs="Arial"/>
          <w:color w:val="000000"/>
          <w:sz w:val="20"/>
          <w:szCs w:val="20"/>
        </w:rPr>
        <w:t xml:space="preserve"> jsou, </w:t>
      </w:r>
      <w:r>
        <w:rPr>
          <w:rFonts w:ascii="Arial" w:eastAsia="Arial" w:hAnsi="Arial" w:cs="Arial"/>
          <w:color w:val="000000"/>
          <w:sz w:val="20"/>
          <w:szCs w:val="20"/>
        </w:rPr>
        <w:t>avšak městská část je nedala do správy TSK (tj. kapacitu nad rámec Pevných stanovišť a Vyznačených stanovišť), zavazuje se Provozovatel uhradit HMP smluvní pokutu ve výši 5.000 Kč za každý jednotlivý případ.</w:t>
      </w:r>
    </w:p>
    <w:p w14:paraId="209945AA" w14:textId="2E80F157" w:rsidR="00175781" w:rsidRDefault="00D26B9F">
      <w:pPr>
        <w:numPr>
          <w:ilvl w:val="1"/>
          <w:numId w:val="2"/>
        </w:numPr>
        <w:pBdr>
          <w:top w:val="nil"/>
          <w:left w:val="nil"/>
          <w:bottom w:val="nil"/>
          <w:right w:val="nil"/>
          <w:between w:val="nil"/>
        </w:pBdr>
        <w:spacing w:after="200" w:line="276" w:lineRule="auto"/>
        <w:ind w:left="851" w:hanging="567"/>
        <w:jc w:val="both"/>
        <w:rPr>
          <w:rFonts w:ascii="Arial" w:eastAsia="Arial" w:hAnsi="Arial" w:cs="Arial"/>
          <w:color w:val="000000"/>
          <w:sz w:val="20"/>
          <w:szCs w:val="20"/>
        </w:rPr>
      </w:pPr>
      <w:r>
        <w:rPr>
          <w:rFonts w:ascii="Arial" w:eastAsia="Arial" w:hAnsi="Arial" w:cs="Arial"/>
          <w:color w:val="000000"/>
          <w:sz w:val="20"/>
          <w:szCs w:val="20"/>
        </w:rPr>
        <w:t xml:space="preserve">Poruší-li Provozovatel některou ze svých povinností dle čl. </w:t>
      </w:r>
      <w:r w:rsidR="005A6F88">
        <w:rPr>
          <w:rFonts w:ascii="Arial" w:eastAsia="Arial" w:hAnsi="Arial" w:cs="Arial"/>
          <w:color w:val="000000"/>
          <w:sz w:val="20"/>
          <w:szCs w:val="20"/>
        </w:rPr>
        <w:fldChar w:fldCharType="begin"/>
      </w:r>
      <w:r w:rsidR="005A6F88">
        <w:rPr>
          <w:rFonts w:ascii="Arial" w:eastAsia="Arial" w:hAnsi="Arial" w:cs="Arial"/>
          <w:color w:val="000000"/>
          <w:sz w:val="20"/>
          <w:szCs w:val="20"/>
        </w:rPr>
        <w:instrText xml:space="preserve"> REF _Ref217308568 \r \h </w:instrText>
      </w:r>
      <w:r w:rsidR="005A6F88">
        <w:rPr>
          <w:rFonts w:ascii="Arial" w:eastAsia="Arial" w:hAnsi="Arial" w:cs="Arial"/>
          <w:color w:val="000000"/>
          <w:sz w:val="20"/>
          <w:szCs w:val="20"/>
        </w:rPr>
      </w:r>
      <w:r w:rsidR="005A6F88">
        <w:rPr>
          <w:rFonts w:ascii="Arial" w:eastAsia="Arial" w:hAnsi="Arial" w:cs="Arial"/>
          <w:color w:val="000000"/>
          <w:sz w:val="20"/>
          <w:szCs w:val="20"/>
        </w:rPr>
        <w:fldChar w:fldCharType="separate"/>
      </w:r>
      <w:r w:rsidR="005A6F88">
        <w:rPr>
          <w:rFonts w:ascii="Arial" w:eastAsia="Arial" w:hAnsi="Arial" w:cs="Arial"/>
          <w:color w:val="000000"/>
          <w:sz w:val="20"/>
          <w:szCs w:val="20"/>
        </w:rPr>
        <w:t>3</w:t>
      </w:r>
      <w:r w:rsidR="005A6F88">
        <w:rPr>
          <w:rFonts w:ascii="Arial" w:eastAsia="Arial" w:hAnsi="Arial" w:cs="Arial"/>
          <w:color w:val="000000"/>
          <w:sz w:val="20"/>
          <w:szCs w:val="20"/>
        </w:rPr>
        <w:fldChar w:fldCharType="end"/>
      </w:r>
      <w:r w:rsidR="005A6F88">
        <w:rPr>
          <w:rFonts w:ascii="Arial" w:eastAsia="Arial" w:hAnsi="Arial" w:cs="Arial"/>
          <w:color w:val="000000"/>
          <w:sz w:val="20"/>
          <w:szCs w:val="20"/>
        </w:rPr>
        <w:t xml:space="preserve"> </w:t>
      </w:r>
      <w:r>
        <w:rPr>
          <w:rFonts w:ascii="Arial" w:eastAsia="Arial" w:hAnsi="Arial" w:cs="Arial"/>
          <w:color w:val="000000"/>
          <w:sz w:val="20"/>
          <w:szCs w:val="20"/>
        </w:rPr>
        <w:t>této Smlouvy,</w:t>
      </w:r>
      <w:r w:rsidR="00BA3767">
        <w:rPr>
          <w:rFonts w:ascii="Arial" w:eastAsia="Arial" w:hAnsi="Arial" w:cs="Arial"/>
          <w:color w:val="000000"/>
          <w:sz w:val="20"/>
          <w:szCs w:val="20"/>
        </w:rPr>
        <w:t xml:space="preserve"> </w:t>
      </w:r>
      <w:r>
        <w:rPr>
          <w:rFonts w:ascii="Arial" w:eastAsia="Arial" w:hAnsi="Arial" w:cs="Arial"/>
          <w:color w:val="000000"/>
          <w:sz w:val="20"/>
          <w:szCs w:val="20"/>
        </w:rPr>
        <w:t>kterou mu tato Smlouva ukládá ve vztahu k</w:t>
      </w:r>
      <w:r w:rsidR="00BA3767">
        <w:rPr>
          <w:rFonts w:ascii="Arial" w:eastAsia="Arial" w:hAnsi="Arial" w:cs="Arial"/>
          <w:color w:val="000000"/>
          <w:sz w:val="20"/>
          <w:szCs w:val="20"/>
        </w:rPr>
        <w:t> </w:t>
      </w:r>
      <w:r>
        <w:rPr>
          <w:rFonts w:ascii="Arial" w:eastAsia="Arial" w:hAnsi="Arial" w:cs="Arial"/>
          <w:color w:val="000000"/>
          <w:sz w:val="20"/>
          <w:szCs w:val="20"/>
        </w:rPr>
        <w:t>Aplikaci</w:t>
      </w:r>
      <w:r w:rsidR="00BA3767">
        <w:rPr>
          <w:rFonts w:ascii="Arial" w:eastAsia="Arial" w:hAnsi="Arial" w:cs="Arial"/>
          <w:color w:val="000000"/>
          <w:sz w:val="20"/>
          <w:szCs w:val="20"/>
        </w:rPr>
        <w:t>, vyzve jej HMP k nápravě, a pokud tuto Provozovatel neprovede ani ve lhůtě do čtrnácti (14) dnů</w:t>
      </w:r>
      <w:r>
        <w:rPr>
          <w:rFonts w:ascii="Arial" w:eastAsia="Arial" w:hAnsi="Arial" w:cs="Arial"/>
          <w:color w:val="000000"/>
          <w:sz w:val="20"/>
          <w:szCs w:val="20"/>
        </w:rPr>
        <w:t>,</w:t>
      </w:r>
      <w:r w:rsidR="00BA3767">
        <w:rPr>
          <w:rFonts w:ascii="Arial" w:eastAsia="Arial" w:hAnsi="Arial" w:cs="Arial"/>
          <w:color w:val="000000"/>
          <w:sz w:val="20"/>
          <w:szCs w:val="20"/>
        </w:rPr>
        <w:t xml:space="preserve"> </w:t>
      </w:r>
      <w:r>
        <w:rPr>
          <w:rFonts w:ascii="Arial" w:eastAsia="Arial" w:hAnsi="Arial" w:cs="Arial"/>
          <w:color w:val="000000"/>
          <w:sz w:val="20"/>
          <w:szCs w:val="20"/>
        </w:rPr>
        <w:t>zavazuje</w:t>
      </w:r>
      <w:r w:rsidR="00BA3767">
        <w:rPr>
          <w:rFonts w:ascii="Arial" w:eastAsia="Arial" w:hAnsi="Arial" w:cs="Arial"/>
          <w:color w:val="000000"/>
          <w:sz w:val="20"/>
          <w:szCs w:val="20"/>
        </w:rPr>
        <w:t xml:space="preserve"> </w:t>
      </w:r>
      <w:r>
        <w:rPr>
          <w:rFonts w:ascii="Arial" w:eastAsia="Arial" w:hAnsi="Arial" w:cs="Arial"/>
          <w:color w:val="000000"/>
          <w:sz w:val="20"/>
          <w:szCs w:val="20"/>
        </w:rPr>
        <w:t>se Provozovatel uhradit HMP smluvní pokutu ve výši 25.000 Kč za každý jednotlivý případ.</w:t>
      </w:r>
    </w:p>
    <w:p w14:paraId="33125098" w14:textId="708F9316" w:rsidR="00175781" w:rsidRDefault="00D26B9F">
      <w:pPr>
        <w:numPr>
          <w:ilvl w:val="1"/>
          <w:numId w:val="2"/>
        </w:numPr>
        <w:pBdr>
          <w:top w:val="nil"/>
          <w:left w:val="nil"/>
          <w:bottom w:val="nil"/>
          <w:right w:val="nil"/>
          <w:between w:val="nil"/>
        </w:pBdr>
        <w:spacing w:after="200" w:line="276" w:lineRule="auto"/>
        <w:ind w:left="851" w:hanging="567"/>
        <w:jc w:val="both"/>
        <w:rPr>
          <w:rFonts w:ascii="Arial" w:eastAsia="Arial" w:hAnsi="Arial" w:cs="Arial"/>
          <w:color w:val="000000"/>
          <w:sz w:val="20"/>
          <w:szCs w:val="20"/>
        </w:rPr>
      </w:pPr>
      <w:r>
        <w:rPr>
          <w:rFonts w:ascii="Arial" w:eastAsia="Arial" w:hAnsi="Arial" w:cs="Arial"/>
          <w:sz w:val="20"/>
          <w:szCs w:val="20"/>
        </w:rPr>
        <w:t xml:space="preserve">Poruší-li Provozovatel povinnost dle čl. </w:t>
      </w:r>
      <w:r w:rsidR="00106517">
        <w:rPr>
          <w:rFonts w:ascii="Arial" w:eastAsia="Arial" w:hAnsi="Arial" w:cs="Arial"/>
          <w:sz w:val="20"/>
          <w:szCs w:val="20"/>
        </w:rPr>
        <w:fldChar w:fldCharType="begin"/>
      </w:r>
      <w:r w:rsidR="00106517">
        <w:rPr>
          <w:rFonts w:ascii="Arial" w:eastAsia="Arial" w:hAnsi="Arial" w:cs="Arial"/>
          <w:sz w:val="20"/>
          <w:szCs w:val="20"/>
        </w:rPr>
        <w:instrText xml:space="preserve"> REF _Ref217307862 \r \h </w:instrText>
      </w:r>
      <w:r w:rsidR="00106517">
        <w:rPr>
          <w:rFonts w:ascii="Arial" w:eastAsia="Arial" w:hAnsi="Arial" w:cs="Arial"/>
          <w:sz w:val="20"/>
          <w:szCs w:val="20"/>
        </w:rPr>
      </w:r>
      <w:r w:rsidR="00106517">
        <w:rPr>
          <w:rFonts w:ascii="Arial" w:eastAsia="Arial" w:hAnsi="Arial" w:cs="Arial"/>
          <w:sz w:val="20"/>
          <w:szCs w:val="20"/>
        </w:rPr>
        <w:fldChar w:fldCharType="separate"/>
      </w:r>
      <w:r w:rsidR="00106517">
        <w:rPr>
          <w:rFonts w:ascii="Arial" w:eastAsia="Arial" w:hAnsi="Arial" w:cs="Arial"/>
          <w:sz w:val="20"/>
          <w:szCs w:val="20"/>
        </w:rPr>
        <w:t>7.2</w:t>
      </w:r>
      <w:r w:rsidR="00106517">
        <w:rPr>
          <w:rFonts w:ascii="Arial" w:eastAsia="Arial" w:hAnsi="Arial" w:cs="Arial"/>
          <w:sz w:val="20"/>
          <w:szCs w:val="20"/>
        </w:rPr>
        <w:fldChar w:fldCharType="end"/>
      </w:r>
      <w:r w:rsidR="00106517">
        <w:rPr>
          <w:rFonts w:ascii="Arial" w:eastAsia="Arial" w:hAnsi="Arial" w:cs="Arial"/>
          <w:sz w:val="20"/>
          <w:szCs w:val="20"/>
        </w:rPr>
        <w:t xml:space="preserve"> </w:t>
      </w:r>
      <w:r>
        <w:rPr>
          <w:rFonts w:ascii="Arial" w:eastAsia="Arial" w:hAnsi="Arial" w:cs="Arial"/>
          <w:sz w:val="20"/>
          <w:szCs w:val="20"/>
        </w:rPr>
        <w:t xml:space="preserve">této Smlouvy sdílet s TSK nebo s HMP základní rámec obsahu předávaných informací a dat, zavazuje se Provozovatel uhradit </w:t>
      </w:r>
      <w:r>
        <w:rPr>
          <w:rFonts w:ascii="Arial" w:eastAsia="Arial" w:hAnsi="Arial" w:cs="Arial"/>
          <w:color w:val="000000"/>
          <w:sz w:val="20"/>
          <w:szCs w:val="20"/>
        </w:rPr>
        <w:t xml:space="preserve">HMP </w:t>
      </w:r>
      <w:r>
        <w:rPr>
          <w:rFonts w:ascii="Arial" w:eastAsia="Arial" w:hAnsi="Arial" w:cs="Arial"/>
          <w:sz w:val="20"/>
          <w:szCs w:val="20"/>
        </w:rPr>
        <w:t>smluvní pokutu ve výši 50.000 Kč za</w:t>
      </w:r>
      <w:r w:rsidR="00106517">
        <w:rPr>
          <w:rFonts w:ascii="Arial" w:eastAsia="Arial" w:hAnsi="Arial" w:cs="Arial"/>
          <w:sz w:val="20"/>
          <w:szCs w:val="20"/>
        </w:rPr>
        <w:t> </w:t>
      </w:r>
      <w:r>
        <w:rPr>
          <w:rFonts w:ascii="Arial" w:eastAsia="Arial" w:hAnsi="Arial" w:cs="Arial"/>
          <w:sz w:val="20"/>
          <w:szCs w:val="20"/>
        </w:rPr>
        <w:t xml:space="preserve">každý jednotlivý případ. </w:t>
      </w:r>
    </w:p>
    <w:p w14:paraId="60AAACC9" w14:textId="4F0A960C" w:rsidR="00175781" w:rsidRDefault="00D26B9F">
      <w:pPr>
        <w:numPr>
          <w:ilvl w:val="1"/>
          <w:numId w:val="2"/>
        </w:numPr>
        <w:pBdr>
          <w:top w:val="nil"/>
          <w:left w:val="nil"/>
          <w:bottom w:val="nil"/>
          <w:right w:val="nil"/>
          <w:between w:val="nil"/>
        </w:pBdr>
        <w:spacing w:after="200" w:line="276" w:lineRule="auto"/>
        <w:ind w:left="851" w:hanging="567"/>
        <w:jc w:val="both"/>
        <w:rPr>
          <w:rFonts w:ascii="Arial" w:eastAsia="Arial" w:hAnsi="Arial" w:cs="Arial"/>
          <w:color w:val="000000"/>
          <w:sz w:val="20"/>
          <w:szCs w:val="20"/>
        </w:rPr>
      </w:pPr>
      <w:r>
        <w:rPr>
          <w:rFonts w:ascii="Arial" w:eastAsia="Arial" w:hAnsi="Arial" w:cs="Arial"/>
          <w:color w:val="000000"/>
          <w:sz w:val="20"/>
          <w:szCs w:val="20"/>
        </w:rPr>
        <w:t xml:space="preserve">Nepředloží-li Provozovatel prohlášení pro uzavření této Smlouvy (základní / profesní způsobilost, příp. jiné povinnosti dle čl. </w:t>
      </w:r>
      <w:r w:rsidR="00106517">
        <w:rPr>
          <w:rFonts w:ascii="Arial" w:eastAsia="Arial" w:hAnsi="Arial" w:cs="Arial"/>
          <w:color w:val="000000"/>
          <w:sz w:val="20"/>
          <w:szCs w:val="20"/>
        </w:rPr>
        <w:fldChar w:fldCharType="begin"/>
      </w:r>
      <w:r w:rsidR="00106517">
        <w:rPr>
          <w:rFonts w:ascii="Arial" w:eastAsia="Arial" w:hAnsi="Arial" w:cs="Arial"/>
          <w:color w:val="000000"/>
          <w:sz w:val="20"/>
          <w:szCs w:val="20"/>
        </w:rPr>
        <w:instrText xml:space="preserve"> REF _Ref217308077 \r \h </w:instrText>
      </w:r>
      <w:r w:rsidR="00106517">
        <w:rPr>
          <w:rFonts w:ascii="Arial" w:eastAsia="Arial" w:hAnsi="Arial" w:cs="Arial"/>
          <w:color w:val="000000"/>
          <w:sz w:val="20"/>
          <w:szCs w:val="20"/>
        </w:rPr>
      </w:r>
      <w:r w:rsidR="00106517">
        <w:rPr>
          <w:rFonts w:ascii="Arial" w:eastAsia="Arial" w:hAnsi="Arial" w:cs="Arial"/>
          <w:color w:val="000000"/>
          <w:sz w:val="20"/>
          <w:szCs w:val="20"/>
        </w:rPr>
        <w:fldChar w:fldCharType="separate"/>
      </w:r>
      <w:r w:rsidR="00106517">
        <w:rPr>
          <w:rFonts w:ascii="Arial" w:eastAsia="Arial" w:hAnsi="Arial" w:cs="Arial"/>
          <w:color w:val="000000"/>
          <w:sz w:val="20"/>
          <w:szCs w:val="20"/>
        </w:rPr>
        <w:t>8</w:t>
      </w:r>
      <w:r w:rsidR="00106517">
        <w:rPr>
          <w:rFonts w:ascii="Arial" w:eastAsia="Arial" w:hAnsi="Arial" w:cs="Arial"/>
          <w:color w:val="000000"/>
          <w:sz w:val="20"/>
          <w:szCs w:val="20"/>
        </w:rPr>
        <w:fldChar w:fldCharType="end"/>
      </w:r>
      <w:r>
        <w:rPr>
          <w:rFonts w:ascii="Arial" w:eastAsia="Arial" w:hAnsi="Arial" w:cs="Arial"/>
          <w:color w:val="000000"/>
          <w:sz w:val="20"/>
          <w:szCs w:val="20"/>
        </w:rPr>
        <w:t xml:space="preserve">), uhradí Provozovatel HMP smluvní pokutu ve výši 1.000 Kč za každý, byť i započatý den prodlení, až do splnění této povinnosti. Dále Provozovatel uhradí smluvní pokutu ve výši 100.000 Kč, jestliže vyjde najevo, že kterékoliv jeho prohlášení dle předchozí věty bylo nepravdivé. Smluvní pokutu lze uložit i opakovaně. </w:t>
      </w:r>
    </w:p>
    <w:p w14:paraId="0EB3857F" w14:textId="642B294B" w:rsidR="00175781" w:rsidRDefault="00D26B9F">
      <w:pPr>
        <w:numPr>
          <w:ilvl w:val="1"/>
          <w:numId w:val="2"/>
        </w:numPr>
        <w:pBdr>
          <w:top w:val="nil"/>
          <w:left w:val="nil"/>
          <w:bottom w:val="nil"/>
          <w:right w:val="nil"/>
          <w:between w:val="nil"/>
        </w:pBdr>
        <w:spacing w:after="200" w:line="276" w:lineRule="auto"/>
        <w:ind w:left="851" w:hanging="567"/>
        <w:jc w:val="both"/>
        <w:rPr>
          <w:rFonts w:ascii="Arial" w:eastAsia="Arial" w:hAnsi="Arial" w:cs="Arial"/>
          <w:color w:val="000000"/>
          <w:sz w:val="20"/>
          <w:szCs w:val="20"/>
        </w:rPr>
      </w:pPr>
      <w:r>
        <w:rPr>
          <w:rFonts w:ascii="Arial" w:eastAsia="Arial" w:hAnsi="Arial" w:cs="Arial"/>
          <w:color w:val="000000"/>
          <w:sz w:val="20"/>
          <w:szCs w:val="20"/>
        </w:rPr>
        <w:t>Neprokáže-li Provozovatel existenci pojištění vyžadovaného dle této Smlouvy, uhradí HMP smluvní pokutu ve výši 1.000 Kč za každý, byť i započatý, den (i) prodlení s předložením pojistné smlouvy před podpisem Smlouvy, či na žádost HMP po podpisu Smlouvy, nebo (ii) nesouladu mezi parametry pojištění Provozovatele a požadavky na parametry pojištění dle této Smlouvy a případně (iii) nezajištění pojištění u</w:t>
      </w:r>
      <w:r w:rsidR="00F91C50">
        <w:rPr>
          <w:rFonts w:ascii="Arial" w:eastAsia="Arial" w:hAnsi="Arial" w:cs="Arial"/>
          <w:color w:val="000000"/>
          <w:sz w:val="20"/>
          <w:szCs w:val="20"/>
        </w:rPr>
        <w:t> </w:t>
      </w:r>
      <w:r>
        <w:rPr>
          <w:rFonts w:ascii="Arial" w:eastAsia="Arial" w:hAnsi="Arial" w:cs="Arial"/>
          <w:color w:val="000000"/>
          <w:sz w:val="20"/>
          <w:szCs w:val="20"/>
        </w:rPr>
        <w:t xml:space="preserve">poddodavatelů Provozovatele. </w:t>
      </w:r>
    </w:p>
    <w:p w14:paraId="181510E3" w14:textId="66DC0167" w:rsidR="00175781" w:rsidRDefault="00D26B9F">
      <w:pPr>
        <w:numPr>
          <w:ilvl w:val="1"/>
          <w:numId w:val="2"/>
        </w:numPr>
        <w:pBdr>
          <w:top w:val="nil"/>
          <w:left w:val="nil"/>
          <w:bottom w:val="nil"/>
          <w:right w:val="nil"/>
          <w:between w:val="nil"/>
        </w:pBdr>
        <w:spacing w:after="200" w:line="276" w:lineRule="auto"/>
        <w:ind w:left="851" w:hanging="567"/>
        <w:jc w:val="both"/>
        <w:rPr>
          <w:rFonts w:ascii="Arial" w:eastAsia="Arial" w:hAnsi="Arial" w:cs="Arial"/>
          <w:color w:val="000000"/>
          <w:sz w:val="20"/>
          <w:szCs w:val="20"/>
        </w:rPr>
      </w:pPr>
      <w:r>
        <w:rPr>
          <w:rFonts w:ascii="Arial" w:eastAsia="Arial" w:hAnsi="Arial" w:cs="Arial"/>
          <w:color w:val="000000"/>
          <w:sz w:val="20"/>
          <w:szCs w:val="20"/>
        </w:rPr>
        <w:t>Neodstraní-li Provozovatel při skončení této Smlouvy ve stanovené lhůtě veškerá svá Vozi</w:t>
      </w:r>
      <w:r w:rsidR="009517A6">
        <w:rPr>
          <w:rFonts w:ascii="Arial" w:eastAsia="Arial" w:hAnsi="Arial" w:cs="Arial"/>
          <w:color w:val="000000"/>
          <w:sz w:val="20"/>
          <w:szCs w:val="20"/>
        </w:rPr>
        <w:t>d</w:t>
      </w:r>
      <w:r>
        <w:rPr>
          <w:rFonts w:ascii="Arial" w:eastAsia="Arial" w:hAnsi="Arial" w:cs="Arial"/>
          <w:color w:val="000000"/>
          <w:sz w:val="20"/>
          <w:szCs w:val="20"/>
        </w:rPr>
        <w:t xml:space="preserve">la a případnou další infrastrukturu instalovanou na území HMP, zavazuje se Provozovatel uhradit smluvní pokutu ve výši 2.500 Kč za každé neodstraněné vozidlo, ledaže se jedná o situaci popisovanou ve druhé větě čl. </w:t>
      </w:r>
      <w:r w:rsidR="00F91C50">
        <w:rPr>
          <w:rFonts w:ascii="Arial" w:eastAsia="Arial" w:hAnsi="Arial" w:cs="Arial"/>
          <w:color w:val="000000"/>
          <w:sz w:val="20"/>
          <w:szCs w:val="20"/>
        </w:rPr>
        <w:fldChar w:fldCharType="begin"/>
      </w:r>
      <w:r w:rsidR="00F91C50">
        <w:rPr>
          <w:rFonts w:ascii="Arial" w:eastAsia="Arial" w:hAnsi="Arial" w:cs="Arial"/>
          <w:color w:val="000000"/>
          <w:sz w:val="20"/>
          <w:szCs w:val="20"/>
        </w:rPr>
        <w:instrText xml:space="preserve"> REF _Ref217308673 \r \h </w:instrText>
      </w:r>
      <w:r w:rsidR="00F91C50">
        <w:rPr>
          <w:rFonts w:ascii="Arial" w:eastAsia="Arial" w:hAnsi="Arial" w:cs="Arial"/>
          <w:color w:val="000000"/>
          <w:sz w:val="20"/>
          <w:szCs w:val="20"/>
        </w:rPr>
      </w:r>
      <w:r w:rsidR="00F91C50">
        <w:rPr>
          <w:rFonts w:ascii="Arial" w:eastAsia="Arial" w:hAnsi="Arial" w:cs="Arial"/>
          <w:color w:val="000000"/>
          <w:sz w:val="20"/>
          <w:szCs w:val="20"/>
        </w:rPr>
        <w:fldChar w:fldCharType="separate"/>
      </w:r>
      <w:r w:rsidR="00F91C50">
        <w:rPr>
          <w:rFonts w:ascii="Arial" w:eastAsia="Arial" w:hAnsi="Arial" w:cs="Arial"/>
          <w:color w:val="000000"/>
          <w:sz w:val="20"/>
          <w:szCs w:val="20"/>
        </w:rPr>
        <w:t>3.8</w:t>
      </w:r>
      <w:r w:rsidR="00F91C50">
        <w:rPr>
          <w:rFonts w:ascii="Arial" w:eastAsia="Arial" w:hAnsi="Arial" w:cs="Arial"/>
          <w:color w:val="000000"/>
          <w:sz w:val="20"/>
          <w:szCs w:val="20"/>
        </w:rPr>
        <w:fldChar w:fldCharType="end"/>
      </w:r>
      <w:r w:rsidR="00F91C50">
        <w:rPr>
          <w:rFonts w:ascii="Arial" w:eastAsia="Arial" w:hAnsi="Arial" w:cs="Arial"/>
          <w:color w:val="000000"/>
          <w:sz w:val="20"/>
          <w:szCs w:val="20"/>
        </w:rPr>
        <w:t xml:space="preserve"> </w:t>
      </w:r>
      <w:r>
        <w:rPr>
          <w:rFonts w:ascii="Arial" w:eastAsia="Arial" w:hAnsi="Arial" w:cs="Arial"/>
          <w:color w:val="000000"/>
          <w:sz w:val="20"/>
          <w:szCs w:val="20"/>
        </w:rPr>
        <w:t xml:space="preserve">této </w:t>
      </w:r>
      <w:r w:rsidR="00B04A2C">
        <w:rPr>
          <w:rFonts w:ascii="Arial" w:eastAsia="Arial" w:hAnsi="Arial" w:cs="Arial"/>
          <w:color w:val="000000"/>
          <w:sz w:val="20"/>
          <w:szCs w:val="20"/>
        </w:rPr>
        <w:t>Smlouvy</w:t>
      </w:r>
      <w:r w:rsidR="009517A6">
        <w:rPr>
          <w:rFonts w:ascii="Arial" w:eastAsia="Arial" w:hAnsi="Arial" w:cs="Arial"/>
          <w:color w:val="000000"/>
          <w:sz w:val="20"/>
          <w:szCs w:val="20"/>
        </w:rPr>
        <w:t>,</w:t>
      </w:r>
      <w:r w:rsidR="00B04A2C">
        <w:rPr>
          <w:rFonts w:ascii="Arial" w:eastAsia="Arial" w:hAnsi="Arial" w:cs="Arial"/>
          <w:color w:val="000000"/>
          <w:sz w:val="20"/>
          <w:szCs w:val="20"/>
        </w:rPr>
        <w:t xml:space="preserve"> a </w:t>
      </w:r>
      <w:r>
        <w:rPr>
          <w:rFonts w:ascii="Arial" w:eastAsia="Arial" w:hAnsi="Arial" w:cs="Arial"/>
          <w:color w:val="000000"/>
          <w:sz w:val="20"/>
          <w:szCs w:val="20"/>
        </w:rPr>
        <w:t xml:space="preserve">5.000 Kč za každý kus neodstraněné infrastruktury rozdílné od Vozidla. Smluvní pokuty dle předchozí věty lze ukládat i opakovaně za každý den, po který bude stav neodstranění Vozidel a/nebo jiné infrastruktury trvat. </w:t>
      </w:r>
    </w:p>
    <w:p w14:paraId="7B358D55" w14:textId="77777777" w:rsidR="00175781" w:rsidRDefault="00D26B9F">
      <w:pPr>
        <w:numPr>
          <w:ilvl w:val="1"/>
          <w:numId w:val="2"/>
        </w:numPr>
        <w:pBdr>
          <w:top w:val="nil"/>
          <w:left w:val="nil"/>
          <w:bottom w:val="nil"/>
          <w:right w:val="nil"/>
          <w:between w:val="nil"/>
        </w:pBdr>
        <w:spacing w:after="200" w:line="276" w:lineRule="auto"/>
        <w:ind w:left="851" w:hanging="567"/>
        <w:jc w:val="both"/>
        <w:rPr>
          <w:rFonts w:ascii="Arial" w:eastAsia="Arial" w:hAnsi="Arial" w:cs="Arial"/>
          <w:color w:val="000000"/>
          <w:sz w:val="20"/>
          <w:szCs w:val="20"/>
        </w:rPr>
      </w:pPr>
      <w:r>
        <w:rPr>
          <w:rFonts w:ascii="Arial" w:eastAsia="Arial" w:hAnsi="Arial" w:cs="Arial"/>
          <w:color w:val="000000"/>
          <w:sz w:val="20"/>
          <w:szCs w:val="20"/>
        </w:rPr>
        <w:t xml:space="preserve">V případě porušení povinností pro ochranu osobních údajů dle této Smlouvy je Provozovatel povinen uhradit HMP smluvní pokutu </w:t>
      </w:r>
      <w:r w:rsidRPr="007F3313">
        <w:rPr>
          <w:rFonts w:ascii="Arial" w:eastAsia="Arial" w:hAnsi="Arial" w:cs="Arial"/>
          <w:color w:val="000000"/>
          <w:sz w:val="20"/>
          <w:szCs w:val="20"/>
        </w:rPr>
        <w:t>ve výši 50.000 Kč za každý</w:t>
      </w:r>
      <w:r>
        <w:rPr>
          <w:rFonts w:ascii="Arial" w:eastAsia="Arial" w:hAnsi="Arial" w:cs="Arial"/>
          <w:color w:val="000000"/>
          <w:sz w:val="20"/>
          <w:szCs w:val="20"/>
        </w:rPr>
        <w:t xml:space="preserve"> případ takového porušení povinnosti. </w:t>
      </w:r>
    </w:p>
    <w:p w14:paraId="507BF0E9" w14:textId="212EC07C" w:rsidR="00175781" w:rsidRDefault="00D26B9F">
      <w:pPr>
        <w:numPr>
          <w:ilvl w:val="1"/>
          <w:numId w:val="2"/>
        </w:numPr>
        <w:pBdr>
          <w:top w:val="nil"/>
          <w:left w:val="nil"/>
          <w:bottom w:val="nil"/>
          <w:right w:val="nil"/>
          <w:between w:val="nil"/>
        </w:pBdr>
        <w:spacing w:after="200" w:line="276" w:lineRule="auto"/>
        <w:ind w:left="851" w:hanging="567"/>
        <w:jc w:val="both"/>
        <w:rPr>
          <w:rFonts w:ascii="Arial" w:eastAsia="Arial" w:hAnsi="Arial" w:cs="Arial"/>
          <w:color w:val="000000"/>
          <w:sz w:val="20"/>
          <w:szCs w:val="20"/>
        </w:rPr>
      </w:pPr>
      <w:r>
        <w:rPr>
          <w:rFonts w:ascii="Arial" w:eastAsia="Arial" w:hAnsi="Arial" w:cs="Arial"/>
          <w:color w:val="000000"/>
          <w:sz w:val="20"/>
          <w:szCs w:val="20"/>
        </w:rPr>
        <w:t xml:space="preserve">Pokud TSK naloží s informacemi získanými od Provozovatele v rozporu s čl. </w:t>
      </w:r>
      <w:r w:rsidR="00B6677F">
        <w:rPr>
          <w:rFonts w:ascii="Arial" w:eastAsia="Arial" w:hAnsi="Arial" w:cs="Arial"/>
          <w:color w:val="000000"/>
          <w:sz w:val="20"/>
          <w:szCs w:val="20"/>
        </w:rPr>
        <w:fldChar w:fldCharType="begin"/>
      </w:r>
      <w:r w:rsidR="00B6677F">
        <w:rPr>
          <w:rFonts w:ascii="Arial" w:eastAsia="Arial" w:hAnsi="Arial" w:cs="Arial"/>
          <w:color w:val="000000"/>
          <w:sz w:val="20"/>
          <w:szCs w:val="20"/>
        </w:rPr>
        <w:instrText xml:space="preserve"> REF _Ref217308743 \r \h </w:instrText>
      </w:r>
      <w:r w:rsidR="00B6677F">
        <w:rPr>
          <w:rFonts w:ascii="Arial" w:eastAsia="Arial" w:hAnsi="Arial" w:cs="Arial"/>
          <w:color w:val="000000"/>
          <w:sz w:val="20"/>
          <w:szCs w:val="20"/>
        </w:rPr>
      </w:r>
      <w:r w:rsidR="00B6677F">
        <w:rPr>
          <w:rFonts w:ascii="Arial" w:eastAsia="Arial" w:hAnsi="Arial" w:cs="Arial"/>
          <w:color w:val="000000"/>
          <w:sz w:val="20"/>
          <w:szCs w:val="20"/>
        </w:rPr>
        <w:fldChar w:fldCharType="separate"/>
      </w:r>
      <w:r w:rsidR="00B6677F">
        <w:rPr>
          <w:rFonts w:ascii="Arial" w:eastAsia="Arial" w:hAnsi="Arial" w:cs="Arial"/>
          <w:color w:val="000000"/>
          <w:sz w:val="20"/>
          <w:szCs w:val="20"/>
        </w:rPr>
        <w:t>7.4</w:t>
      </w:r>
      <w:r w:rsidR="00B6677F">
        <w:rPr>
          <w:rFonts w:ascii="Arial" w:eastAsia="Arial" w:hAnsi="Arial" w:cs="Arial"/>
          <w:color w:val="000000"/>
          <w:sz w:val="20"/>
          <w:szCs w:val="20"/>
        </w:rPr>
        <w:fldChar w:fldCharType="end"/>
      </w:r>
      <w:r>
        <w:rPr>
          <w:rFonts w:ascii="Arial" w:eastAsia="Arial" w:hAnsi="Arial" w:cs="Arial"/>
          <w:color w:val="000000"/>
          <w:sz w:val="20"/>
          <w:szCs w:val="20"/>
        </w:rPr>
        <w:t xml:space="preserve"> této Smlouvy, uhradí Provozovateli smluvní pokutu ve výši 200.000 Kč za každý jednotlivý případ.   </w:t>
      </w:r>
    </w:p>
    <w:p w14:paraId="3DD5FE60" w14:textId="77777777" w:rsidR="00175781" w:rsidRDefault="00D26B9F">
      <w:pPr>
        <w:numPr>
          <w:ilvl w:val="1"/>
          <w:numId w:val="2"/>
        </w:numPr>
        <w:pBdr>
          <w:top w:val="nil"/>
          <w:left w:val="nil"/>
          <w:bottom w:val="nil"/>
          <w:right w:val="nil"/>
          <w:between w:val="nil"/>
        </w:pBdr>
        <w:spacing w:after="200" w:line="276" w:lineRule="auto"/>
        <w:ind w:left="851" w:hanging="567"/>
        <w:jc w:val="both"/>
        <w:rPr>
          <w:rFonts w:ascii="Arial" w:eastAsia="Arial" w:hAnsi="Arial" w:cs="Arial"/>
          <w:color w:val="000000"/>
          <w:sz w:val="20"/>
          <w:szCs w:val="20"/>
        </w:rPr>
      </w:pPr>
      <w:r>
        <w:rPr>
          <w:rFonts w:ascii="Arial" w:eastAsia="Arial" w:hAnsi="Arial" w:cs="Arial"/>
          <w:color w:val="000000"/>
          <w:sz w:val="20"/>
          <w:szCs w:val="20"/>
        </w:rPr>
        <w:t xml:space="preserve">Splatnost smluvních pokut dle této Smlouvy je třicet (30) dnů ode dne doručení výzvy k jejich uhrazení povinné Straně. Uplatněním práva na smluvní pokutu není dotčeno právo požadovat náhradu škody v plném rozsahu vedle smluvní pokuty, nebo povinnosti splnit závazek smluvní pokutou utvrzený. Strany výslovně vylučují použití § 2050 Občanského zákoníku. </w:t>
      </w:r>
    </w:p>
    <w:p w14:paraId="558C79A6" w14:textId="199B1663" w:rsidR="00175781" w:rsidRDefault="00D26B9F">
      <w:pPr>
        <w:numPr>
          <w:ilvl w:val="1"/>
          <w:numId w:val="2"/>
        </w:numPr>
        <w:pBdr>
          <w:top w:val="nil"/>
          <w:left w:val="nil"/>
          <w:bottom w:val="nil"/>
          <w:right w:val="nil"/>
          <w:between w:val="nil"/>
        </w:pBdr>
        <w:spacing w:after="200" w:line="276" w:lineRule="auto"/>
        <w:ind w:left="851" w:hanging="567"/>
        <w:jc w:val="both"/>
        <w:rPr>
          <w:rFonts w:ascii="Arial" w:eastAsia="Arial" w:hAnsi="Arial" w:cs="Arial"/>
          <w:color w:val="000000"/>
          <w:sz w:val="20"/>
          <w:szCs w:val="20"/>
        </w:rPr>
      </w:pPr>
      <w:r>
        <w:rPr>
          <w:rFonts w:ascii="Arial" w:eastAsia="Arial" w:hAnsi="Arial" w:cs="Arial"/>
          <w:color w:val="000000"/>
          <w:sz w:val="20"/>
          <w:szCs w:val="20"/>
        </w:rPr>
        <w:t xml:space="preserve">HMP vystaví Provozovateli výzvu k úhradě smluvních pokut vždy jednou měsíčně za toto uplynulé období. Úhradu se Provozovatel zavazuje provést na účet TSK uvedený v záhlaví této Smlouvy.     </w:t>
      </w:r>
    </w:p>
    <w:p w14:paraId="0923A7CE" w14:textId="77777777" w:rsidR="00175781" w:rsidRDefault="00D26B9F">
      <w:pPr>
        <w:numPr>
          <w:ilvl w:val="0"/>
          <w:numId w:val="2"/>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b/>
          <w:bCs/>
          <w:color w:val="000000"/>
          <w:sz w:val="20"/>
          <w:szCs w:val="20"/>
        </w:rPr>
        <w:t>POJIŠTĚNÍ</w:t>
      </w:r>
    </w:p>
    <w:p w14:paraId="37E93CCA"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39" w:name="_lizj3xjjjszn" w:colFirst="0" w:colLast="0"/>
      <w:bookmarkEnd w:id="39"/>
      <w:r>
        <w:rPr>
          <w:rFonts w:ascii="Arial" w:eastAsia="Arial" w:hAnsi="Arial" w:cs="Arial"/>
          <w:color w:val="000000"/>
          <w:sz w:val="20"/>
          <w:szCs w:val="20"/>
        </w:rPr>
        <w:t xml:space="preserve">Provozovatel je povinen mít po celou dobu trvání této Smlouvy uzavřenou pojistnou smlouvu, jejímž předmětem je pojištění odpovědnosti za škodu způsobenou činností Provozovatele vůči HMP, TSK a/nebo </w:t>
      </w:r>
      <w:r>
        <w:rPr>
          <w:rFonts w:ascii="Arial" w:eastAsia="Arial" w:hAnsi="Arial" w:cs="Arial"/>
          <w:color w:val="000000"/>
          <w:sz w:val="20"/>
          <w:szCs w:val="20"/>
        </w:rPr>
        <w:lastRenderedPageBreak/>
        <w:t xml:space="preserve">třetím osobám, a to v souvislosti s provozováním služby sdílených kol na území HMP. Výše pojistného plnění z takové pojistné smlouvy musí být minimálně v hodnotě 5.000.000 Kč za každou pojistnou událost. Spoluúčast Provozovatele přitom nesmí být vyšší než 5 %, maximálně však 500.000 Kč. </w:t>
      </w:r>
    </w:p>
    <w:p w14:paraId="09CDD8A5"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40" w:name="_ub2rgrl2nz9b" w:colFirst="0" w:colLast="0"/>
      <w:bookmarkEnd w:id="40"/>
      <w:r>
        <w:rPr>
          <w:rFonts w:ascii="Arial" w:eastAsia="Arial" w:hAnsi="Arial" w:cs="Arial"/>
          <w:color w:val="000000"/>
          <w:sz w:val="20"/>
          <w:szCs w:val="20"/>
        </w:rPr>
        <w:t>Pojištění odpovědnosti za škodu způsobenou Provozovatelem musí rovněž zahrnovat i pojištění všech případných poddodavatelů Provozovatele, prostřednictvím kterých bude provozovat službu sdílených kol; případně je Provozovatel povinen zajistit, aby obdobné pojištění v přiměřeném rozsahu sjednali i všichni jeho poddodavatelé, kteří se pro něj budou podílet na provozu služby sdílených kol.</w:t>
      </w:r>
    </w:p>
    <w:p w14:paraId="38FCDB74" w14:textId="2DA9157C"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Podmínky pojištění dle této Smlouvy nesmí být horší než obvyklé podmínky tohoto druhu pojištění, které je</w:t>
      </w:r>
      <w:r w:rsidR="0081255C">
        <w:rPr>
          <w:rFonts w:ascii="Arial" w:eastAsia="Arial" w:hAnsi="Arial" w:cs="Arial"/>
          <w:color w:val="000000"/>
          <w:sz w:val="20"/>
          <w:szCs w:val="20"/>
        </w:rPr>
        <w:t> </w:t>
      </w:r>
      <w:r>
        <w:rPr>
          <w:rFonts w:ascii="Arial" w:eastAsia="Arial" w:hAnsi="Arial" w:cs="Arial"/>
          <w:color w:val="000000"/>
          <w:sz w:val="20"/>
          <w:szCs w:val="20"/>
        </w:rPr>
        <w:t>poskytováno osobám poskytujícím předmětné činnosti v České republice.</w:t>
      </w:r>
    </w:p>
    <w:p w14:paraId="577BBCBE"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Uzavřené pojištění je Provozovatel povinen doložit HMP při uzavření této Smlouvy a na žádost HMP kdykoli v průběhu jejího plnění.  </w:t>
      </w:r>
    </w:p>
    <w:p w14:paraId="4104A96D" w14:textId="77777777" w:rsidR="00175781" w:rsidRDefault="00D26B9F">
      <w:pPr>
        <w:numPr>
          <w:ilvl w:val="0"/>
          <w:numId w:val="2"/>
        </w:numPr>
        <w:pBdr>
          <w:top w:val="nil"/>
          <w:left w:val="nil"/>
          <w:bottom w:val="nil"/>
          <w:right w:val="nil"/>
          <w:between w:val="nil"/>
        </w:pBdr>
        <w:spacing w:after="200" w:line="276" w:lineRule="auto"/>
        <w:jc w:val="both"/>
        <w:rPr>
          <w:rFonts w:ascii="Arial" w:eastAsia="Arial" w:hAnsi="Arial" w:cs="Arial"/>
          <w:color w:val="000000"/>
          <w:sz w:val="20"/>
          <w:szCs w:val="20"/>
        </w:rPr>
      </w:pPr>
      <w:bookmarkStart w:id="41" w:name="_cc69k3xvk6j4" w:colFirst="0" w:colLast="0"/>
      <w:bookmarkEnd w:id="41"/>
      <w:r>
        <w:rPr>
          <w:rFonts w:ascii="Arial" w:eastAsia="Arial" w:hAnsi="Arial" w:cs="Arial"/>
          <w:b/>
          <w:bCs/>
          <w:color w:val="000000"/>
          <w:sz w:val="20"/>
          <w:szCs w:val="20"/>
        </w:rPr>
        <w:t>KONTAKTNÍ OSOBY A ZPŮSOB DORUČOVÁNÍ</w:t>
      </w:r>
    </w:p>
    <w:p w14:paraId="54BB556E"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42" w:name="_2vh6r6fbkzuq" w:colFirst="0" w:colLast="0"/>
      <w:bookmarkEnd w:id="42"/>
      <w:r>
        <w:rPr>
          <w:rFonts w:ascii="Arial" w:eastAsia="Arial" w:hAnsi="Arial" w:cs="Arial"/>
          <w:color w:val="000000"/>
          <w:sz w:val="20"/>
          <w:szCs w:val="20"/>
        </w:rPr>
        <w:t>Osoba oprávněná jednat za TSK:</w:t>
      </w:r>
    </w:p>
    <w:p w14:paraId="31C93CB8" w14:textId="0CAACE5D" w:rsidR="00175781" w:rsidRDefault="00D26B9F" w:rsidP="002F21C3">
      <w:pPr>
        <w:numPr>
          <w:ilvl w:val="0"/>
          <w:numId w:val="14"/>
        </w:numPr>
        <w:pBdr>
          <w:top w:val="nil"/>
          <w:left w:val="nil"/>
          <w:bottom w:val="nil"/>
          <w:right w:val="nil"/>
          <w:between w:val="nil"/>
        </w:pBdr>
        <w:spacing w:before="200" w:line="276" w:lineRule="auto"/>
        <w:ind w:left="1134" w:hanging="283"/>
        <w:jc w:val="both"/>
        <w:rPr>
          <w:rFonts w:ascii="Arial" w:eastAsia="Arial" w:hAnsi="Arial" w:cs="Arial"/>
          <w:color w:val="000000"/>
          <w:sz w:val="20"/>
          <w:szCs w:val="20"/>
        </w:rPr>
      </w:pPr>
      <w:r>
        <w:rPr>
          <w:rFonts w:ascii="Arial" w:eastAsia="Arial" w:hAnsi="Arial" w:cs="Arial"/>
          <w:color w:val="000000"/>
          <w:sz w:val="20"/>
          <w:szCs w:val="20"/>
        </w:rPr>
        <w:t xml:space="preserve">Ve věcech smluvních: </w:t>
      </w:r>
      <w:r w:rsidR="000F7C8F">
        <w:rPr>
          <w:rFonts w:ascii="Arial" w:eastAsia="Arial" w:hAnsi="Arial" w:cs="Arial"/>
          <w:color w:val="000000"/>
          <w:sz w:val="20"/>
          <w:szCs w:val="20"/>
        </w:rPr>
        <w:t>xxxxxxxxx</w:t>
      </w:r>
      <w:r w:rsidR="002F21C3">
        <w:rPr>
          <w:rFonts w:ascii="Arial" w:eastAsia="Arial" w:hAnsi="Arial" w:cs="Arial"/>
          <w:color w:val="000000"/>
          <w:sz w:val="20"/>
          <w:szCs w:val="20"/>
        </w:rPr>
        <w:t>, specialista komunikace</w:t>
      </w:r>
    </w:p>
    <w:p w14:paraId="102B3DEE" w14:textId="120BF76E" w:rsidR="00175781" w:rsidRDefault="00D26B9F">
      <w:pPr>
        <w:pBdr>
          <w:top w:val="nil"/>
          <w:left w:val="nil"/>
          <w:bottom w:val="nil"/>
          <w:right w:val="nil"/>
          <w:between w:val="nil"/>
        </w:pBdr>
        <w:spacing w:line="276" w:lineRule="auto"/>
        <w:ind w:left="1152"/>
        <w:jc w:val="both"/>
        <w:rPr>
          <w:rFonts w:ascii="Arial" w:eastAsia="Arial" w:hAnsi="Arial" w:cs="Arial"/>
          <w:color w:val="000000"/>
          <w:sz w:val="20"/>
          <w:szCs w:val="20"/>
        </w:rPr>
      </w:pPr>
      <w:r>
        <w:rPr>
          <w:rFonts w:ascii="Arial" w:eastAsia="Arial" w:hAnsi="Arial" w:cs="Arial"/>
          <w:color w:val="000000"/>
          <w:sz w:val="20"/>
          <w:szCs w:val="20"/>
        </w:rPr>
        <w:t>tel.:</w:t>
      </w:r>
      <w:r w:rsidR="002F21C3">
        <w:rPr>
          <w:rFonts w:ascii="Arial" w:eastAsia="Arial" w:hAnsi="Arial" w:cs="Arial"/>
          <w:color w:val="000000"/>
          <w:sz w:val="20"/>
          <w:szCs w:val="20"/>
        </w:rPr>
        <w:t xml:space="preserve"> +420 </w:t>
      </w:r>
      <w:r w:rsidR="000F7C8F">
        <w:rPr>
          <w:rFonts w:ascii="Arial" w:eastAsia="Arial" w:hAnsi="Arial" w:cs="Arial"/>
          <w:color w:val="000000"/>
          <w:sz w:val="20"/>
          <w:szCs w:val="20"/>
        </w:rPr>
        <w:t>xxxxxxxxxxxx</w:t>
      </w:r>
      <w:r>
        <w:rPr>
          <w:rFonts w:ascii="Arial" w:eastAsia="Arial" w:hAnsi="Arial" w:cs="Arial"/>
          <w:color w:val="000000"/>
          <w:sz w:val="20"/>
          <w:szCs w:val="20"/>
        </w:rPr>
        <w:t>, e-mail:</w:t>
      </w:r>
      <w:r w:rsidR="002F21C3">
        <w:rPr>
          <w:rFonts w:ascii="Arial" w:eastAsia="Arial" w:hAnsi="Arial" w:cs="Arial"/>
          <w:color w:val="000000"/>
          <w:sz w:val="20"/>
          <w:szCs w:val="20"/>
        </w:rPr>
        <w:t xml:space="preserve"> </w:t>
      </w:r>
      <w:hyperlink r:id="rId11" w:history="1">
        <w:r w:rsidR="000F7C8F">
          <w:rPr>
            <w:rStyle w:val="Hypertextovodkaz"/>
            <w:rFonts w:ascii="Arial" w:eastAsia="Arial" w:hAnsi="Arial" w:cs="Arial"/>
            <w:sz w:val="20"/>
            <w:szCs w:val="20"/>
          </w:rPr>
          <w:t>xxxxxxxxxx</w:t>
        </w:r>
      </w:hyperlink>
      <w:r w:rsidR="002F21C3">
        <w:rPr>
          <w:rFonts w:ascii="Arial" w:eastAsia="Arial" w:hAnsi="Arial" w:cs="Arial"/>
          <w:color w:val="000000"/>
          <w:sz w:val="20"/>
          <w:szCs w:val="20"/>
        </w:rPr>
        <w:t xml:space="preserve"> </w:t>
      </w:r>
      <w:r>
        <w:rPr>
          <w:rFonts w:ascii="Arial" w:eastAsia="Arial" w:hAnsi="Arial" w:cs="Arial"/>
          <w:color w:val="000000"/>
          <w:sz w:val="20"/>
          <w:szCs w:val="20"/>
        </w:rPr>
        <w:t xml:space="preserve"> </w:t>
      </w:r>
    </w:p>
    <w:p w14:paraId="65F39A31" w14:textId="3EDBDE13" w:rsidR="00175781" w:rsidRDefault="00D26B9F" w:rsidP="002F21C3">
      <w:pPr>
        <w:numPr>
          <w:ilvl w:val="0"/>
          <w:numId w:val="14"/>
        </w:numPr>
        <w:pBdr>
          <w:top w:val="nil"/>
          <w:left w:val="nil"/>
          <w:bottom w:val="nil"/>
          <w:right w:val="nil"/>
          <w:between w:val="nil"/>
        </w:pBdr>
        <w:spacing w:line="276" w:lineRule="auto"/>
        <w:ind w:left="1134" w:hanging="283"/>
        <w:jc w:val="both"/>
        <w:rPr>
          <w:rFonts w:ascii="Arial" w:eastAsia="Arial" w:hAnsi="Arial" w:cs="Arial"/>
          <w:color w:val="000000"/>
          <w:sz w:val="20"/>
          <w:szCs w:val="20"/>
        </w:rPr>
      </w:pPr>
      <w:r>
        <w:rPr>
          <w:rFonts w:ascii="Arial" w:eastAsia="Arial" w:hAnsi="Arial" w:cs="Arial"/>
          <w:color w:val="000000"/>
          <w:sz w:val="20"/>
          <w:szCs w:val="20"/>
        </w:rPr>
        <w:t>Ve věcech technických:</w:t>
      </w:r>
      <w:r w:rsidR="002F21C3">
        <w:rPr>
          <w:rFonts w:ascii="Arial" w:eastAsia="Arial" w:hAnsi="Arial" w:cs="Arial"/>
          <w:color w:val="000000"/>
          <w:sz w:val="20"/>
          <w:szCs w:val="20"/>
        </w:rPr>
        <w:t xml:space="preserve"> </w:t>
      </w:r>
      <w:r w:rsidR="000F7C8F">
        <w:rPr>
          <w:rFonts w:ascii="Arial" w:eastAsia="Arial" w:hAnsi="Arial" w:cs="Arial"/>
          <w:color w:val="000000"/>
          <w:sz w:val="20"/>
          <w:szCs w:val="20"/>
        </w:rPr>
        <w:t>xxxxxxxxxx</w:t>
      </w:r>
      <w:r w:rsidR="002F21C3">
        <w:rPr>
          <w:rFonts w:ascii="Arial" w:eastAsia="Arial" w:hAnsi="Arial" w:cs="Arial"/>
          <w:color w:val="000000"/>
          <w:sz w:val="20"/>
          <w:szCs w:val="20"/>
        </w:rPr>
        <w:t>, specialista komunikace</w:t>
      </w:r>
      <w:r>
        <w:rPr>
          <w:rFonts w:ascii="Arial" w:eastAsia="Arial" w:hAnsi="Arial" w:cs="Arial"/>
          <w:color w:val="000000"/>
          <w:sz w:val="20"/>
          <w:szCs w:val="20"/>
        </w:rPr>
        <w:t xml:space="preserve"> </w:t>
      </w:r>
    </w:p>
    <w:p w14:paraId="5CA39801" w14:textId="47200ACE" w:rsidR="008275DD" w:rsidRDefault="00D26B9F" w:rsidP="008275DD">
      <w:pPr>
        <w:pBdr>
          <w:top w:val="nil"/>
          <w:left w:val="nil"/>
          <w:bottom w:val="nil"/>
          <w:right w:val="nil"/>
          <w:between w:val="nil"/>
        </w:pBdr>
        <w:spacing w:line="276" w:lineRule="auto"/>
        <w:ind w:left="1152"/>
        <w:jc w:val="both"/>
        <w:rPr>
          <w:rFonts w:ascii="Arial" w:eastAsia="Arial" w:hAnsi="Arial" w:cs="Arial"/>
          <w:color w:val="000000"/>
          <w:sz w:val="20"/>
          <w:szCs w:val="20"/>
        </w:rPr>
      </w:pPr>
      <w:r>
        <w:rPr>
          <w:rFonts w:ascii="Arial" w:eastAsia="Arial" w:hAnsi="Arial" w:cs="Arial"/>
          <w:color w:val="000000"/>
          <w:sz w:val="20"/>
          <w:szCs w:val="20"/>
        </w:rPr>
        <w:t>tel.:</w:t>
      </w:r>
      <w:r w:rsidR="002F21C3">
        <w:rPr>
          <w:rFonts w:ascii="Arial" w:eastAsia="Arial" w:hAnsi="Arial" w:cs="Arial"/>
          <w:color w:val="000000"/>
          <w:sz w:val="20"/>
          <w:szCs w:val="20"/>
        </w:rPr>
        <w:t xml:space="preserve"> +420 </w:t>
      </w:r>
      <w:r w:rsidR="000F7C8F">
        <w:rPr>
          <w:rFonts w:ascii="Arial" w:eastAsia="Arial" w:hAnsi="Arial" w:cs="Arial"/>
          <w:color w:val="000000"/>
          <w:sz w:val="20"/>
          <w:szCs w:val="20"/>
        </w:rPr>
        <w:t>xxxxxxxxxx</w:t>
      </w:r>
      <w:r>
        <w:rPr>
          <w:rFonts w:ascii="Arial" w:eastAsia="Arial" w:hAnsi="Arial" w:cs="Arial"/>
          <w:color w:val="000000"/>
          <w:sz w:val="20"/>
          <w:szCs w:val="20"/>
        </w:rPr>
        <w:t xml:space="preserve">, e-mail: </w:t>
      </w:r>
      <w:hyperlink r:id="rId12" w:history="1">
        <w:r w:rsidR="000F7C8F">
          <w:rPr>
            <w:rStyle w:val="Hypertextovodkaz"/>
            <w:rFonts w:ascii="Arial" w:eastAsia="Arial" w:hAnsi="Arial" w:cs="Arial"/>
            <w:sz w:val="20"/>
            <w:szCs w:val="20"/>
          </w:rPr>
          <w:t>xxxxxxxxxxxx</w:t>
        </w:r>
      </w:hyperlink>
      <w:r w:rsidR="002F21C3">
        <w:rPr>
          <w:rFonts w:ascii="Arial" w:eastAsia="Arial" w:hAnsi="Arial" w:cs="Arial"/>
          <w:color w:val="000000"/>
          <w:sz w:val="20"/>
          <w:szCs w:val="20"/>
        </w:rPr>
        <w:t xml:space="preserve">  </w:t>
      </w:r>
    </w:p>
    <w:p w14:paraId="2EE3269D" w14:textId="77777777" w:rsidR="008275DD" w:rsidRDefault="008275DD" w:rsidP="008275DD">
      <w:pPr>
        <w:pBdr>
          <w:top w:val="nil"/>
          <w:left w:val="nil"/>
          <w:bottom w:val="nil"/>
          <w:right w:val="nil"/>
          <w:between w:val="nil"/>
        </w:pBdr>
        <w:spacing w:line="276" w:lineRule="auto"/>
        <w:ind w:left="1152"/>
        <w:jc w:val="both"/>
        <w:rPr>
          <w:rFonts w:ascii="Arial" w:eastAsia="Arial" w:hAnsi="Arial" w:cs="Arial"/>
          <w:color w:val="000000"/>
          <w:sz w:val="20"/>
          <w:szCs w:val="20"/>
        </w:rPr>
      </w:pPr>
    </w:p>
    <w:p w14:paraId="5CC6E266" w14:textId="15CFB6C6"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Osoby oprávněné jednat za Provozovatele:</w:t>
      </w:r>
    </w:p>
    <w:p w14:paraId="54E83E77" w14:textId="675205CD" w:rsidR="00175781" w:rsidRPr="002F21C3" w:rsidRDefault="00D26B9F" w:rsidP="002F21C3">
      <w:pPr>
        <w:pStyle w:val="Odstavecseseznamem"/>
        <w:numPr>
          <w:ilvl w:val="0"/>
          <w:numId w:val="15"/>
        </w:numPr>
        <w:pBdr>
          <w:top w:val="nil"/>
          <w:left w:val="nil"/>
          <w:bottom w:val="nil"/>
          <w:right w:val="nil"/>
          <w:between w:val="nil"/>
        </w:pBdr>
        <w:spacing w:before="200" w:line="276" w:lineRule="auto"/>
        <w:ind w:left="1134" w:hanging="283"/>
        <w:jc w:val="both"/>
        <w:rPr>
          <w:rFonts w:ascii="Arial" w:eastAsia="Arial" w:hAnsi="Arial" w:cs="Arial"/>
          <w:color w:val="000000"/>
          <w:sz w:val="20"/>
          <w:szCs w:val="20"/>
        </w:rPr>
      </w:pPr>
      <w:r w:rsidRPr="002F21C3">
        <w:rPr>
          <w:rFonts w:ascii="Arial" w:eastAsia="Arial" w:hAnsi="Arial" w:cs="Arial"/>
          <w:color w:val="000000"/>
          <w:sz w:val="20"/>
          <w:szCs w:val="20"/>
        </w:rPr>
        <w:t xml:space="preserve">Ve věcech smluvních: </w:t>
      </w:r>
      <w:r w:rsidR="00075420">
        <w:rPr>
          <w:rFonts w:ascii="Arial" w:eastAsia="Arial" w:hAnsi="Arial" w:cs="Arial"/>
          <w:color w:val="000000"/>
          <w:sz w:val="20"/>
          <w:szCs w:val="20"/>
        </w:rPr>
        <w:t>xxxxxxxx</w:t>
      </w:r>
    </w:p>
    <w:p w14:paraId="5E8FC6E9" w14:textId="1F0C2C0D" w:rsidR="002F21C3" w:rsidRDefault="00D26B9F" w:rsidP="005849F1">
      <w:pPr>
        <w:pBdr>
          <w:top w:val="nil"/>
          <w:left w:val="nil"/>
          <w:bottom w:val="nil"/>
          <w:right w:val="nil"/>
          <w:between w:val="nil"/>
        </w:pBdr>
        <w:spacing w:line="276" w:lineRule="auto"/>
        <w:ind w:left="1276" w:hanging="142"/>
        <w:jc w:val="both"/>
        <w:rPr>
          <w:rFonts w:ascii="Arial" w:eastAsia="Arial" w:hAnsi="Arial" w:cs="Arial"/>
          <w:color w:val="000000"/>
          <w:sz w:val="20"/>
          <w:szCs w:val="20"/>
        </w:rPr>
      </w:pPr>
      <w:r>
        <w:rPr>
          <w:rFonts w:ascii="Arial" w:eastAsia="Arial" w:hAnsi="Arial" w:cs="Arial"/>
          <w:color w:val="000000"/>
          <w:sz w:val="20"/>
          <w:szCs w:val="20"/>
        </w:rPr>
        <w:t xml:space="preserve">tel.: </w:t>
      </w:r>
      <w:r w:rsidR="00075420">
        <w:rPr>
          <w:rFonts w:ascii="Arial" w:eastAsia="Arial" w:hAnsi="Arial" w:cs="Arial"/>
          <w:color w:val="000000"/>
          <w:sz w:val="20"/>
          <w:szCs w:val="20"/>
        </w:rPr>
        <w:t>xxxxxxxx</w:t>
      </w:r>
      <w:r>
        <w:rPr>
          <w:rFonts w:ascii="Arial" w:eastAsia="Arial" w:hAnsi="Arial" w:cs="Arial"/>
          <w:color w:val="000000"/>
          <w:sz w:val="20"/>
          <w:szCs w:val="20"/>
        </w:rPr>
        <w:t xml:space="preserve"> e-mail: </w:t>
      </w:r>
      <w:r w:rsidR="00075420">
        <w:rPr>
          <w:rFonts w:ascii="Arial" w:eastAsia="Arial" w:hAnsi="Arial" w:cs="Arial"/>
          <w:color w:val="000000"/>
          <w:sz w:val="20"/>
          <w:szCs w:val="20"/>
        </w:rPr>
        <w:t>xxxxxxxxxxxx</w:t>
      </w:r>
    </w:p>
    <w:p w14:paraId="68C31D60" w14:textId="5C112293" w:rsidR="00175781" w:rsidRPr="002F21C3" w:rsidRDefault="00D26B9F" w:rsidP="002F21C3">
      <w:pPr>
        <w:pStyle w:val="Odstavecseseznamem"/>
        <w:numPr>
          <w:ilvl w:val="0"/>
          <w:numId w:val="15"/>
        </w:numPr>
        <w:pBdr>
          <w:top w:val="nil"/>
          <w:left w:val="nil"/>
          <w:bottom w:val="nil"/>
          <w:right w:val="nil"/>
          <w:between w:val="nil"/>
        </w:pBdr>
        <w:spacing w:line="276" w:lineRule="auto"/>
        <w:ind w:left="1134" w:hanging="283"/>
        <w:jc w:val="both"/>
        <w:rPr>
          <w:rFonts w:ascii="Arial" w:eastAsia="Arial" w:hAnsi="Arial" w:cs="Arial"/>
          <w:color w:val="000000"/>
          <w:sz w:val="20"/>
          <w:szCs w:val="20"/>
        </w:rPr>
      </w:pPr>
      <w:r w:rsidRPr="002F21C3">
        <w:rPr>
          <w:rFonts w:ascii="Arial" w:eastAsia="Arial" w:hAnsi="Arial" w:cs="Arial"/>
          <w:color w:val="000000"/>
          <w:sz w:val="20"/>
          <w:szCs w:val="20"/>
        </w:rPr>
        <w:t xml:space="preserve">Ve věcech technických: </w:t>
      </w:r>
      <w:r w:rsidR="00075420">
        <w:rPr>
          <w:rFonts w:ascii="Arial" w:eastAsia="Arial" w:hAnsi="Arial" w:cs="Arial"/>
          <w:color w:val="000000"/>
          <w:sz w:val="20"/>
          <w:szCs w:val="20"/>
        </w:rPr>
        <w:t>xxxxxxxxxxxx</w:t>
      </w:r>
    </w:p>
    <w:p w14:paraId="204AE87C" w14:textId="3CEAFA22" w:rsidR="00175781" w:rsidRDefault="00D26B9F" w:rsidP="005849F1">
      <w:pPr>
        <w:pBdr>
          <w:top w:val="nil"/>
          <w:left w:val="nil"/>
          <w:bottom w:val="nil"/>
          <w:right w:val="nil"/>
          <w:between w:val="nil"/>
        </w:pBdr>
        <w:spacing w:line="276" w:lineRule="auto"/>
        <w:ind w:left="1134"/>
        <w:jc w:val="both"/>
        <w:rPr>
          <w:rFonts w:ascii="Arial" w:eastAsia="Arial" w:hAnsi="Arial" w:cs="Arial"/>
          <w:color w:val="000000"/>
          <w:sz w:val="20"/>
          <w:szCs w:val="20"/>
        </w:rPr>
      </w:pPr>
      <w:r>
        <w:rPr>
          <w:rFonts w:ascii="Arial" w:eastAsia="Arial" w:hAnsi="Arial" w:cs="Arial"/>
          <w:color w:val="000000"/>
          <w:sz w:val="20"/>
          <w:szCs w:val="20"/>
        </w:rPr>
        <w:t xml:space="preserve">tel.: </w:t>
      </w:r>
      <w:r w:rsidR="00075420">
        <w:rPr>
          <w:rFonts w:ascii="Arial" w:eastAsia="Arial" w:hAnsi="Arial" w:cs="Arial"/>
          <w:color w:val="000000"/>
          <w:sz w:val="20"/>
          <w:szCs w:val="20"/>
        </w:rPr>
        <w:t>xxxxxxxxxxx</w:t>
      </w:r>
      <w:r>
        <w:rPr>
          <w:rFonts w:ascii="Arial" w:eastAsia="Arial" w:hAnsi="Arial" w:cs="Arial"/>
          <w:color w:val="000000"/>
          <w:sz w:val="20"/>
          <w:szCs w:val="20"/>
        </w:rPr>
        <w:t xml:space="preserve">e-mail: </w:t>
      </w:r>
      <w:r w:rsidR="00075420">
        <w:rPr>
          <w:rFonts w:ascii="Arial" w:eastAsia="Arial" w:hAnsi="Arial" w:cs="Arial"/>
          <w:color w:val="000000"/>
          <w:sz w:val="20"/>
          <w:szCs w:val="20"/>
        </w:rPr>
        <w:t>xxxxxxxxxxxxx</w:t>
      </w:r>
    </w:p>
    <w:p w14:paraId="74C59324" w14:textId="77777777" w:rsidR="00175781" w:rsidRDefault="00175781">
      <w:pPr>
        <w:pBdr>
          <w:top w:val="nil"/>
          <w:left w:val="nil"/>
          <w:bottom w:val="nil"/>
          <w:right w:val="nil"/>
          <w:between w:val="nil"/>
        </w:pBdr>
        <w:spacing w:line="276" w:lineRule="auto"/>
        <w:ind w:left="1152"/>
        <w:jc w:val="both"/>
        <w:rPr>
          <w:rFonts w:ascii="Arial" w:eastAsia="Arial" w:hAnsi="Arial" w:cs="Arial"/>
          <w:color w:val="000000"/>
          <w:sz w:val="20"/>
          <w:szCs w:val="20"/>
        </w:rPr>
      </w:pPr>
    </w:p>
    <w:p w14:paraId="5AAAD1D3"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Za obě Strany jsou dále oprávněny jednat i jiné osoby, pokud předloží příslušné pověření, a/nebo to vyplývá přímo z jejich pracovní náplně. V případě pochybností jsou obě Strany oprávněny vyžádat si potvrzení o příslušnosti takové osoby ke Straně druhé. Do okamžiku potvrzení nebude ta ze Stran, která o něj žádala, v prodlení s plněním svých povinností dle této Smlouvy. Potvrzení však nelze žádat účelově proto, aby prodlení nevzniklo. </w:t>
      </w:r>
    </w:p>
    <w:p w14:paraId="66406E55" w14:textId="50266012"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V případě změny adresy pro doručování nebo kontaktů dle tohoto článku Smlouvy je Strana, u níž změna nastala, povinna oznámit takovou změnu na e-mail druhé Strany. Pokud to bude možné, učiní dotčená Strana oznámení dle předchozí věty předem. Oznámení bude zasláno osobě oprávněné jednat za</w:t>
      </w:r>
      <w:r w:rsidR="0094265F">
        <w:rPr>
          <w:rFonts w:ascii="Arial" w:eastAsia="Arial" w:hAnsi="Arial" w:cs="Arial"/>
          <w:color w:val="000000"/>
          <w:sz w:val="20"/>
          <w:szCs w:val="20"/>
        </w:rPr>
        <w:t> </w:t>
      </w:r>
      <w:r>
        <w:rPr>
          <w:rFonts w:ascii="Arial" w:eastAsia="Arial" w:hAnsi="Arial" w:cs="Arial"/>
          <w:color w:val="000000"/>
          <w:sz w:val="20"/>
          <w:szCs w:val="20"/>
        </w:rPr>
        <w:t xml:space="preserve">příslušnou Stranu ve věcech smluvních. Změna je vůči druhé Straně účinná okamžikem oznámení.  </w:t>
      </w:r>
    </w:p>
    <w:p w14:paraId="7A23BAA3" w14:textId="77777777" w:rsidR="0026214B" w:rsidRDefault="00D26B9F">
      <w:pPr>
        <w:numPr>
          <w:ilvl w:val="1"/>
          <w:numId w:val="2"/>
        </w:numPr>
        <w:pBdr>
          <w:top w:val="nil"/>
          <w:left w:val="nil"/>
          <w:bottom w:val="nil"/>
          <w:right w:val="nil"/>
          <w:between w:val="nil"/>
        </w:pBdr>
        <w:spacing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Za prokazatelné doručení písemných oznámení a jiných sdělení v souvislosti s touto Smlouvou se považuje vedle doručení prostřednictvím datové schránky nebo doporučenou poštou na adresu uvedenou v záhlaví této Smlouvy také zaslání na e-mailové adresy výše uvedených oprávněných osob. Ustanovení čl.</w:t>
      </w:r>
      <w:r w:rsidR="00A20639">
        <w:rPr>
          <w:rFonts w:ascii="Arial" w:eastAsia="Arial" w:hAnsi="Arial" w:cs="Arial"/>
          <w:color w:val="000000"/>
          <w:sz w:val="20"/>
          <w:szCs w:val="20"/>
        </w:rPr>
        <w:t xml:space="preserve"> </w:t>
      </w:r>
      <w:r w:rsidR="00A20639">
        <w:rPr>
          <w:rFonts w:ascii="Arial" w:eastAsia="Arial" w:hAnsi="Arial" w:cs="Arial"/>
          <w:color w:val="000000"/>
          <w:sz w:val="20"/>
          <w:szCs w:val="20"/>
        </w:rPr>
        <w:fldChar w:fldCharType="begin"/>
      </w:r>
      <w:r w:rsidR="00A20639">
        <w:rPr>
          <w:rFonts w:ascii="Arial" w:eastAsia="Arial" w:hAnsi="Arial" w:cs="Arial"/>
          <w:color w:val="000000"/>
          <w:sz w:val="20"/>
          <w:szCs w:val="20"/>
        </w:rPr>
        <w:instrText xml:space="preserve"> REF _Ref217308975 \r \h </w:instrText>
      </w:r>
      <w:r w:rsidR="00A20639">
        <w:rPr>
          <w:rFonts w:ascii="Arial" w:eastAsia="Arial" w:hAnsi="Arial" w:cs="Arial"/>
          <w:color w:val="000000"/>
          <w:sz w:val="20"/>
          <w:szCs w:val="20"/>
        </w:rPr>
      </w:r>
      <w:r w:rsidR="00A20639">
        <w:rPr>
          <w:rFonts w:ascii="Arial" w:eastAsia="Arial" w:hAnsi="Arial" w:cs="Arial"/>
          <w:color w:val="000000"/>
          <w:sz w:val="20"/>
          <w:szCs w:val="20"/>
        </w:rPr>
        <w:fldChar w:fldCharType="separate"/>
      </w:r>
      <w:r w:rsidR="00A20639">
        <w:rPr>
          <w:rFonts w:ascii="Arial" w:eastAsia="Arial" w:hAnsi="Arial" w:cs="Arial"/>
          <w:color w:val="000000"/>
          <w:sz w:val="20"/>
          <w:szCs w:val="20"/>
        </w:rPr>
        <w:t>11.12</w:t>
      </w:r>
      <w:r w:rsidR="00A20639">
        <w:rPr>
          <w:rFonts w:ascii="Arial" w:eastAsia="Arial" w:hAnsi="Arial" w:cs="Arial"/>
          <w:color w:val="000000"/>
          <w:sz w:val="20"/>
          <w:szCs w:val="20"/>
        </w:rPr>
        <w:fldChar w:fldCharType="end"/>
      </w:r>
      <w:r>
        <w:rPr>
          <w:rFonts w:ascii="Arial" w:eastAsia="Arial" w:hAnsi="Arial" w:cs="Arial"/>
          <w:color w:val="000000"/>
          <w:sz w:val="20"/>
          <w:szCs w:val="20"/>
        </w:rPr>
        <w:t xml:space="preserve"> týkající se komunikace v souvislosti s ukončováním této Smlouvy pomocí datových schránek tím není dotčeno</w:t>
      </w:r>
      <w:r w:rsidR="007F3313">
        <w:rPr>
          <w:rFonts w:ascii="Arial" w:eastAsia="Arial" w:hAnsi="Arial" w:cs="Arial"/>
          <w:color w:val="000000"/>
          <w:sz w:val="20"/>
          <w:szCs w:val="20"/>
        </w:rPr>
        <w:t>, pokud se Strany nedohodnou, že v konkrétním případě akceptují i doručení na e-mailové adresy výše uvedených oprávněných osob</w:t>
      </w:r>
      <w:r>
        <w:rPr>
          <w:rFonts w:ascii="Arial" w:eastAsia="Arial" w:hAnsi="Arial" w:cs="Arial"/>
          <w:color w:val="000000"/>
          <w:sz w:val="20"/>
          <w:szCs w:val="20"/>
        </w:rPr>
        <w:t>.</w:t>
      </w:r>
      <w:r w:rsidR="007F3313">
        <w:rPr>
          <w:rFonts w:ascii="Arial" w:eastAsia="Arial" w:hAnsi="Arial" w:cs="Arial"/>
          <w:color w:val="000000"/>
          <w:sz w:val="20"/>
          <w:szCs w:val="20"/>
        </w:rPr>
        <w:t xml:space="preserve"> </w:t>
      </w:r>
      <w:r>
        <w:rPr>
          <w:rFonts w:ascii="Arial" w:eastAsia="Arial" w:hAnsi="Arial" w:cs="Arial"/>
          <w:color w:val="000000"/>
          <w:sz w:val="20"/>
          <w:szCs w:val="20"/>
        </w:rPr>
        <w:t>Bude-li doručováno doporučenou poštou, má se písemnost za</w:t>
      </w:r>
      <w:r w:rsidR="00A20639">
        <w:rPr>
          <w:rFonts w:ascii="Arial" w:eastAsia="Arial" w:hAnsi="Arial" w:cs="Arial"/>
          <w:color w:val="000000"/>
          <w:sz w:val="20"/>
          <w:szCs w:val="20"/>
        </w:rPr>
        <w:t> </w:t>
      </w:r>
      <w:r>
        <w:rPr>
          <w:rFonts w:ascii="Arial" w:eastAsia="Arial" w:hAnsi="Arial" w:cs="Arial"/>
          <w:color w:val="000000"/>
          <w:sz w:val="20"/>
          <w:szCs w:val="20"/>
        </w:rPr>
        <w:t xml:space="preserve">doručenou desátým (10.) dnem ode dne odeslání, pokud si adresát zásilku nevyzvedne dříve.  </w:t>
      </w:r>
    </w:p>
    <w:p w14:paraId="112E8A09" w14:textId="77777777" w:rsidR="0026214B" w:rsidRDefault="0026214B" w:rsidP="0026214B">
      <w:pPr>
        <w:pBdr>
          <w:top w:val="nil"/>
          <w:left w:val="nil"/>
          <w:bottom w:val="nil"/>
          <w:right w:val="nil"/>
          <w:between w:val="nil"/>
        </w:pBdr>
        <w:spacing w:line="276" w:lineRule="auto"/>
        <w:jc w:val="both"/>
        <w:rPr>
          <w:rFonts w:ascii="Arial" w:eastAsia="Arial" w:hAnsi="Arial" w:cs="Arial"/>
          <w:color w:val="000000"/>
          <w:sz w:val="20"/>
          <w:szCs w:val="20"/>
        </w:rPr>
      </w:pPr>
    </w:p>
    <w:p w14:paraId="50D5952F" w14:textId="47BBF839" w:rsidR="00175781" w:rsidRDefault="00D26B9F" w:rsidP="0026214B">
      <w:p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 </w:t>
      </w:r>
    </w:p>
    <w:p w14:paraId="2CC911E7" w14:textId="77777777" w:rsidR="00175781" w:rsidRDefault="00175781">
      <w:pPr>
        <w:pBdr>
          <w:top w:val="nil"/>
          <w:left w:val="nil"/>
          <w:bottom w:val="nil"/>
          <w:right w:val="nil"/>
          <w:between w:val="nil"/>
        </w:pBdr>
        <w:spacing w:line="276" w:lineRule="auto"/>
        <w:ind w:left="851"/>
        <w:jc w:val="both"/>
        <w:rPr>
          <w:rFonts w:ascii="Arial" w:eastAsia="Arial" w:hAnsi="Arial" w:cs="Arial"/>
          <w:color w:val="000000"/>
          <w:sz w:val="20"/>
          <w:szCs w:val="20"/>
        </w:rPr>
      </w:pPr>
    </w:p>
    <w:p w14:paraId="38C09EFD" w14:textId="77777777" w:rsidR="00175781" w:rsidRDefault="00D26B9F">
      <w:pPr>
        <w:numPr>
          <w:ilvl w:val="0"/>
          <w:numId w:val="2"/>
        </w:numPr>
        <w:pBdr>
          <w:top w:val="nil"/>
          <w:left w:val="nil"/>
          <w:bottom w:val="nil"/>
          <w:right w:val="nil"/>
          <w:between w:val="nil"/>
        </w:pBdr>
        <w:spacing w:after="200" w:line="276" w:lineRule="auto"/>
        <w:jc w:val="both"/>
        <w:rPr>
          <w:rFonts w:ascii="Arial" w:eastAsia="Arial" w:hAnsi="Arial" w:cs="Arial"/>
          <w:color w:val="000000"/>
          <w:sz w:val="20"/>
          <w:szCs w:val="20"/>
        </w:rPr>
      </w:pPr>
      <w:bookmarkStart w:id="43" w:name="_qwsvxvg4y6g2" w:colFirst="0" w:colLast="0"/>
      <w:bookmarkStart w:id="44" w:name="_Ref217306868"/>
      <w:bookmarkEnd w:id="43"/>
      <w:r>
        <w:rPr>
          <w:rFonts w:ascii="Arial" w:eastAsia="Arial" w:hAnsi="Arial" w:cs="Arial"/>
          <w:b/>
          <w:bCs/>
          <w:color w:val="000000"/>
          <w:sz w:val="20"/>
          <w:szCs w:val="20"/>
        </w:rPr>
        <w:lastRenderedPageBreak/>
        <w:t>OCHRANA OSOBNÍCH ÚDAJŮ</w:t>
      </w:r>
      <w:bookmarkEnd w:id="44"/>
    </w:p>
    <w:p w14:paraId="50A0221B" w14:textId="6E1DE596"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Strany jsou si vědomy existence nařízení Evropského </w:t>
      </w:r>
      <w:r w:rsidR="004700EB">
        <w:rPr>
          <w:rFonts w:ascii="Arial" w:eastAsia="Arial" w:hAnsi="Arial" w:cs="Arial"/>
          <w:color w:val="000000"/>
          <w:sz w:val="20"/>
          <w:szCs w:val="20"/>
        </w:rPr>
        <w:t>p</w:t>
      </w:r>
      <w:r>
        <w:rPr>
          <w:rFonts w:ascii="Arial" w:eastAsia="Arial" w:hAnsi="Arial" w:cs="Arial"/>
          <w:color w:val="000000"/>
          <w:sz w:val="20"/>
          <w:szCs w:val="20"/>
        </w:rPr>
        <w:t>arlamentu a Rady (EU) 2016/679 ze dne 27. dubna 2016 o ochraně fyzických osob v souvislosti se zpracováním osobních údajů a o volném pohybu těchto údajů („</w:t>
      </w:r>
      <w:r>
        <w:rPr>
          <w:rFonts w:ascii="Arial" w:eastAsia="Arial" w:hAnsi="Arial" w:cs="Arial"/>
          <w:b/>
          <w:bCs/>
          <w:color w:val="000000"/>
          <w:sz w:val="20"/>
          <w:szCs w:val="20"/>
        </w:rPr>
        <w:t>GDPR</w:t>
      </w:r>
      <w:r>
        <w:rPr>
          <w:rFonts w:ascii="Arial" w:eastAsia="Arial" w:hAnsi="Arial" w:cs="Arial"/>
          <w:color w:val="000000"/>
          <w:sz w:val="20"/>
          <w:szCs w:val="20"/>
        </w:rPr>
        <w:t>“) a zákona č. 110/2019 Sb., o zpracování osobních údajů, ve znění pozdějších předpisů („</w:t>
      </w:r>
      <w:r>
        <w:rPr>
          <w:rFonts w:ascii="Arial" w:eastAsia="Arial" w:hAnsi="Arial" w:cs="Arial"/>
          <w:b/>
          <w:bCs/>
          <w:color w:val="000000"/>
          <w:sz w:val="20"/>
          <w:szCs w:val="20"/>
        </w:rPr>
        <w:t>ZZOU</w:t>
      </w:r>
      <w:r>
        <w:rPr>
          <w:rFonts w:ascii="Arial" w:eastAsia="Arial" w:hAnsi="Arial" w:cs="Arial"/>
          <w:color w:val="000000"/>
          <w:sz w:val="20"/>
          <w:szCs w:val="20"/>
        </w:rPr>
        <w:t>“), které upravují všechny významné okolnosti při nakládání s osobními údaji.</w:t>
      </w:r>
    </w:p>
    <w:p w14:paraId="2A49499D"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Provozovatel zpracovává v souvislosti s plněním této Smlouvy osobní údaje třetích osob, tj. koncových uživatelů, alespoň v rozsahu:</w:t>
      </w:r>
    </w:p>
    <w:p w14:paraId="5899E3C6" w14:textId="77777777" w:rsidR="00175781" w:rsidRDefault="00D26B9F">
      <w:pPr>
        <w:numPr>
          <w:ilvl w:val="0"/>
          <w:numId w:val="11"/>
        </w:numPr>
        <w:pBdr>
          <w:top w:val="nil"/>
          <w:left w:val="nil"/>
          <w:bottom w:val="nil"/>
          <w:right w:val="nil"/>
          <w:between w:val="nil"/>
        </w:pBdr>
        <w:spacing w:before="200" w:line="276" w:lineRule="auto"/>
        <w:jc w:val="both"/>
        <w:rPr>
          <w:color w:val="000000"/>
          <w:sz w:val="20"/>
          <w:szCs w:val="20"/>
        </w:rPr>
      </w:pPr>
      <w:r>
        <w:rPr>
          <w:rFonts w:ascii="Arial" w:eastAsia="Arial" w:hAnsi="Arial" w:cs="Arial"/>
          <w:color w:val="000000"/>
          <w:sz w:val="20"/>
          <w:szCs w:val="20"/>
        </w:rPr>
        <w:t>identifikační údaje koncového uživatele (</w:t>
      </w:r>
      <w:r>
        <w:rPr>
          <w:rFonts w:ascii="Arial" w:eastAsia="Arial" w:hAnsi="Arial" w:cs="Arial"/>
          <w:sz w:val="20"/>
          <w:szCs w:val="20"/>
        </w:rPr>
        <w:t>ID uživatele)</w:t>
      </w:r>
      <w:r>
        <w:rPr>
          <w:rFonts w:ascii="Arial" w:eastAsia="Arial" w:hAnsi="Arial" w:cs="Arial"/>
          <w:color w:val="000000"/>
          <w:sz w:val="20"/>
          <w:szCs w:val="20"/>
        </w:rPr>
        <w:t>,</w:t>
      </w:r>
    </w:p>
    <w:p w14:paraId="22C417AC" w14:textId="77777777" w:rsidR="00175781" w:rsidRDefault="00D26B9F">
      <w:pPr>
        <w:numPr>
          <w:ilvl w:val="0"/>
          <w:numId w:val="11"/>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začátek užívání Vozidla – datum, hodina, minuta, lokalita, ID Vozidla,</w:t>
      </w:r>
    </w:p>
    <w:p w14:paraId="57CCD4CF" w14:textId="0D73F033" w:rsidR="00175781" w:rsidRDefault="00D26B9F">
      <w:pPr>
        <w:numPr>
          <w:ilvl w:val="0"/>
          <w:numId w:val="11"/>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konec užívání Vozidla – datum, hodina, minuta, lokalita, ID Vozidla</w:t>
      </w:r>
      <w:r w:rsidR="00A20639">
        <w:rPr>
          <w:rFonts w:ascii="Arial" w:eastAsia="Arial" w:hAnsi="Arial" w:cs="Arial"/>
          <w:color w:val="000000"/>
          <w:sz w:val="20"/>
          <w:szCs w:val="20"/>
        </w:rPr>
        <w:t>,</w:t>
      </w:r>
    </w:p>
    <w:p w14:paraId="680CF34C" w14:textId="3BA1F79F" w:rsidR="00175781" w:rsidRDefault="00D26B9F">
      <w:pPr>
        <w:numPr>
          <w:ilvl w:val="0"/>
          <w:numId w:val="11"/>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sledování pohybu užívaného Vozidla (bude-li to možné, vždy však u Elektrokol</w:t>
      </w:r>
      <w:r>
        <w:rPr>
          <w:rFonts w:ascii="Arial" w:eastAsia="Arial" w:hAnsi="Arial" w:cs="Arial"/>
          <w:sz w:val="20"/>
          <w:szCs w:val="20"/>
        </w:rPr>
        <w:t>)</w:t>
      </w:r>
      <w:r w:rsidR="00A20639">
        <w:rPr>
          <w:rFonts w:ascii="Arial" w:eastAsia="Arial" w:hAnsi="Arial" w:cs="Arial"/>
          <w:color w:val="000000"/>
          <w:sz w:val="20"/>
          <w:szCs w:val="20"/>
        </w:rPr>
        <w:t>.</w:t>
      </w:r>
    </w:p>
    <w:p w14:paraId="53DE8C3D" w14:textId="77777777" w:rsidR="00175781" w:rsidRDefault="00175781">
      <w:pPr>
        <w:pBdr>
          <w:top w:val="nil"/>
          <w:left w:val="nil"/>
          <w:bottom w:val="nil"/>
          <w:right w:val="nil"/>
          <w:between w:val="nil"/>
        </w:pBdr>
        <w:spacing w:line="276" w:lineRule="auto"/>
        <w:ind w:left="1152"/>
        <w:jc w:val="both"/>
        <w:rPr>
          <w:rFonts w:ascii="Arial" w:eastAsia="Arial" w:hAnsi="Arial" w:cs="Arial"/>
          <w:color w:val="000000"/>
          <w:sz w:val="20"/>
          <w:szCs w:val="20"/>
        </w:rPr>
      </w:pPr>
    </w:p>
    <w:p w14:paraId="1BB6F400" w14:textId="4FA56AFF"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Z pohledu GDPR a ZZOU je Provozovatel v postavení správce osobních údajů ve smyslu čl. 4 odst. 7 GDPR. TSK osobní údaje koncových uživatelů nezpracovává, tj. tato Smlouva nezakládá oprávnění TSK provádět jakékoli operace nebo soubor operací s osobními údaji koncových uživatelů.</w:t>
      </w:r>
    </w:p>
    <w:p w14:paraId="54BB76CB" w14:textId="1806A97B"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Provozovatel se zavazuje dodržovat GDPR a ZZOU, a to včetně povinností v oblasti řízení rizik (např. vypracování posouzení vlivu zpracování na ochranu osobních údajů ve smyslu čl. 35 GDPR, bude-li to</w:t>
      </w:r>
      <w:r w:rsidR="00F13538">
        <w:rPr>
          <w:rFonts w:ascii="Arial" w:eastAsia="Arial" w:hAnsi="Arial" w:cs="Arial"/>
          <w:color w:val="000000"/>
          <w:sz w:val="20"/>
          <w:szCs w:val="20"/>
        </w:rPr>
        <w:t> </w:t>
      </w:r>
      <w:r>
        <w:rPr>
          <w:rFonts w:ascii="Arial" w:eastAsia="Arial" w:hAnsi="Arial" w:cs="Arial"/>
          <w:color w:val="000000"/>
          <w:sz w:val="20"/>
          <w:szCs w:val="20"/>
        </w:rPr>
        <w:t>s ohledem na charakter zpracovávaných osobních údajů nutné). Provozovatel se dále zavazuje nakládání s osobními údaji koncových uživatelů, které získá v rámci poskytování služeb dle této Smlouvy, reflektovat ve svých interních i externích dokumentech, a to včetně plnění informační povinnosti ve smyslu čl. 13 a čl. 14 GDPR.</w:t>
      </w:r>
    </w:p>
    <w:p w14:paraId="36C93EEF" w14:textId="76989D18"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V případě, že HMP a/nebo TSK nahlíží v souladu s touto Smlouvou do Aplikace Provozovatele za účelem kontroly množství provozovaných Vozidel, umístění Pevných nebo Vyznačených stanovišť a funkčnosti služby sdílených kol, není účelem tohoto nahlížení jakékoliv systematické zpracování osobních údajů koncových uživatelů. Jde o nahodilý přístup k osobním údajům. V tomto případě jsou HMP a TSK povinny zajistit, aby do Aplikace byl oprávněn nahlížet pouze zaměstnanec HMP a/nebo TSK poučený o základních okolnostech této Smlouvy a o všech významných okolnostech nakládání s osobními údaji, na které může v</w:t>
      </w:r>
      <w:r w:rsidR="006F13B3">
        <w:rPr>
          <w:rFonts w:ascii="Arial" w:eastAsia="Arial" w:hAnsi="Arial" w:cs="Arial"/>
          <w:color w:val="000000"/>
          <w:sz w:val="20"/>
          <w:szCs w:val="20"/>
        </w:rPr>
        <w:t> </w:t>
      </w:r>
      <w:r>
        <w:rPr>
          <w:rFonts w:ascii="Arial" w:eastAsia="Arial" w:hAnsi="Arial" w:cs="Arial"/>
          <w:color w:val="000000"/>
          <w:sz w:val="20"/>
          <w:szCs w:val="20"/>
        </w:rPr>
        <w:t>Aplikaci nahlédnout, a o povinnosti jejich ochrany.</w:t>
      </w:r>
    </w:p>
    <w:p w14:paraId="618033F5" w14:textId="78A6DB99"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HMP a/nebo TSK jsou povinny zajistit, aby se pracovník, který bude oprávněný k nahlížení do Aplikace Provozovatele dle této Smlouvy, zavázal k mlčenlivosti o všech skutečnostech, které nejsou nezbytné pro naplnění účelů nahlížení, tj. kontroly množství provozovaných Vozidel, umístění Pevných a Vyznačených stanovišť a funkčnosti služby sdílených kol. Mlčenlivost dle předchozí věty jsou HMP a/nebo TSK povinny zajistit i poté, co pracovník HMP a/nebo TSK oprávněný nahlížet do Aplikace Provozovatele práci pro HMP a/nebo TSK ukončí</w:t>
      </w:r>
      <w:r w:rsidR="00425047">
        <w:rPr>
          <w:rFonts w:ascii="Arial" w:eastAsia="Arial" w:hAnsi="Arial" w:cs="Arial"/>
          <w:color w:val="000000"/>
          <w:sz w:val="20"/>
          <w:szCs w:val="20"/>
        </w:rPr>
        <w:t>.</w:t>
      </w:r>
    </w:p>
    <w:p w14:paraId="0E5635BE" w14:textId="57CF963B"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Strany jsou si vědomy, že kromě údajů třetích stran potřebných k plnění této Smlouvy budou zpracovávat též osobní údaje kontaktních osob uvedených v této Smlouvě, popř. navzájem dalších svých zaměstnanců či pracovníků v obdobném postavení. Strany se zavazují s osobními údaji druhé Strany zacházet tak, aby tyto osobní údaje nebyly ohroženy, změněny, zničeny, neoprávněně zpřístupněny či jiným způsobem nebyla porušena jejich náležitá ochrana dle GDPR, ZZOU a souvisejících předpisů</w:t>
      </w:r>
      <w:r w:rsidR="00F04641">
        <w:rPr>
          <w:rFonts w:ascii="Arial" w:eastAsia="Arial" w:hAnsi="Arial" w:cs="Arial"/>
          <w:color w:val="000000"/>
          <w:sz w:val="20"/>
          <w:szCs w:val="20"/>
        </w:rPr>
        <w:t>,</w:t>
      </w:r>
      <w:r>
        <w:rPr>
          <w:rFonts w:ascii="Arial" w:eastAsia="Arial" w:hAnsi="Arial" w:cs="Arial"/>
          <w:color w:val="000000"/>
          <w:sz w:val="20"/>
          <w:szCs w:val="20"/>
        </w:rPr>
        <w:t xml:space="preserve"> a zavazují se přijmout vhodná technická opatření nutná k jejich ochraně.</w:t>
      </w:r>
    </w:p>
    <w:p w14:paraId="1C58778B" w14:textId="77777777" w:rsidR="00175781" w:rsidRDefault="00D26B9F">
      <w:pPr>
        <w:numPr>
          <w:ilvl w:val="0"/>
          <w:numId w:val="2"/>
        </w:numPr>
        <w:pBdr>
          <w:top w:val="nil"/>
          <w:left w:val="nil"/>
          <w:bottom w:val="nil"/>
          <w:right w:val="nil"/>
          <w:between w:val="nil"/>
        </w:pBdr>
        <w:spacing w:after="200" w:line="276" w:lineRule="auto"/>
        <w:jc w:val="both"/>
        <w:rPr>
          <w:rFonts w:ascii="Arial" w:eastAsia="Arial" w:hAnsi="Arial" w:cs="Arial"/>
          <w:b/>
          <w:bCs/>
          <w:color w:val="000000"/>
          <w:sz w:val="20"/>
          <w:szCs w:val="20"/>
        </w:rPr>
      </w:pPr>
      <w:r>
        <w:rPr>
          <w:rFonts w:ascii="Arial" w:eastAsia="Arial" w:hAnsi="Arial" w:cs="Arial"/>
          <w:b/>
          <w:bCs/>
          <w:color w:val="000000"/>
          <w:sz w:val="20"/>
          <w:szCs w:val="20"/>
        </w:rPr>
        <w:t>PŘECHODNÁ USTANOVENÍ</w:t>
      </w:r>
    </w:p>
    <w:p w14:paraId="08EEC7D9" w14:textId="03B122BA" w:rsidR="00175781" w:rsidRDefault="00D26B9F">
      <w:pPr>
        <w:numPr>
          <w:ilvl w:val="1"/>
          <w:numId w:val="2"/>
        </w:numPr>
        <w:pBdr>
          <w:top w:val="nil"/>
          <w:left w:val="nil"/>
          <w:bottom w:val="nil"/>
          <w:right w:val="nil"/>
          <w:between w:val="nil"/>
        </w:pBdr>
        <w:spacing w:after="200" w:line="276" w:lineRule="auto"/>
        <w:ind w:left="993" w:hanging="567"/>
        <w:jc w:val="both"/>
        <w:rPr>
          <w:rFonts w:ascii="Arial" w:eastAsia="Arial" w:hAnsi="Arial" w:cs="Arial"/>
          <w:color w:val="000000"/>
          <w:sz w:val="20"/>
          <w:szCs w:val="20"/>
        </w:rPr>
      </w:pPr>
      <w:r>
        <w:rPr>
          <w:rFonts w:ascii="Arial" w:eastAsia="Arial" w:hAnsi="Arial" w:cs="Arial"/>
          <w:color w:val="000000"/>
          <w:sz w:val="20"/>
          <w:szCs w:val="20"/>
        </w:rPr>
        <w:t xml:space="preserve">Nebude-li ke dni </w:t>
      </w:r>
      <w:r w:rsidR="007F3313">
        <w:rPr>
          <w:rFonts w:ascii="Arial" w:eastAsia="Arial" w:hAnsi="Arial" w:cs="Arial"/>
          <w:color w:val="000000"/>
          <w:sz w:val="20"/>
          <w:szCs w:val="20"/>
        </w:rPr>
        <w:t xml:space="preserve">účinnosti </w:t>
      </w:r>
      <w:r>
        <w:rPr>
          <w:rFonts w:ascii="Arial" w:eastAsia="Arial" w:hAnsi="Arial" w:cs="Arial"/>
          <w:color w:val="000000"/>
          <w:sz w:val="20"/>
          <w:szCs w:val="20"/>
        </w:rPr>
        <w:t xml:space="preserve">této Smlouvy zcela funkční technické řešení Jednotného datového standardu MDS, potom se ustanovení této Smlouvy v rozsahu, ve kterém na něj odkazují, nepoužijí. Strany vyvinou </w:t>
      </w:r>
      <w:r>
        <w:rPr>
          <w:rFonts w:ascii="Arial" w:eastAsia="Arial" w:hAnsi="Arial" w:cs="Arial"/>
          <w:color w:val="000000"/>
          <w:sz w:val="20"/>
          <w:szCs w:val="20"/>
        </w:rPr>
        <w:lastRenderedPageBreak/>
        <w:t>maximální snahu o dočasné nahrazení Jednotného datového standardu MDS jinou vhodnou elektronickou cestou. Případné náklady související s dočasným nahrazením Jednotného datového standardu MDS nesou Strany na vlastní účet.</w:t>
      </w:r>
    </w:p>
    <w:p w14:paraId="4B7573B9" w14:textId="51C340A8" w:rsidR="00175781" w:rsidRDefault="00D26B9F">
      <w:pPr>
        <w:numPr>
          <w:ilvl w:val="1"/>
          <w:numId w:val="2"/>
        </w:numPr>
        <w:pBdr>
          <w:top w:val="nil"/>
          <w:left w:val="nil"/>
          <w:bottom w:val="nil"/>
          <w:right w:val="nil"/>
          <w:between w:val="nil"/>
        </w:pBdr>
        <w:spacing w:after="200" w:line="276" w:lineRule="auto"/>
        <w:ind w:left="993" w:hanging="567"/>
        <w:jc w:val="both"/>
        <w:rPr>
          <w:rFonts w:ascii="Arial" w:eastAsia="Arial" w:hAnsi="Arial" w:cs="Arial"/>
          <w:color w:val="000000"/>
          <w:sz w:val="20"/>
          <w:szCs w:val="20"/>
        </w:rPr>
      </w:pPr>
      <w:r>
        <w:rPr>
          <w:rFonts w:ascii="Arial" w:eastAsia="Arial" w:hAnsi="Arial" w:cs="Arial"/>
          <w:color w:val="000000"/>
          <w:sz w:val="20"/>
          <w:szCs w:val="20"/>
        </w:rPr>
        <w:t>Strany se dohodly, že od okamžiku, kdy bude Jednotný datový standard MDS zcela funkční pro použití dle této Smlouvy, uzavřou do jednoho měsíce dohodu o termínu, od kterého jej začnou používat. Bez ohledu na to však platí, že Jednotný datový standard MDS začne být mezi Stranami používán nejpozději do</w:t>
      </w:r>
      <w:r w:rsidR="00653E1D">
        <w:rPr>
          <w:rFonts w:ascii="Arial" w:eastAsia="Arial" w:hAnsi="Arial" w:cs="Arial"/>
          <w:color w:val="000000"/>
          <w:sz w:val="20"/>
          <w:szCs w:val="20"/>
        </w:rPr>
        <w:t> </w:t>
      </w:r>
      <w:r>
        <w:rPr>
          <w:rFonts w:ascii="Arial" w:eastAsia="Arial" w:hAnsi="Arial" w:cs="Arial"/>
          <w:sz w:val="20"/>
          <w:szCs w:val="20"/>
        </w:rPr>
        <w:t>dvanácti</w:t>
      </w:r>
      <w:r>
        <w:rPr>
          <w:rFonts w:ascii="Arial" w:eastAsia="Arial" w:hAnsi="Arial" w:cs="Arial"/>
          <w:color w:val="000000"/>
          <w:sz w:val="20"/>
          <w:szCs w:val="20"/>
        </w:rPr>
        <w:t xml:space="preserve"> (</w:t>
      </w:r>
      <w:r>
        <w:rPr>
          <w:rFonts w:ascii="Arial" w:eastAsia="Arial" w:hAnsi="Arial" w:cs="Arial"/>
          <w:sz w:val="20"/>
          <w:szCs w:val="20"/>
        </w:rPr>
        <w:t>12</w:t>
      </w:r>
      <w:r>
        <w:rPr>
          <w:rFonts w:ascii="Arial" w:eastAsia="Arial" w:hAnsi="Arial" w:cs="Arial"/>
          <w:color w:val="000000"/>
          <w:sz w:val="20"/>
          <w:szCs w:val="20"/>
        </w:rPr>
        <w:t>) měsíců od chvíle, kdy bude pro účely použití dle této Smlouvy zcela funkční. Do té doby se postupuje jinou vhodnou elektronickou cestou.</w:t>
      </w:r>
    </w:p>
    <w:p w14:paraId="73E55A45" w14:textId="4360813A" w:rsidR="00175781" w:rsidRDefault="00D26B9F">
      <w:pPr>
        <w:numPr>
          <w:ilvl w:val="1"/>
          <w:numId w:val="2"/>
        </w:numPr>
        <w:pBdr>
          <w:top w:val="nil"/>
          <w:left w:val="nil"/>
          <w:bottom w:val="nil"/>
          <w:right w:val="nil"/>
          <w:between w:val="nil"/>
        </w:pBdr>
        <w:spacing w:after="200" w:line="276" w:lineRule="auto"/>
        <w:ind w:left="993" w:hanging="567"/>
        <w:jc w:val="both"/>
        <w:rPr>
          <w:rFonts w:ascii="Arial" w:eastAsia="Arial" w:hAnsi="Arial" w:cs="Arial"/>
          <w:color w:val="000000"/>
          <w:sz w:val="20"/>
          <w:szCs w:val="20"/>
        </w:rPr>
      </w:pPr>
      <w:r>
        <w:rPr>
          <w:rFonts w:ascii="Arial" w:eastAsia="Arial" w:hAnsi="Arial" w:cs="Arial"/>
          <w:color w:val="000000"/>
          <w:sz w:val="20"/>
          <w:szCs w:val="20"/>
        </w:rPr>
        <w:t>HMP je oprávněna požadovat, aby se Provozovatel účastnil pilotního provozu Jednotného datového standardu před tím, než bude zcela funkční a připravený pro ostré použití. Provozovatel je povinen žádosti HMP vyhovět.</w:t>
      </w:r>
      <w:r w:rsidR="00A327FD">
        <w:rPr>
          <w:rFonts w:ascii="Arial" w:eastAsia="Arial" w:hAnsi="Arial" w:cs="Arial"/>
          <w:color w:val="000000"/>
          <w:sz w:val="20"/>
          <w:szCs w:val="20"/>
        </w:rPr>
        <w:t xml:space="preserve"> </w:t>
      </w:r>
      <w:bookmarkStart w:id="45" w:name="_Hlk217388911"/>
      <w:r w:rsidR="00A327FD">
        <w:rPr>
          <w:rFonts w:ascii="Arial" w:eastAsia="Arial" w:hAnsi="Arial" w:cs="Arial"/>
          <w:color w:val="000000"/>
          <w:sz w:val="20"/>
          <w:szCs w:val="20"/>
        </w:rPr>
        <w:t xml:space="preserve">Platí, že </w:t>
      </w:r>
      <w:r w:rsidR="00A327FD" w:rsidRPr="00A327FD">
        <w:rPr>
          <w:rFonts w:ascii="Arial" w:eastAsia="Arial" w:hAnsi="Arial" w:cs="Arial"/>
          <w:color w:val="000000"/>
          <w:sz w:val="20"/>
          <w:szCs w:val="20"/>
        </w:rPr>
        <w:t>HMP automaticky požádalo o účast v pilotního provozu Jednotného datového standardu MDS všechny Provozovatele, kteří přistoupili ke smlouvě do 1.2.2026</w:t>
      </w:r>
      <w:bookmarkEnd w:id="45"/>
      <w:r w:rsidR="00A327FD" w:rsidRPr="00A327FD">
        <w:rPr>
          <w:rFonts w:ascii="Arial" w:eastAsia="Arial" w:hAnsi="Arial" w:cs="Arial"/>
          <w:color w:val="000000"/>
          <w:sz w:val="20"/>
          <w:szCs w:val="20"/>
        </w:rPr>
        <w:t>.</w:t>
      </w:r>
      <w:r>
        <w:rPr>
          <w:rFonts w:ascii="Arial" w:eastAsia="Arial" w:hAnsi="Arial" w:cs="Arial"/>
          <w:color w:val="000000"/>
          <w:sz w:val="20"/>
          <w:szCs w:val="20"/>
        </w:rPr>
        <w:t xml:space="preserve">    </w:t>
      </w:r>
    </w:p>
    <w:p w14:paraId="40C4EFA5" w14:textId="4A944419" w:rsidR="00175781" w:rsidRDefault="00D26B9F">
      <w:pPr>
        <w:numPr>
          <w:ilvl w:val="1"/>
          <w:numId w:val="2"/>
        </w:numPr>
        <w:pBdr>
          <w:top w:val="nil"/>
          <w:left w:val="nil"/>
          <w:bottom w:val="nil"/>
          <w:right w:val="nil"/>
          <w:between w:val="nil"/>
        </w:pBdr>
        <w:spacing w:after="200" w:line="276" w:lineRule="auto"/>
        <w:ind w:left="993" w:hanging="567"/>
        <w:jc w:val="both"/>
        <w:rPr>
          <w:rFonts w:ascii="Arial" w:eastAsia="Arial" w:hAnsi="Arial" w:cs="Arial"/>
          <w:color w:val="000000"/>
          <w:sz w:val="20"/>
          <w:szCs w:val="20"/>
        </w:rPr>
      </w:pPr>
      <w:r>
        <w:rPr>
          <w:rFonts w:ascii="Arial" w:eastAsia="Arial" w:hAnsi="Arial" w:cs="Arial"/>
          <w:color w:val="000000"/>
          <w:sz w:val="20"/>
          <w:szCs w:val="20"/>
        </w:rPr>
        <w:t xml:space="preserve">Do doby zavedení jednotného nového značení Pevných a Vyznačených stanovišť </w:t>
      </w:r>
      <w:r>
        <w:rPr>
          <w:rFonts w:ascii="Arial" w:eastAsia="Arial" w:hAnsi="Arial" w:cs="Arial"/>
          <w:sz w:val="20"/>
          <w:szCs w:val="20"/>
        </w:rPr>
        <w:t>(tj. zavedení alespoň 90</w:t>
      </w:r>
      <w:r w:rsidR="00F11BFC">
        <w:rPr>
          <w:rFonts w:ascii="Arial" w:eastAsia="Arial" w:hAnsi="Arial" w:cs="Arial"/>
          <w:sz w:val="20"/>
          <w:szCs w:val="20"/>
        </w:rPr>
        <w:t> </w:t>
      </w:r>
      <w:r>
        <w:rPr>
          <w:rFonts w:ascii="Arial" w:eastAsia="Arial" w:hAnsi="Arial" w:cs="Arial"/>
          <w:sz w:val="20"/>
          <w:szCs w:val="20"/>
        </w:rPr>
        <w:t xml:space="preserve">% stanovišť, která jsou ve správě TSK, a které nyní používá, a to v každé MČ zvlášť) </w:t>
      </w:r>
      <w:r>
        <w:rPr>
          <w:rFonts w:ascii="Arial" w:eastAsia="Arial" w:hAnsi="Arial" w:cs="Arial"/>
          <w:color w:val="000000"/>
          <w:sz w:val="20"/>
          <w:szCs w:val="20"/>
        </w:rPr>
        <w:t>může Provozovatel užívat i stávající stanoviště</w:t>
      </w:r>
      <w:r>
        <w:rPr>
          <w:rFonts w:ascii="Arial" w:eastAsia="Arial" w:hAnsi="Arial" w:cs="Arial"/>
          <w:sz w:val="20"/>
          <w:szCs w:val="20"/>
        </w:rPr>
        <w:t xml:space="preserve"> – </w:t>
      </w:r>
      <w:r w:rsidR="007F3313">
        <w:rPr>
          <w:rFonts w:ascii="Arial" w:eastAsia="Arial" w:hAnsi="Arial" w:cs="Arial"/>
          <w:sz w:val="20"/>
          <w:szCs w:val="20"/>
        </w:rPr>
        <w:t>jejich přehled tvoří přílohu č. 1 této Smlouvy.</w:t>
      </w:r>
      <w:r w:rsidR="007F3313">
        <w:rPr>
          <w:rFonts w:ascii="Arial" w:eastAsia="Arial" w:hAnsi="Arial" w:cs="Arial"/>
          <w:color w:val="000000"/>
          <w:sz w:val="20"/>
          <w:szCs w:val="20"/>
        </w:rPr>
        <w:t xml:space="preserve"> Povinnost Provozovatele neumísťovat na stávající stanoviště jiná vozidla</w:t>
      </w:r>
      <w:r w:rsidR="00F11BFC">
        <w:rPr>
          <w:rFonts w:ascii="Arial" w:eastAsia="Arial" w:hAnsi="Arial" w:cs="Arial"/>
          <w:color w:val="000000"/>
          <w:sz w:val="20"/>
          <w:szCs w:val="20"/>
        </w:rPr>
        <w:t xml:space="preserve"> </w:t>
      </w:r>
      <w:r w:rsidR="007F3313">
        <w:rPr>
          <w:rFonts w:ascii="Arial" w:eastAsia="Arial" w:hAnsi="Arial" w:cs="Arial"/>
          <w:color w:val="000000"/>
          <w:sz w:val="20"/>
          <w:szCs w:val="20"/>
        </w:rPr>
        <w:t xml:space="preserve">než </w:t>
      </w:r>
      <w:r>
        <w:rPr>
          <w:rFonts w:ascii="Arial" w:eastAsia="Arial" w:hAnsi="Arial" w:cs="Arial"/>
          <w:color w:val="000000"/>
          <w:sz w:val="20"/>
          <w:szCs w:val="20"/>
        </w:rPr>
        <w:t>výhradně</w:t>
      </w:r>
      <w:r w:rsidR="007F3313">
        <w:rPr>
          <w:rFonts w:ascii="Arial" w:eastAsia="Arial" w:hAnsi="Arial" w:cs="Arial"/>
          <w:color w:val="000000"/>
          <w:sz w:val="20"/>
          <w:szCs w:val="20"/>
        </w:rPr>
        <w:t xml:space="preserve"> </w:t>
      </w:r>
      <w:r>
        <w:rPr>
          <w:rFonts w:ascii="Arial" w:eastAsia="Arial" w:hAnsi="Arial" w:cs="Arial"/>
          <w:color w:val="000000"/>
          <w:sz w:val="20"/>
          <w:szCs w:val="20"/>
        </w:rPr>
        <w:t>Vozidla definovaná touto Smlouvou</w:t>
      </w:r>
      <w:r w:rsidR="007F3313">
        <w:rPr>
          <w:rFonts w:ascii="Arial" w:eastAsia="Arial" w:hAnsi="Arial" w:cs="Arial"/>
          <w:color w:val="000000"/>
          <w:sz w:val="20"/>
          <w:szCs w:val="20"/>
        </w:rPr>
        <w:t xml:space="preserve">, </w:t>
      </w:r>
      <w:r>
        <w:rPr>
          <w:rFonts w:ascii="Arial" w:eastAsia="Arial" w:hAnsi="Arial" w:cs="Arial"/>
          <w:color w:val="000000"/>
          <w:sz w:val="20"/>
          <w:szCs w:val="20"/>
        </w:rPr>
        <w:t>při</w:t>
      </w:r>
      <w:r w:rsidR="00391B3E">
        <w:rPr>
          <w:rFonts w:ascii="Arial" w:eastAsia="Arial" w:hAnsi="Arial" w:cs="Arial"/>
          <w:color w:val="000000"/>
          <w:sz w:val="20"/>
          <w:szCs w:val="20"/>
        </w:rPr>
        <w:t> </w:t>
      </w:r>
      <w:r w:rsidR="007F3313">
        <w:rPr>
          <w:rFonts w:ascii="Arial" w:eastAsia="Arial" w:hAnsi="Arial" w:cs="Arial"/>
          <w:color w:val="000000"/>
          <w:sz w:val="20"/>
          <w:szCs w:val="20"/>
        </w:rPr>
        <w:t xml:space="preserve">současném </w:t>
      </w:r>
      <w:r>
        <w:rPr>
          <w:rFonts w:ascii="Arial" w:eastAsia="Arial" w:hAnsi="Arial" w:cs="Arial"/>
          <w:color w:val="000000"/>
          <w:sz w:val="20"/>
          <w:szCs w:val="20"/>
        </w:rPr>
        <w:t>zachování</w:t>
      </w:r>
      <w:r w:rsidR="007F3313">
        <w:rPr>
          <w:rFonts w:ascii="Arial" w:eastAsia="Arial" w:hAnsi="Arial" w:cs="Arial"/>
          <w:color w:val="000000"/>
          <w:sz w:val="20"/>
          <w:szCs w:val="20"/>
        </w:rPr>
        <w:t xml:space="preserve"> </w:t>
      </w:r>
      <w:r>
        <w:rPr>
          <w:rFonts w:ascii="Arial" w:eastAsia="Arial" w:hAnsi="Arial" w:cs="Arial"/>
          <w:color w:val="000000"/>
          <w:sz w:val="20"/>
          <w:szCs w:val="20"/>
        </w:rPr>
        <w:t>všech práv a povinností dle této Smlouvy</w:t>
      </w:r>
      <w:r w:rsidR="007F3313">
        <w:rPr>
          <w:rFonts w:ascii="Arial" w:eastAsia="Arial" w:hAnsi="Arial" w:cs="Arial"/>
          <w:color w:val="000000"/>
          <w:sz w:val="20"/>
          <w:szCs w:val="20"/>
        </w:rPr>
        <w:t>, tím není nijak dotčena</w:t>
      </w:r>
      <w:r>
        <w:rPr>
          <w:rFonts w:ascii="Arial" w:eastAsia="Arial" w:hAnsi="Arial" w:cs="Arial"/>
          <w:color w:val="000000"/>
          <w:sz w:val="20"/>
          <w:szCs w:val="20"/>
        </w:rPr>
        <w:t xml:space="preserve">. </w:t>
      </w:r>
    </w:p>
    <w:p w14:paraId="5E2A5A0B" w14:textId="77777777" w:rsidR="00175781" w:rsidRDefault="00D26B9F">
      <w:pPr>
        <w:numPr>
          <w:ilvl w:val="0"/>
          <w:numId w:val="2"/>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b/>
          <w:bCs/>
          <w:color w:val="000000"/>
          <w:sz w:val="20"/>
          <w:szCs w:val="20"/>
        </w:rPr>
        <w:t>ZÁVĚREČNÁ USTANOVENÍ</w:t>
      </w:r>
    </w:p>
    <w:p w14:paraId="19CD2E51"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Smlouva se řídí právním řádem České republiky.</w:t>
      </w:r>
    </w:p>
    <w:p w14:paraId="6F76967D" w14:textId="66375DE8"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Strany se zavazují, že veškeré spory vyplývající z realizace, výkladu nebo ukončení této Smlouvy („</w:t>
      </w:r>
      <w:r>
        <w:rPr>
          <w:rFonts w:ascii="Arial" w:eastAsia="Arial" w:hAnsi="Arial" w:cs="Arial"/>
          <w:b/>
          <w:bCs/>
          <w:color w:val="000000"/>
          <w:sz w:val="20"/>
          <w:szCs w:val="20"/>
        </w:rPr>
        <w:t>Spory</w:t>
      </w:r>
      <w:r>
        <w:rPr>
          <w:rFonts w:ascii="Arial" w:eastAsia="Arial" w:hAnsi="Arial" w:cs="Arial"/>
          <w:color w:val="000000"/>
          <w:sz w:val="20"/>
          <w:szCs w:val="20"/>
        </w:rPr>
        <w:t>“) budou řešit, pokud možno, smírnou cestou, a to dohodou. Není-li vyřešení Sporu smírnou cestou možné, může kterákoliv ze Stran podat návrh na vyřešení sporu věcně a místně příslušnému soudu České republiky. Strany výslovně ujednávají místní příslušnost soudu dle sídla HMP a vylučují uzavření rozhodčí doložky ve</w:t>
      </w:r>
      <w:r w:rsidR="009A6180">
        <w:rPr>
          <w:rFonts w:ascii="Arial" w:eastAsia="Arial" w:hAnsi="Arial" w:cs="Arial"/>
          <w:color w:val="000000"/>
          <w:sz w:val="20"/>
          <w:szCs w:val="20"/>
        </w:rPr>
        <w:t> </w:t>
      </w:r>
      <w:r>
        <w:rPr>
          <w:rFonts w:ascii="Arial" w:eastAsia="Arial" w:hAnsi="Arial" w:cs="Arial"/>
          <w:color w:val="000000"/>
          <w:sz w:val="20"/>
          <w:szCs w:val="20"/>
        </w:rPr>
        <w:t>vztahu ke Sporům vzniklým z této Smlouvy.</w:t>
      </w:r>
    </w:p>
    <w:p w14:paraId="33783B0A"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Smlouva je vyhotovena v jazyce českém. V českém nebo slovenském jazyce bude také vedena jakákoliv písemná nebo ústní komunikace mezi HMP, TSK a Provozovatelem. </w:t>
      </w:r>
    </w:p>
    <w:p w14:paraId="267DAB67"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46" w:name="_ezi86t9sqosx" w:colFirst="0" w:colLast="0"/>
      <w:bookmarkEnd w:id="46"/>
      <w:r>
        <w:rPr>
          <w:rFonts w:ascii="Arial" w:eastAsia="Arial" w:hAnsi="Arial" w:cs="Arial"/>
          <w:color w:val="000000"/>
          <w:sz w:val="20"/>
          <w:szCs w:val="20"/>
        </w:rPr>
        <w:t>Smlouva je uzavřena v elektronické podobě (jednom vyhotovení s platností elektronického originálu) při využití uznávaných elektronických podpisů oprávněnými zástupci Stran.</w:t>
      </w:r>
    </w:p>
    <w:p w14:paraId="3E254DCF" w14:textId="751A6FF5"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Veškeré změny a doplnění této Smlouvy vyžadují formu číslovaného písemného dodatku podepsaného </w:t>
      </w:r>
      <w:r w:rsidR="00BD7CEA">
        <w:rPr>
          <w:rFonts w:ascii="Arial" w:eastAsia="Arial" w:hAnsi="Arial" w:cs="Arial"/>
          <w:color w:val="000000"/>
          <w:sz w:val="20"/>
          <w:szCs w:val="20"/>
        </w:rPr>
        <w:t xml:space="preserve">oprávněnými </w:t>
      </w:r>
      <w:r>
        <w:rPr>
          <w:rFonts w:ascii="Arial" w:eastAsia="Arial" w:hAnsi="Arial" w:cs="Arial"/>
          <w:color w:val="000000"/>
          <w:sz w:val="20"/>
          <w:szCs w:val="20"/>
        </w:rPr>
        <w:t>zástupci obou Stran. Případné dodatky jsou rovněž uzavírány v elektronické podobě.</w:t>
      </w:r>
    </w:p>
    <w:p w14:paraId="3826CB4D"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Strany berou na vědomí, že Smlouva (vyjma těch částí Smlouvy nebo jejích příloh, které by obsahovaly obchodní tajemství ve smyslu § 504 Občanského zákoníku) podléhá povinnosti uveřejnění v registru smluv dle zákona č. 340/2015 Sb., o registru smluv, ve znění pozdějších předpisů. Uveřejnění Smlouvy v registru smluv zajistí TSK bez zbytečného odkladu po podpisu oběma Stranami. Smlouva nenabude účinnosti dříve než uveřejněním v registru smluv.</w:t>
      </w:r>
    </w:p>
    <w:p w14:paraId="43521F4A" w14:textId="14EE57FB"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Uveřejněním prostřednictvím registru smluv se rozumí vložení elektronického obrazu textového obsahu Smlouvy v otevřeném a strojově čitelném formátu a rovněž metadat do registru smluv. Zveřejnění podléhají tato metadata: identifikace Stran, vymezení předmětu smlouvy, cena (případně hodnota předmětu smlouvy, lze-li ji určit), datum uzavření Smlouvy. Strany výslovně prohlašují, že informace obsažené v části Smlouvy určené ke zveřejnění v registru smluv včetně metadat neobsahují informace, které nelze poskytnout podle předpisů upravujících svobodný přístup k informacím, a nejsou Stranami označeny za obchodní tajemství</w:t>
      </w:r>
      <w:r w:rsidR="00563DDA">
        <w:rPr>
          <w:rFonts w:ascii="Arial" w:eastAsia="Arial" w:hAnsi="Arial" w:cs="Arial"/>
          <w:color w:val="000000"/>
          <w:sz w:val="20"/>
          <w:szCs w:val="20"/>
        </w:rPr>
        <w:t>.</w:t>
      </w:r>
    </w:p>
    <w:p w14:paraId="40873D50" w14:textId="42B1600C"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V případě, že ke dni </w:t>
      </w:r>
      <w:r w:rsidR="00417F90">
        <w:rPr>
          <w:rFonts w:ascii="Arial" w:eastAsia="Arial" w:hAnsi="Arial" w:cs="Arial"/>
          <w:color w:val="000000"/>
          <w:sz w:val="20"/>
          <w:szCs w:val="20"/>
        </w:rPr>
        <w:t xml:space="preserve">uveřejnění této </w:t>
      </w:r>
      <w:r>
        <w:rPr>
          <w:rFonts w:ascii="Arial" w:eastAsia="Arial" w:hAnsi="Arial" w:cs="Arial"/>
          <w:color w:val="000000"/>
          <w:sz w:val="20"/>
          <w:szCs w:val="20"/>
        </w:rPr>
        <w:t>Smlouvy</w:t>
      </w:r>
      <w:r w:rsidR="00417F90">
        <w:rPr>
          <w:rFonts w:ascii="Arial" w:eastAsia="Arial" w:hAnsi="Arial" w:cs="Arial"/>
          <w:color w:val="000000"/>
          <w:sz w:val="20"/>
          <w:szCs w:val="20"/>
        </w:rPr>
        <w:t xml:space="preserve"> v registru smluv </w:t>
      </w:r>
      <w:r>
        <w:rPr>
          <w:rFonts w:ascii="Arial" w:eastAsia="Arial" w:hAnsi="Arial" w:cs="Arial"/>
          <w:color w:val="000000"/>
          <w:sz w:val="20"/>
          <w:szCs w:val="20"/>
        </w:rPr>
        <w:t>mezi Stranami stále trvají práva a povinnosti založená Memorandem (pokud byl Provozovatel v minulosti jeho signatářem), třebaže by tomu tak bylo jen v podobě běhu výpovědní doby, budou služby sdílení kol poskytovány na základě této Smlouvy.</w:t>
      </w:r>
    </w:p>
    <w:p w14:paraId="1F480154"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Strany tímto prohlašují a potvrzují, že veškerá ustanovení a podmínky Smlouvy byly mezi nimi dohodnuty na základě jejich svobodné, vážné, určité a omylu prosté vůle, nikoliv v tísni či za nápadně nevýhodných podmínek, na důkaz čehož připojují své podpisy.</w:t>
      </w:r>
    </w:p>
    <w:p w14:paraId="2867B022" w14:textId="77777777" w:rsidR="00175781" w:rsidRDefault="00175781">
      <w:pPr>
        <w:spacing w:after="40"/>
        <w:jc w:val="both"/>
        <w:rPr>
          <w:rFonts w:ascii="Arial" w:eastAsia="Arial" w:hAnsi="Arial" w:cs="Arial"/>
          <w:sz w:val="20"/>
          <w:szCs w:val="20"/>
          <w:u w:val="single"/>
        </w:rPr>
      </w:pPr>
    </w:p>
    <w:p w14:paraId="2CDCE02B" w14:textId="5D51C273" w:rsidR="00175781" w:rsidRPr="007F3313" w:rsidRDefault="007F3313">
      <w:pPr>
        <w:spacing w:after="40"/>
        <w:jc w:val="both"/>
        <w:rPr>
          <w:rFonts w:ascii="Arial" w:eastAsia="Arial" w:hAnsi="Arial" w:cs="Arial"/>
          <w:sz w:val="20"/>
          <w:szCs w:val="20"/>
        </w:rPr>
      </w:pPr>
      <w:r w:rsidRPr="007F3313">
        <w:rPr>
          <w:rFonts w:ascii="Arial" w:eastAsia="Arial" w:hAnsi="Arial" w:cs="Arial"/>
          <w:sz w:val="20"/>
          <w:szCs w:val="20"/>
        </w:rPr>
        <w:t>Příloha č. 1 – Přehled stávajících stanovišť</w:t>
      </w:r>
    </w:p>
    <w:p w14:paraId="3090A6F7" w14:textId="77777777" w:rsidR="00175781" w:rsidRDefault="00175781">
      <w:pPr>
        <w:jc w:val="both"/>
        <w:rPr>
          <w:rFonts w:ascii="Arial" w:eastAsia="Arial" w:hAnsi="Arial" w:cs="Arial"/>
          <w:sz w:val="20"/>
          <w:szCs w:val="20"/>
        </w:rPr>
      </w:pPr>
    </w:p>
    <w:p w14:paraId="1E4140DB" w14:textId="77777777" w:rsidR="00DA42C4" w:rsidRDefault="00DA42C4" w:rsidP="00DA42C4">
      <w:pPr>
        <w:rPr>
          <w:rFonts w:ascii="Arial" w:eastAsia="Arial" w:hAnsi="Arial" w:cs="Arial"/>
          <w:b/>
          <w:bCs/>
          <w:sz w:val="20"/>
          <w:szCs w:val="20"/>
        </w:rPr>
      </w:pPr>
    </w:p>
    <w:p w14:paraId="601948EC" w14:textId="77777777" w:rsidR="00DA42C4" w:rsidRPr="00DF7C9B" w:rsidRDefault="00DA42C4" w:rsidP="00DF7C9B">
      <w:pPr>
        <w:jc w:val="center"/>
        <w:rPr>
          <w:rFonts w:ascii="Arial" w:eastAsia="Arial" w:hAnsi="Arial" w:cs="Arial"/>
          <w:b/>
          <w:bCs/>
          <w:sz w:val="20"/>
          <w:szCs w:val="20"/>
        </w:rPr>
      </w:pPr>
    </w:p>
    <w:tbl>
      <w:tblPr>
        <w:tblStyle w:val="a"/>
        <w:tblW w:w="10302" w:type="dxa"/>
        <w:tblInd w:w="0" w:type="dxa"/>
        <w:tblLayout w:type="fixed"/>
        <w:tblLook w:val="0400" w:firstRow="0" w:lastRow="0" w:firstColumn="0" w:lastColumn="0" w:noHBand="0" w:noVBand="1"/>
      </w:tblPr>
      <w:tblGrid>
        <w:gridCol w:w="5151"/>
        <w:gridCol w:w="5151"/>
      </w:tblGrid>
      <w:tr w:rsidR="00175781" w14:paraId="6353F8BD" w14:textId="77777777" w:rsidTr="00DA42C4">
        <w:tc>
          <w:tcPr>
            <w:tcW w:w="5151" w:type="dxa"/>
          </w:tcPr>
          <w:p w14:paraId="3862274D" w14:textId="6E60AF92" w:rsidR="00175781" w:rsidRDefault="00D26B9F">
            <w:pPr>
              <w:jc w:val="both"/>
              <w:rPr>
                <w:rFonts w:ascii="Arial" w:eastAsia="Arial" w:hAnsi="Arial" w:cs="Arial"/>
                <w:sz w:val="20"/>
                <w:szCs w:val="20"/>
                <w:highlight w:val="lightGray"/>
              </w:rPr>
            </w:pPr>
            <w:r>
              <w:rPr>
                <w:rFonts w:ascii="Arial" w:eastAsia="Arial" w:hAnsi="Arial" w:cs="Arial"/>
                <w:sz w:val="20"/>
                <w:szCs w:val="20"/>
              </w:rPr>
              <w:t>V Praze dne</w:t>
            </w:r>
            <w:r w:rsidR="00DF7C9B">
              <w:rPr>
                <w:rFonts w:ascii="Arial" w:eastAsia="Arial" w:hAnsi="Arial" w:cs="Arial"/>
                <w:sz w:val="20"/>
                <w:szCs w:val="20"/>
              </w:rPr>
              <w:t xml:space="preserve"> </w:t>
            </w:r>
            <w:r w:rsidR="0044101B">
              <w:rPr>
                <w:rFonts w:ascii="Arial" w:eastAsia="Arial" w:hAnsi="Arial" w:cs="Arial"/>
                <w:i/>
                <w:iCs/>
                <w:sz w:val="20"/>
                <w:szCs w:val="20"/>
              </w:rPr>
              <w:t>30. 12. 2025</w:t>
            </w:r>
          </w:p>
        </w:tc>
        <w:tc>
          <w:tcPr>
            <w:tcW w:w="5151" w:type="dxa"/>
          </w:tcPr>
          <w:p w14:paraId="288A7916" w14:textId="14A6D044" w:rsidR="00175781" w:rsidRDefault="00D26B9F">
            <w:pPr>
              <w:jc w:val="both"/>
              <w:rPr>
                <w:rFonts w:ascii="Arial" w:eastAsia="Arial" w:hAnsi="Arial" w:cs="Arial"/>
                <w:sz w:val="20"/>
                <w:szCs w:val="20"/>
              </w:rPr>
            </w:pPr>
            <w:r>
              <w:rPr>
                <w:rFonts w:ascii="Arial" w:eastAsia="Arial" w:hAnsi="Arial" w:cs="Arial"/>
                <w:sz w:val="20"/>
                <w:szCs w:val="20"/>
              </w:rPr>
              <w:t>V </w:t>
            </w:r>
            <w:r w:rsidR="00DF7C9B">
              <w:rPr>
                <w:rFonts w:ascii="Arial" w:eastAsia="Arial" w:hAnsi="Arial" w:cs="Arial"/>
                <w:sz w:val="20"/>
                <w:szCs w:val="20"/>
              </w:rPr>
              <w:t>Olomouci</w:t>
            </w:r>
            <w:r>
              <w:rPr>
                <w:rFonts w:ascii="Arial" w:eastAsia="Arial" w:hAnsi="Arial" w:cs="Arial"/>
                <w:sz w:val="20"/>
                <w:szCs w:val="20"/>
              </w:rPr>
              <w:t xml:space="preserve"> dne </w:t>
            </w:r>
            <w:r w:rsidR="00DF7C9B" w:rsidRPr="00DF7C9B">
              <w:rPr>
                <w:rFonts w:ascii="Arial" w:eastAsia="Arial" w:hAnsi="Arial" w:cs="Arial"/>
                <w:i/>
                <w:iCs/>
                <w:sz w:val="20"/>
                <w:szCs w:val="20"/>
              </w:rPr>
              <w:t>dle data elektronického podpisu</w:t>
            </w:r>
          </w:p>
        </w:tc>
      </w:tr>
      <w:tr w:rsidR="00175781" w14:paraId="38B49D81" w14:textId="77777777" w:rsidTr="00DA42C4">
        <w:tc>
          <w:tcPr>
            <w:tcW w:w="5151" w:type="dxa"/>
          </w:tcPr>
          <w:p w14:paraId="277A49E5" w14:textId="77777777" w:rsidR="00175781" w:rsidRDefault="00175781">
            <w:pPr>
              <w:jc w:val="both"/>
              <w:rPr>
                <w:rFonts w:ascii="Arial" w:eastAsia="Arial" w:hAnsi="Arial" w:cs="Arial"/>
                <w:sz w:val="20"/>
                <w:szCs w:val="20"/>
              </w:rPr>
            </w:pPr>
          </w:p>
        </w:tc>
        <w:tc>
          <w:tcPr>
            <w:tcW w:w="5151" w:type="dxa"/>
          </w:tcPr>
          <w:p w14:paraId="1971AADD" w14:textId="77777777" w:rsidR="00175781" w:rsidRDefault="00175781">
            <w:pPr>
              <w:jc w:val="both"/>
              <w:rPr>
                <w:rFonts w:ascii="Arial" w:eastAsia="Arial" w:hAnsi="Arial" w:cs="Arial"/>
                <w:sz w:val="20"/>
                <w:szCs w:val="20"/>
              </w:rPr>
            </w:pPr>
          </w:p>
        </w:tc>
      </w:tr>
      <w:tr w:rsidR="00175781" w14:paraId="12C1C3DF" w14:textId="77777777" w:rsidTr="00DA42C4">
        <w:tc>
          <w:tcPr>
            <w:tcW w:w="5151" w:type="dxa"/>
          </w:tcPr>
          <w:p w14:paraId="040B20B4" w14:textId="77777777" w:rsidR="00175781" w:rsidRDefault="00D26B9F">
            <w:pPr>
              <w:jc w:val="both"/>
              <w:rPr>
                <w:rFonts w:ascii="Arial" w:eastAsia="Arial" w:hAnsi="Arial" w:cs="Arial"/>
                <w:b/>
                <w:bCs/>
                <w:sz w:val="20"/>
                <w:szCs w:val="20"/>
              </w:rPr>
            </w:pPr>
            <w:r>
              <w:rPr>
                <w:rFonts w:ascii="Arial" w:eastAsia="Arial" w:hAnsi="Arial" w:cs="Arial"/>
                <w:b/>
                <w:bCs/>
                <w:sz w:val="20"/>
                <w:szCs w:val="20"/>
              </w:rPr>
              <w:t xml:space="preserve">Hlavní město Praha </w:t>
            </w:r>
          </w:p>
          <w:p w14:paraId="39F24DC4" w14:textId="5AEFBCC7" w:rsidR="00175781" w:rsidRDefault="00D26B9F" w:rsidP="00E46CAC">
            <w:pPr>
              <w:rPr>
                <w:rFonts w:ascii="Arial" w:eastAsia="Arial" w:hAnsi="Arial" w:cs="Arial"/>
                <w:b/>
                <w:bCs/>
                <w:sz w:val="20"/>
                <w:szCs w:val="20"/>
              </w:rPr>
            </w:pPr>
            <w:r>
              <w:rPr>
                <w:rFonts w:ascii="Arial" w:eastAsia="Arial" w:hAnsi="Arial" w:cs="Arial"/>
                <w:b/>
                <w:bCs/>
                <w:sz w:val="20"/>
                <w:szCs w:val="20"/>
              </w:rPr>
              <w:t xml:space="preserve">zastoupené společností Technická </w:t>
            </w:r>
            <w:r w:rsidR="00E46CAC">
              <w:rPr>
                <w:rFonts w:ascii="Arial" w:eastAsia="Arial" w:hAnsi="Arial" w:cs="Arial"/>
                <w:b/>
                <w:bCs/>
                <w:sz w:val="20"/>
                <w:szCs w:val="20"/>
              </w:rPr>
              <w:br/>
            </w:r>
            <w:r>
              <w:rPr>
                <w:rFonts w:ascii="Arial" w:eastAsia="Arial" w:hAnsi="Arial" w:cs="Arial"/>
                <w:b/>
                <w:bCs/>
                <w:sz w:val="20"/>
                <w:szCs w:val="20"/>
              </w:rPr>
              <w:t>správa komunikací hl. m. Prahy, a.s.</w:t>
            </w:r>
          </w:p>
        </w:tc>
        <w:tc>
          <w:tcPr>
            <w:tcW w:w="5151" w:type="dxa"/>
          </w:tcPr>
          <w:p w14:paraId="1F9E30C5" w14:textId="4BE35DAD" w:rsidR="00175781" w:rsidRPr="00DF7C9B" w:rsidRDefault="00DF7C9B">
            <w:pPr>
              <w:jc w:val="both"/>
              <w:rPr>
                <w:rFonts w:ascii="Arial" w:eastAsia="Arial" w:hAnsi="Arial" w:cs="Arial"/>
                <w:b/>
                <w:bCs/>
                <w:sz w:val="20"/>
                <w:szCs w:val="20"/>
              </w:rPr>
            </w:pPr>
            <w:r w:rsidRPr="00DF7C9B">
              <w:rPr>
                <w:rFonts w:ascii="Arial" w:eastAsia="Arial" w:hAnsi="Arial" w:cs="Arial"/>
                <w:b/>
                <w:bCs/>
                <w:sz w:val="20"/>
                <w:szCs w:val="20"/>
              </w:rPr>
              <w:t>nextbike Czech Republic s.r.o.</w:t>
            </w:r>
          </w:p>
        </w:tc>
      </w:tr>
      <w:tr w:rsidR="00175781" w14:paraId="4BB8D403" w14:textId="77777777" w:rsidTr="00DA42C4">
        <w:tc>
          <w:tcPr>
            <w:tcW w:w="5151" w:type="dxa"/>
          </w:tcPr>
          <w:p w14:paraId="2E83EE5F" w14:textId="77777777" w:rsidR="00175781" w:rsidRPr="00DF7C9B" w:rsidRDefault="00175781">
            <w:pPr>
              <w:jc w:val="both"/>
              <w:rPr>
                <w:rFonts w:ascii="Arial" w:eastAsia="Arial" w:hAnsi="Arial" w:cs="Arial"/>
                <w:sz w:val="20"/>
                <w:szCs w:val="20"/>
              </w:rPr>
            </w:pPr>
          </w:p>
          <w:p w14:paraId="165C7A5F" w14:textId="77777777" w:rsidR="00175781" w:rsidRPr="00DF7C9B" w:rsidRDefault="00175781">
            <w:pPr>
              <w:jc w:val="both"/>
              <w:rPr>
                <w:rFonts w:ascii="Arial" w:eastAsia="Arial" w:hAnsi="Arial" w:cs="Arial"/>
                <w:sz w:val="20"/>
                <w:szCs w:val="20"/>
              </w:rPr>
            </w:pPr>
          </w:p>
          <w:p w14:paraId="74CF4967" w14:textId="77777777" w:rsidR="00175781" w:rsidRPr="00DF7C9B" w:rsidRDefault="00D26B9F">
            <w:pPr>
              <w:jc w:val="both"/>
              <w:rPr>
                <w:rFonts w:ascii="Arial" w:eastAsia="Arial" w:hAnsi="Arial" w:cs="Arial"/>
                <w:sz w:val="20"/>
                <w:szCs w:val="20"/>
              </w:rPr>
            </w:pPr>
            <w:r w:rsidRPr="00DF7C9B">
              <w:rPr>
                <w:rFonts w:ascii="Arial" w:eastAsia="Arial" w:hAnsi="Arial" w:cs="Arial"/>
                <w:sz w:val="20"/>
                <w:szCs w:val="20"/>
              </w:rPr>
              <w:t>_________________________________</w:t>
            </w:r>
          </w:p>
          <w:p w14:paraId="4F3FEBC7" w14:textId="77777777" w:rsidR="00175781" w:rsidRPr="00DF7C9B" w:rsidRDefault="00D26B9F">
            <w:pPr>
              <w:jc w:val="both"/>
              <w:rPr>
                <w:rFonts w:ascii="Arial" w:eastAsia="Arial" w:hAnsi="Arial" w:cs="Arial"/>
                <w:b/>
                <w:bCs/>
                <w:sz w:val="20"/>
                <w:szCs w:val="20"/>
              </w:rPr>
            </w:pPr>
            <w:r w:rsidRPr="00DF7C9B">
              <w:rPr>
                <w:rFonts w:ascii="Arial" w:eastAsia="Arial" w:hAnsi="Arial" w:cs="Arial"/>
                <w:b/>
                <w:bCs/>
                <w:sz w:val="20"/>
                <w:szCs w:val="20"/>
              </w:rPr>
              <w:t>Ing. Josef Richtr</w:t>
            </w:r>
          </w:p>
          <w:p w14:paraId="624518C4" w14:textId="77777777" w:rsidR="00175781" w:rsidRPr="00DF7C9B" w:rsidRDefault="00D26B9F">
            <w:pPr>
              <w:jc w:val="both"/>
              <w:rPr>
                <w:rFonts w:ascii="Arial" w:eastAsia="Arial" w:hAnsi="Arial" w:cs="Arial"/>
                <w:sz w:val="20"/>
                <w:szCs w:val="20"/>
              </w:rPr>
            </w:pPr>
            <w:r w:rsidRPr="00DF7C9B">
              <w:rPr>
                <w:rFonts w:ascii="Arial" w:eastAsia="Arial" w:hAnsi="Arial" w:cs="Arial"/>
                <w:sz w:val="20"/>
                <w:szCs w:val="20"/>
              </w:rPr>
              <w:t>místopředseda představenstva</w:t>
            </w:r>
          </w:p>
          <w:p w14:paraId="0FD4117D" w14:textId="77777777" w:rsidR="00175781" w:rsidRPr="00DF7C9B" w:rsidRDefault="00175781">
            <w:pPr>
              <w:jc w:val="both"/>
              <w:rPr>
                <w:rFonts w:ascii="Arial" w:eastAsia="Arial" w:hAnsi="Arial" w:cs="Arial"/>
                <w:sz w:val="20"/>
                <w:szCs w:val="20"/>
              </w:rPr>
            </w:pPr>
          </w:p>
        </w:tc>
        <w:tc>
          <w:tcPr>
            <w:tcW w:w="5151" w:type="dxa"/>
          </w:tcPr>
          <w:p w14:paraId="55AFACAB" w14:textId="77777777" w:rsidR="00175781" w:rsidRDefault="00175781">
            <w:pPr>
              <w:jc w:val="both"/>
              <w:rPr>
                <w:rFonts w:ascii="Arial" w:eastAsia="Arial" w:hAnsi="Arial" w:cs="Arial"/>
                <w:sz w:val="20"/>
                <w:szCs w:val="20"/>
              </w:rPr>
            </w:pPr>
          </w:p>
          <w:p w14:paraId="4F80082B" w14:textId="77777777" w:rsidR="00175781" w:rsidRDefault="00175781">
            <w:pPr>
              <w:jc w:val="both"/>
              <w:rPr>
                <w:rFonts w:ascii="Arial" w:eastAsia="Arial" w:hAnsi="Arial" w:cs="Arial"/>
                <w:sz w:val="20"/>
                <w:szCs w:val="20"/>
              </w:rPr>
            </w:pPr>
          </w:p>
          <w:p w14:paraId="3743CC74" w14:textId="77777777" w:rsidR="00175781" w:rsidRDefault="00D26B9F">
            <w:pPr>
              <w:jc w:val="both"/>
              <w:rPr>
                <w:rFonts w:ascii="Arial" w:eastAsia="Arial" w:hAnsi="Arial" w:cs="Arial"/>
                <w:sz w:val="20"/>
                <w:szCs w:val="20"/>
              </w:rPr>
            </w:pPr>
            <w:r>
              <w:rPr>
                <w:rFonts w:ascii="Arial" w:eastAsia="Arial" w:hAnsi="Arial" w:cs="Arial"/>
                <w:sz w:val="20"/>
                <w:szCs w:val="20"/>
              </w:rPr>
              <w:t>_________________________________</w:t>
            </w:r>
          </w:p>
          <w:p w14:paraId="3F075AAD" w14:textId="2CA36093" w:rsidR="00175781" w:rsidRDefault="00DF7C9B">
            <w:pPr>
              <w:jc w:val="both"/>
              <w:rPr>
                <w:rFonts w:ascii="Arial" w:eastAsia="Arial" w:hAnsi="Arial" w:cs="Arial"/>
                <w:b/>
                <w:bCs/>
                <w:sz w:val="20"/>
                <w:szCs w:val="20"/>
              </w:rPr>
            </w:pPr>
            <w:r>
              <w:rPr>
                <w:rFonts w:ascii="Arial" w:eastAsia="Arial" w:hAnsi="Arial" w:cs="Arial"/>
                <w:b/>
                <w:bCs/>
                <w:sz w:val="20"/>
                <w:szCs w:val="20"/>
              </w:rPr>
              <w:t>Lukáš Luňák</w:t>
            </w:r>
          </w:p>
          <w:p w14:paraId="182E8534" w14:textId="72256444" w:rsidR="00175781" w:rsidRDefault="00DF7C9B">
            <w:pPr>
              <w:jc w:val="both"/>
              <w:rPr>
                <w:rFonts w:ascii="Arial" w:eastAsia="Arial" w:hAnsi="Arial" w:cs="Arial"/>
                <w:sz w:val="20"/>
                <w:szCs w:val="20"/>
              </w:rPr>
            </w:pPr>
            <w:r>
              <w:rPr>
                <w:rFonts w:ascii="Arial" w:eastAsia="Arial" w:hAnsi="Arial" w:cs="Arial"/>
                <w:sz w:val="20"/>
                <w:szCs w:val="20"/>
              </w:rPr>
              <w:t>jednatel</w:t>
            </w:r>
          </w:p>
        </w:tc>
      </w:tr>
      <w:tr w:rsidR="00175781" w14:paraId="08C505C9" w14:textId="77777777" w:rsidTr="00DA42C4">
        <w:trPr>
          <w:trHeight w:val="604"/>
        </w:trPr>
        <w:tc>
          <w:tcPr>
            <w:tcW w:w="5151" w:type="dxa"/>
          </w:tcPr>
          <w:p w14:paraId="0CAA52CE" w14:textId="77777777" w:rsidR="00175781" w:rsidRDefault="00175781">
            <w:pPr>
              <w:jc w:val="both"/>
              <w:rPr>
                <w:rFonts w:ascii="Arial" w:eastAsia="Arial" w:hAnsi="Arial" w:cs="Arial"/>
                <w:sz w:val="20"/>
                <w:szCs w:val="20"/>
              </w:rPr>
            </w:pPr>
          </w:p>
          <w:p w14:paraId="6D60C7B1" w14:textId="77777777" w:rsidR="00DF7C9B" w:rsidRPr="00DF7C9B" w:rsidRDefault="00DF7C9B">
            <w:pPr>
              <w:jc w:val="both"/>
              <w:rPr>
                <w:rFonts w:ascii="Arial" w:eastAsia="Arial" w:hAnsi="Arial" w:cs="Arial"/>
                <w:sz w:val="20"/>
                <w:szCs w:val="20"/>
              </w:rPr>
            </w:pPr>
          </w:p>
          <w:p w14:paraId="7D3768E5" w14:textId="77777777" w:rsidR="00175781" w:rsidRPr="00DF7C9B" w:rsidRDefault="00D26B9F">
            <w:pPr>
              <w:jc w:val="both"/>
              <w:rPr>
                <w:rFonts w:ascii="Arial" w:eastAsia="Arial" w:hAnsi="Arial" w:cs="Arial"/>
                <w:sz w:val="20"/>
                <w:szCs w:val="20"/>
              </w:rPr>
            </w:pPr>
            <w:r w:rsidRPr="00DF7C9B">
              <w:rPr>
                <w:rFonts w:ascii="Arial" w:eastAsia="Arial" w:hAnsi="Arial" w:cs="Arial"/>
                <w:sz w:val="20"/>
                <w:szCs w:val="20"/>
              </w:rPr>
              <w:t>_________________________________</w:t>
            </w:r>
          </w:p>
          <w:p w14:paraId="51C02502" w14:textId="77777777" w:rsidR="00175781" w:rsidRPr="00DF7C9B" w:rsidRDefault="00D26B9F">
            <w:pPr>
              <w:jc w:val="both"/>
              <w:rPr>
                <w:rFonts w:ascii="Arial" w:eastAsia="Arial" w:hAnsi="Arial" w:cs="Arial"/>
                <w:b/>
                <w:bCs/>
                <w:sz w:val="20"/>
                <w:szCs w:val="20"/>
              </w:rPr>
            </w:pPr>
            <w:r w:rsidRPr="00DF7C9B">
              <w:rPr>
                <w:rFonts w:ascii="Arial" w:eastAsia="Arial" w:hAnsi="Arial" w:cs="Arial"/>
                <w:b/>
                <w:bCs/>
                <w:sz w:val="20"/>
                <w:szCs w:val="20"/>
              </w:rPr>
              <w:t>PhDr. Filip Hájek</w:t>
            </w:r>
          </w:p>
          <w:p w14:paraId="53589577" w14:textId="77777777" w:rsidR="00175781" w:rsidRPr="00DF7C9B" w:rsidRDefault="00D26B9F">
            <w:pPr>
              <w:jc w:val="both"/>
              <w:rPr>
                <w:rFonts w:ascii="Arial" w:eastAsia="Arial" w:hAnsi="Arial" w:cs="Arial"/>
                <w:sz w:val="20"/>
                <w:szCs w:val="20"/>
              </w:rPr>
            </w:pPr>
            <w:r w:rsidRPr="00DF7C9B">
              <w:rPr>
                <w:rFonts w:ascii="Arial" w:eastAsia="Arial" w:hAnsi="Arial" w:cs="Arial"/>
                <w:sz w:val="20"/>
                <w:szCs w:val="20"/>
              </w:rPr>
              <w:t>předseda představenstva</w:t>
            </w:r>
          </w:p>
        </w:tc>
        <w:tc>
          <w:tcPr>
            <w:tcW w:w="5151" w:type="dxa"/>
          </w:tcPr>
          <w:p w14:paraId="08FE86CD" w14:textId="77777777" w:rsidR="00175781" w:rsidRDefault="00175781">
            <w:pPr>
              <w:widowControl w:val="0"/>
              <w:pBdr>
                <w:top w:val="nil"/>
                <w:left w:val="nil"/>
                <w:bottom w:val="nil"/>
                <w:right w:val="nil"/>
                <w:between w:val="nil"/>
              </w:pBdr>
              <w:spacing w:before="0" w:line="276" w:lineRule="auto"/>
              <w:rPr>
                <w:rFonts w:ascii="Arial" w:eastAsia="Arial" w:hAnsi="Arial" w:cs="Arial"/>
                <w:sz w:val="20"/>
                <w:szCs w:val="20"/>
              </w:rPr>
            </w:pPr>
          </w:p>
          <w:p w14:paraId="5CE684BC" w14:textId="77777777" w:rsidR="00DF7C9B" w:rsidRDefault="00DF7C9B">
            <w:pPr>
              <w:widowControl w:val="0"/>
              <w:pBdr>
                <w:top w:val="nil"/>
                <w:left w:val="nil"/>
                <w:bottom w:val="nil"/>
                <w:right w:val="nil"/>
                <w:between w:val="nil"/>
              </w:pBdr>
              <w:spacing w:before="0" w:line="276" w:lineRule="auto"/>
              <w:rPr>
                <w:rFonts w:ascii="Arial" w:eastAsia="Arial" w:hAnsi="Arial" w:cs="Arial"/>
                <w:sz w:val="20"/>
                <w:szCs w:val="20"/>
              </w:rPr>
            </w:pPr>
          </w:p>
          <w:p w14:paraId="2EBEA653" w14:textId="77777777" w:rsidR="00DF7C9B" w:rsidRDefault="00DF7C9B">
            <w:pPr>
              <w:widowControl w:val="0"/>
              <w:pBdr>
                <w:top w:val="nil"/>
                <w:left w:val="nil"/>
                <w:bottom w:val="nil"/>
                <w:right w:val="nil"/>
                <w:between w:val="nil"/>
              </w:pBdr>
              <w:spacing w:before="0" w:line="276" w:lineRule="auto"/>
              <w:rPr>
                <w:rFonts w:ascii="Arial" w:eastAsia="Arial" w:hAnsi="Arial" w:cs="Arial"/>
                <w:sz w:val="20"/>
                <w:szCs w:val="20"/>
              </w:rPr>
            </w:pPr>
          </w:p>
          <w:p w14:paraId="0CD92959" w14:textId="77777777" w:rsidR="00DF7C9B" w:rsidRDefault="00DF7C9B" w:rsidP="00DF7C9B">
            <w:pPr>
              <w:jc w:val="both"/>
              <w:rPr>
                <w:rFonts w:ascii="Arial" w:eastAsia="Arial" w:hAnsi="Arial" w:cs="Arial"/>
                <w:sz w:val="20"/>
                <w:szCs w:val="20"/>
              </w:rPr>
            </w:pPr>
            <w:r>
              <w:rPr>
                <w:rFonts w:ascii="Arial" w:eastAsia="Arial" w:hAnsi="Arial" w:cs="Arial"/>
                <w:sz w:val="20"/>
                <w:szCs w:val="20"/>
              </w:rPr>
              <w:t>_________________________________</w:t>
            </w:r>
          </w:p>
          <w:p w14:paraId="0213F21C" w14:textId="284D3D5A" w:rsidR="00DF7C9B" w:rsidRDefault="00DF7C9B" w:rsidP="00DF7C9B">
            <w:pPr>
              <w:spacing w:after="240"/>
              <w:jc w:val="both"/>
              <w:rPr>
                <w:rFonts w:ascii="Arial" w:eastAsia="Arial" w:hAnsi="Arial" w:cs="Arial"/>
                <w:b/>
                <w:bCs/>
                <w:sz w:val="20"/>
                <w:szCs w:val="20"/>
              </w:rPr>
            </w:pPr>
            <w:r>
              <w:rPr>
                <w:rFonts w:ascii="Arial" w:eastAsia="Arial" w:hAnsi="Arial" w:cs="Arial"/>
                <w:b/>
                <w:bCs/>
                <w:sz w:val="20"/>
                <w:szCs w:val="20"/>
              </w:rPr>
              <w:t>Tomáš Karpov</w:t>
            </w:r>
          </w:p>
          <w:p w14:paraId="086AEAF9" w14:textId="523BD2AE" w:rsidR="00DF7C9B" w:rsidRDefault="00DF7C9B" w:rsidP="00DF7C9B">
            <w:pPr>
              <w:widowControl w:val="0"/>
              <w:pBdr>
                <w:top w:val="nil"/>
                <w:left w:val="nil"/>
                <w:bottom w:val="nil"/>
                <w:right w:val="nil"/>
                <w:between w:val="nil"/>
              </w:pBdr>
              <w:spacing w:before="0" w:line="276" w:lineRule="auto"/>
              <w:rPr>
                <w:rFonts w:ascii="Arial" w:eastAsia="Arial" w:hAnsi="Arial" w:cs="Arial"/>
                <w:sz w:val="20"/>
                <w:szCs w:val="20"/>
              </w:rPr>
            </w:pPr>
            <w:r>
              <w:rPr>
                <w:rFonts w:ascii="Arial" w:eastAsia="Arial" w:hAnsi="Arial" w:cs="Arial"/>
                <w:sz w:val="20"/>
                <w:szCs w:val="20"/>
              </w:rPr>
              <w:t>jednatel</w:t>
            </w:r>
          </w:p>
        </w:tc>
      </w:tr>
    </w:tbl>
    <w:p w14:paraId="097BB3C2" w14:textId="77777777" w:rsidR="00175781" w:rsidRDefault="00175781">
      <w:pPr>
        <w:jc w:val="both"/>
        <w:rPr>
          <w:sz w:val="20"/>
          <w:szCs w:val="20"/>
        </w:rPr>
      </w:pPr>
    </w:p>
    <w:p w14:paraId="69ABD4BE" w14:textId="77777777" w:rsidR="00175781" w:rsidRDefault="00D26B9F">
      <w:pPr>
        <w:rPr>
          <w:sz w:val="20"/>
          <w:szCs w:val="20"/>
        </w:rPr>
      </w:pPr>
      <w:r>
        <w:rPr>
          <w:rFonts w:ascii="Times New Roman" w:eastAsia="Times New Roman" w:hAnsi="Times New Roman" w:cs="Times New Roman"/>
          <w:sz w:val="22"/>
          <w:szCs w:val="22"/>
        </w:rPr>
        <w:t xml:space="preserve"> </w:t>
      </w:r>
    </w:p>
    <w:sectPr w:rsidR="00175781">
      <w:headerReference w:type="even" r:id="rId13"/>
      <w:headerReference w:type="default" r:id="rId14"/>
      <w:footerReference w:type="even" r:id="rId15"/>
      <w:footerReference w:type="default" r:id="rId16"/>
      <w:pgSz w:w="11900" w:h="16840"/>
      <w:pgMar w:top="1843" w:right="794" w:bottom="1843" w:left="794" w:header="794" w:footer="255"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D7B4F" w14:textId="77777777" w:rsidR="005B57A4" w:rsidRDefault="005B57A4">
      <w:r>
        <w:separator/>
      </w:r>
    </w:p>
  </w:endnote>
  <w:endnote w:type="continuationSeparator" w:id="0">
    <w:p w14:paraId="1F44B528" w14:textId="77777777" w:rsidR="005B57A4" w:rsidRDefault="005B5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embedRegular r:id="rId1" w:fontKey="{58015EC5-B6EC-4452-A4FA-D0139CBB8B33}"/>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2" w:fontKey="{DDCA6AFB-E9F0-433B-806D-AE03C29F2A31}"/>
    <w:embedBold r:id="rId3" w:fontKey="{96BC4B40-1CD7-4AFF-B69E-084E0DD613AF}"/>
  </w:font>
  <w:font w:name="Calibri">
    <w:panose1 w:val="020F0502020204030204"/>
    <w:charset w:val="EE"/>
    <w:family w:val="swiss"/>
    <w:pitch w:val="variable"/>
    <w:sig w:usb0="E4002EFF" w:usb1="C200247B" w:usb2="00000009" w:usb3="00000000" w:csb0="000001FF" w:csb1="00000000"/>
    <w:embedRegular r:id="rId4" w:fontKey="{311E3C86-7A00-47EE-9F0D-E397D4148704}"/>
    <w:embedItalic r:id="rId5" w:fontKey="{254AE681-988C-4009-96FC-C5F9A54395AC}"/>
  </w:font>
  <w:font w:name="Georgia">
    <w:panose1 w:val="02040502050405020303"/>
    <w:charset w:val="EE"/>
    <w:family w:val="roman"/>
    <w:pitch w:val="variable"/>
    <w:sig w:usb0="00000287" w:usb1="00000000" w:usb2="00000000" w:usb3="00000000" w:csb0="0000009F" w:csb1="00000000"/>
    <w:embedItalic r:id="rId6" w:fontKey="{9DD1E03B-BE3E-4ABA-B168-DAA201B225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CFC4C" w14:textId="77777777" w:rsidR="00175781" w:rsidRDefault="00D26B9F">
    <w:pPr>
      <w:pBdr>
        <w:top w:val="nil"/>
        <w:left w:val="nil"/>
        <w:bottom w:val="nil"/>
        <w:right w:val="nil"/>
        <w:between w:val="nil"/>
      </w:pBdr>
      <w:tabs>
        <w:tab w:val="center" w:pos="4153"/>
        <w:tab w:val="right" w:pos="8306"/>
        <w:tab w:val="center" w:pos="3682"/>
        <w:tab w:val="right" w:pos="7364"/>
      </w:tabs>
      <w:rPr>
        <w:color w:val="000000"/>
      </w:rPr>
    </w:pPr>
    <w:r>
      <w:rPr>
        <w:color w:val="000000"/>
      </w:rPr>
      <w:t>[Type text]</w:t>
    </w:r>
    <w:r>
      <w:rPr>
        <w:color w:val="000000"/>
      </w:rPr>
      <w:tab/>
      <w:t>[Type text]</w:t>
    </w:r>
    <w:r>
      <w:rPr>
        <w:color w:val="000000"/>
      </w:rPr>
      <w:tab/>
      <w:t>[Type text]</w:t>
    </w:r>
  </w:p>
  <w:p w14:paraId="1F97E09B" w14:textId="77777777" w:rsidR="00175781" w:rsidRDefault="0017578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66F61" w14:textId="77777777" w:rsidR="00175781" w:rsidRDefault="00D26B9F">
    <w:pPr>
      <w:pBdr>
        <w:top w:val="nil"/>
        <w:left w:val="nil"/>
        <w:bottom w:val="nil"/>
        <w:right w:val="nil"/>
        <w:between w:val="nil"/>
      </w:pBdr>
      <w:tabs>
        <w:tab w:val="center" w:pos="4153"/>
        <w:tab w:val="right" w:pos="8306"/>
      </w:tabs>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B92617">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726BD180" w14:textId="77777777" w:rsidR="00175781" w:rsidRDefault="00175781">
    <w:pPr>
      <w:pBdr>
        <w:top w:val="nil"/>
        <w:left w:val="nil"/>
        <w:bottom w:val="nil"/>
        <w:right w:val="nil"/>
        <w:between w:val="nil"/>
      </w:pBdr>
      <w:tabs>
        <w:tab w:val="center" w:pos="4153"/>
        <w:tab w:val="right" w:pos="8306"/>
        <w:tab w:val="center" w:pos="3682"/>
        <w:tab w:val="right" w:pos="7364"/>
      </w:tabs>
      <w:rPr>
        <w:color w:val="000000"/>
      </w:rPr>
    </w:pPr>
  </w:p>
  <w:p w14:paraId="2D50FF9B" w14:textId="77777777" w:rsidR="00175781" w:rsidRDefault="001757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4F804E" w14:textId="77777777" w:rsidR="005B57A4" w:rsidRDefault="005B57A4">
      <w:r>
        <w:separator/>
      </w:r>
    </w:p>
  </w:footnote>
  <w:footnote w:type="continuationSeparator" w:id="0">
    <w:p w14:paraId="4239BD17" w14:textId="77777777" w:rsidR="005B57A4" w:rsidRDefault="005B57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0C4BD" w14:textId="77777777" w:rsidR="00175781" w:rsidRDefault="00D26B9F">
    <w:pPr>
      <w:pBdr>
        <w:top w:val="nil"/>
        <w:left w:val="nil"/>
        <w:bottom w:val="nil"/>
        <w:right w:val="nil"/>
        <w:between w:val="nil"/>
      </w:pBdr>
      <w:tabs>
        <w:tab w:val="center" w:pos="4153"/>
        <w:tab w:val="right" w:pos="8306"/>
        <w:tab w:val="center" w:pos="3682"/>
        <w:tab w:val="right" w:pos="7364"/>
      </w:tabs>
      <w:rPr>
        <w:color w:val="000000"/>
      </w:rPr>
    </w:pPr>
    <w:r>
      <w:rPr>
        <w:color w:val="000000"/>
      </w:rPr>
      <w:t>[Type text]</w:t>
    </w:r>
    <w:r>
      <w:rPr>
        <w:color w:val="000000"/>
      </w:rPr>
      <w:tab/>
      <w:t>[Type text]</w:t>
    </w:r>
    <w:r>
      <w:rPr>
        <w:color w:val="000000"/>
      </w:rPr>
      <w:tab/>
      <w:t>[Type text]</w:t>
    </w:r>
  </w:p>
  <w:p w14:paraId="39285722" w14:textId="77777777" w:rsidR="00175781" w:rsidRDefault="00175781">
    <w:pPr>
      <w:pBdr>
        <w:top w:val="nil"/>
        <w:left w:val="nil"/>
        <w:bottom w:val="nil"/>
        <w:right w:val="nil"/>
        <w:between w:val="nil"/>
      </w:pBdr>
      <w:tabs>
        <w:tab w:val="center" w:pos="4153"/>
        <w:tab w:val="right" w:pos="8306"/>
      </w:tabs>
      <w:rPr>
        <w:color w:val="000000"/>
      </w:rPr>
    </w:pPr>
  </w:p>
  <w:p w14:paraId="5BA39056" w14:textId="77777777" w:rsidR="00175781" w:rsidRDefault="0017578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7F4C0" w14:textId="77777777" w:rsidR="00175781" w:rsidRDefault="00175781">
    <w:pPr>
      <w:pBdr>
        <w:top w:val="nil"/>
        <w:left w:val="nil"/>
        <w:bottom w:val="nil"/>
        <w:right w:val="nil"/>
        <w:between w:val="nil"/>
      </w:pBdr>
      <w:spacing w:line="288" w:lineRule="auto"/>
      <w:ind w:right="-1283"/>
      <w:rPr>
        <w:rFonts w:ascii="Arial" w:eastAsia="Arial" w:hAnsi="Arial" w:cs="Arial"/>
        <w:b/>
        <w:bCs/>
        <w:color w:val="D82332"/>
        <w:sz w:val="16"/>
        <w:szCs w:val="16"/>
      </w:rPr>
    </w:pPr>
  </w:p>
  <w:p w14:paraId="1C956E13" w14:textId="77777777" w:rsidR="00175781" w:rsidRDefault="00175781">
    <w:pPr>
      <w:pBdr>
        <w:top w:val="nil"/>
        <w:left w:val="nil"/>
        <w:bottom w:val="nil"/>
        <w:right w:val="nil"/>
        <w:between w:val="nil"/>
      </w:pBdr>
      <w:spacing w:line="288" w:lineRule="auto"/>
      <w:ind w:right="-1283"/>
      <w:jc w:val="right"/>
      <w:rPr>
        <w:rFonts w:ascii="Arial" w:eastAsia="Arial" w:hAnsi="Arial" w:cs="Arial"/>
        <w:b/>
        <w:bCs/>
        <w:color w:val="D82332"/>
        <w:sz w:val="16"/>
        <w:szCs w:val="16"/>
      </w:rPr>
    </w:pPr>
  </w:p>
  <w:p w14:paraId="2BACA05A" w14:textId="77777777" w:rsidR="00175781" w:rsidRDefault="001757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74B7E"/>
    <w:multiLevelType w:val="multilevel"/>
    <w:tmpl w:val="D5B61DD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D120D7B"/>
    <w:multiLevelType w:val="multilevel"/>
    <w:tmpl w:val="A768D272"/>
    <w:lvl w:ilvl="0">
      <w:start w:val="1"/>
      <w:numFmt w:val="decimal"/>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E894763"/>
    <w:multiLevelType w:val="multilevel"/>
    <w:tmpl w:val="A6D83E7E"/>
    <w:lvl w:ilvl="0">
      <w:start w:val="1"/>
      <w:numFmt w:val="lowerLetter"/>
      <w:lvlText w:val="%1)"/>
      <w:lvlJc w:val="left"/>
      <w:pPr>
        <w:ind w:left="1152" w:hanging="360"/>
      </w:pPr>
    </w:lvl>
    <w:lvl w:ilvl="1">
      <w:start w:val="1"/>
      <w:numFmt w:val="lowerLetter"/>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3" w15:restartNumberingAfterBreak="0">
    <w:nsid w:val="13537832"/>
    <w:multiLevelType w:val="multilevel"/>
    <w:tmpl w:val="D5B61DD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78E688F"/>
    <w:multiLevelType w:val="multilevel"/>
    <w:tmpl w:val="0526BA82"/>
    <w:lvl w:ilvl="0">
      <w:start w:val="1"/>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5" w15:restartNumberingAfterBreak="0">
    <w:nsid w:val="30A727AB"/>
    <w:multiLevelType w:val="multilevel"/>
    <w:tmpl w:val="29A86684"/>
    <w:lvl w:ilvl="0">
      <w:start w:val="1"/>
      <w:numFmt w:val="lowerLetter"/>
      <w:lvlText w:val="%1)"/>
      <w:lvlJc w:val="left"/>
      <w:pPr>
        <w:ind w:left="1211" w:hanging="360"/>
      </w:p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6" w15:restartNumberingAfterBreak="0">
    <w:nsid w:val="389737C4"/>
    <w:multiLevelType w:val="multilevel"/>
    <w:tmpl w:val="4EEAFA7A"/>
    <w:lvl w:ilvl="0">
      <w:start w:val="1"/>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7" w15:restartNumberingAfterBreak="0">
    <w:nsid w:val="3B0A1E11"/>
    <w:multiLevelType w:val="multilevel"/>
    <w:tmpl w:val="49D6E41C"/>
    <w:lvl w:ilvl="0">
      <w:start w:val="1"/>
      <w:numFmt w:val="decimal"/>
      <w:lvlText w:val="%1."/>
      <w:lvlJc w:val="left"/>
      <w:pPr>
        <w:ind w:left="360" w:hanging="360"/>
      </w:pPr>
      <w:rPr>
        <w:b/>
        <w:bCs/>
      </w:rPr>
    </w:lvl>
    <w:lvl w:ilvl="1">
      <w:start w:val="1"/>
      <w:numFmt w:val="decimal"/>
      <w:lvlText w:val="%1.%2."/>
      <w:lvlJc w:val="left"/>
      <w:pPr>
        <w:ind w:left="4260"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8F17B40"/>
    <w:multiLevelType w:val="hybridMultilevel"/>
    <w:tmpl w:val="707488D2"/>
    <w:lvl w:ilvl="0" w:tplc="5D32CC62">
      <w:start w:val="1"/>
      <w:numFmt w:val="lowerLetter"/>
      <w:lvlText w:val="%1)"/>
      <w:lvlJc w:val="left"/>
      <w:pPr>
        <w:ind w:left="1512" w:hanging="360"/>
      </w:pPr>
      <w:rPr>
        <w:rFonts w:hint="default"/>
      </w:rPr>
    </w:lvl>
    <w:lvl w:ilvl="1" w:tplc="04050019" w:tentative="1">
      <w:start w:val="1"/>
      <w:numFmt w:val="lowerLetter"/>
      <w:lvlText w:val="%2."/>
      <w:lvlJc w:val="left"/>
      <w:pPr>
        <w:ind w:left="2232" w:hanging="360"/>
      </w:pPr>
    </w:lvl>
    <w:lvl w:ilvl="2" w:tplc="0405001B" w:tentative="1">
      <w:start w:val="1"/>
      <w:numFmt w:val="lowerRoman"/>
      <w:lvlText w:val="%3."/>
      <w:lvlJc w:val="right"/>
      <w:pPr>
        <w:ind w:left="2952" w:hanging="180"/>
      </w:pPr>
    </w:lvl>
    <w:lvl w:ilvl="3" w:tplc="0405000F" w:tentative="1">
      <w:start w:val="1"/>
      <w:numFmt w:val="decimal"/>
      <w:lvlText w:val="%4."/>
      <w:lvlJc w:val="left"/>
      <w:pPr>
        <w:ind w:left="3672" w:hanging="360"/>
      </w:pPr>
    </w:lvl>
    <w:lvl w:ilvl="4" w:tplc="04050019" w:tentative="1">
      <w:start w:val="1"/>
      <w:numFmt w:val="lowerLetter"/>
      <w:lvlText w:val="%5."/>
      <w:lvlJc w:val="left"/>
      <w:pPr>
        <w:ind w:left="4392" w:hanging="360"/>
      </w:pPr>
    </w:lvl>
    <w:lvl w:ilvl="5" w:tplc="0405001B" w:tentative="1">
      <w:start w:val="1"/>
      <w:numFmt w:val="lowerRoman"/>
      <w:lvlText w:val="%6."/>
      <w:lvlJc w:val="right"/>
      <w:pPr>
        <w:ind w:left="5112" w:hanging="180"/>
      </w:pPr>
    </w:lvl>
    <w:lvl w:ilvl="6" w:tplc="0405000F" w:tentative="1">
      <w:start w:val="1"/>
      <w:numFmt w:val="decimal"/>
      <w:lvlText w:val="%7."/>
      <w:lvlJc w:val="left"/>
      <w:pPr>
        <w:ind w:left="5832" w:hanging="360"/>
      </w:pPr>
    </w:lvl>
    <w:lvl w:ilvl="7" w:tplc="04050019" w:tentative="1">
      <w:start w:val="1"/>
      <w:numFmt w:val="lowerLetter"/>
      <w:lvlText w:val="%8."/>
      <w:lvlJc w:val="left"/>
      <w:pPr>
        <w:ind w:left="6552" w:hanging="360"/>
      </w:pPr>
    </w:lvl>
    <w:lvl w:ilvl="8" w:tplc="0405001B" w:tentative="1">
      <w:start w:val="1"/>
      <w:numFmt w:val="lowerRoman"/>
      <w:lvlText w:val="%9."/>
      <w:lvlJc w:val="right"/>
      <w:pPr>
        <w:ind w:left="7272" w:hanging="180"/>
      </w:pPr>
    </w:lvl>
  </w:abstractNum>
  <w:abstractNum w:abstractNumId="9" w15:restartNumberingAfterBreak="0">
    <w:nsid w:val="58F61013"/>
    <w:multiLevelType w:val="multilevel"/>
    <w:tmpl w:val="B1BE6BCA"/>
    <w:lvl w:ilvl="0">
      <w:start w:val="1"/>
      <w:numFmt w:val="lowerLetter"/>
      <w:lvlText w:val="%1)"/>
      <w:lvlJc w:val="left"/>
      <w:pPr>
        <w:ind w:left="1152" w:hanging="360"/>
      </w:pPr>
    </w:lvl>
    <w:lvl w:ilvl="1">
      <w:start w:val="1"/>
      <w:numFmt w:val="lowerLetter"/>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10" w15:restartNumberingAfterBreak="0">
    <w:nsid w:val="59376E81"/>
    <w:multiLevelType w:val="multilevel"/>
    <w:tmpl w:val="47F04FFE"/>
    <w:lvl w:ilvl="0">
      <w:start w:val="1"/>
      <w:numFmt w:val="lowerLetter"/>
      <w:lvlText w:val="%1)"/>
      <w:lvlJc w:val="left"/>
      <w:pPr>
        <w:ind w:left="1152" w:hanging="360"/>
      </w:pPr>
    </w:lvl>
    <w:lvl w:ilvl="1">
      <w:start w:val="1"/>
      <w:numFmt w:val="lowerLetter"/>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11" w15:restartNumberingAfterBreak="0">
    <w:nsid w:val="5D9C67BB"/>
    <w:multiLevelType w:val="multilevel"/>
    <w:tmpl w:val="95E8745A"/>
    <w:lvl w:ilvl="0">
      <w:start w:val="1"/>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2" w15:restartNumberingAfterBreak="0">
    <w:nsid w:val="640572C9"/>
    <w:multiLevelType w:val="multilevel"/>
    <w:tmpl w:val="A93A7FD2"/>
    <w:lvl w:ilvl="0">
      <w:start w:val="1"/>
      <w:numFmt w:val="bullet"/>
      <w:lvlText w:val="●"/>
      <w:lvlJc w:val="left"/>
      <w:pPr>
        <w:ind w:left="1152" w:hanging="360"/>
      </w:pPr>
      <w:rPr>
        <w:rFonts w:ascii="Noto Sans Symbols" w:eastAsia="Noto Sans Symbols" w:hAnsi="Noto Sans Symbols" w:cs="Noto Sans Symbols"/>
      </w:rPr>
    </w:lvl>
    <w:lvl w:ilvl="1">
      <w:start w:val="1"/>
      <w:numFmt w:val="decimal"/>
      <w:lvlText w:val="●.%2."/>
      <w:lvlJc w:val="left"/>
      <w:pPr>
        <w:ind w:left="1584" w:hanging="432"/>
      </w:pPr>
      <w:rPr>
        <w:b w:val="0"/>
        <w:bCs w:val="0"/>
      </w:rPr>
    </w:lvl>
    <w:lvl w:ilvl="2">
      <w:start w:val="1"/>
      <w:numFmt w:val="decimal"/>
      <w:lvlText w:val="●.%2.%3."/>
      <w:lvlJc w:val="left"/>
      <w:pPr>
        <w:ind w:left="2016" w:hanging="504"/>
      </w:pPr>
    </w:lvl>
    <w:lvl w:ilvl="3">
      <w:start w:val="1"/>
      <w:numFmt w:val="decimal"/>
      <w:lvlText w:val="●.%2.%3.%4."/>
      <w:lvlJc w:val="left"/>
      <w:pPr>
        <w:ind w:left="2520" w:hanging="648"/>
      </w:pPr>
    </w:lvl>
    <w:lvl w:ilvl="4">
      <w:start w:val="1"/>
      <w:numFmt w:val="decimal"/>
      <w:lvlText w:val="●.%2.%3.%4.%5."/>
      <w:lvlJc w:val="left"/>
      <w:pPr>
        <w:ind w:left="3024" w:hanging="792"/>
      </w:pPr>
    </w:lvl>
    <w:lvl w:ilvl="5">
      <w:start w:val="1"/>
      <w:numFmt w:val="decimal"/>
      <w:lvlText w:val="●.%2.%3.%4.%5.%6."/>
      <w:lvlJc w:val="left"/>
      <w:pPr>
        <w:ind w:left="3528" w:hanging="935"/>
      </w:pPr>
    </w:lvl>
    <w:lvl w:ilvl="6">
      <w:start w:val="1"/>
      <w:numFmt w:val="decimal"/>
      <w:lvlText w:val="●.%2.%3.%4.%5.%6.%7."/>
      <w:lvlJc w:val="left"/>
      <w:pPr>
        <w:ind w:left="4032" w:hanging="1080"/>
      </w:pPr>
    </w:lvl>
    <w:lvl w:ilvl="7">
      <w:start w:val="1"/>
      <w:numFmt w:val="decimal"/>
      <w:lvlText w:val="●.%2.%3.%4.%5.%6.%7.%8."/>
      <w:lvlJc w:val="left"/>
      <w:pPr>
        <w:ind w:left="4536" w:hanging="1223"/>
      </w:pPr>
    </w:lvl>
    <w:lvl w:ilvl="8">
      <w:start w:val="1"/>
      <w:numFmt w:val="decimal"/>
      <w:lvlText w:val="●.%2.%3.%4.%5.%6.%7.%8.%9."/>
      <w:lvlJc w:val="left"/>
      <w:pPr>
        <w:ind w:left="5112" w:hanging="1440"/>
      </w:pPr>
    </w:lvl>
  </w:abstractNum>
  <w:abstractNum w:abstractNumId="13" w15:restartNumberingAfterBreak="0">
    <w:nsid w:val="7A920A5B"/>
    <w:multiLevelType w:val="multilevel"/>
    <w:tmpl w:val="0964A27E"/>
    <w:lvl w:ilvl="0">
      <w:numFmt w:val="bullet"/>
      <w:lvlText w:val="-"/>
      <w:lvlJc w:val="left"/>
      <w:pPr>
        <w:ind w:left="1512" w:hanging="360"/>
      </w:pPr>
      <w:rPr>
        <w:rFonts w:ascii="Arial" w:eastAsia="Arial" w:hAnsi="Arial" w:cs="Arial"/>
      </w:rPr>
    </w:lvl>
    <w:lvl w:ilvl="1">
      <w:start w:val="1"/>
      <w:numFmt w:val="bullet"/>
      <w:lvlText w:val="o"/>
      <w:lvlJc w:val="left"/>
      <w:pPr>
        <w:ind w:left="2232" w:hanging="360"/>
      </w:pPr>
      <w:rPr>
        <w:rFonts w:ascii="Courier New" w:eastAsia="Courier New" w:hAnsi="Courier New" w:cs="Courier New"/>
      </w:rPr>
    </w:lvl>
    <w:lvl w:ilvl="2">
      <w:start w:val="1"/>
      <w:numFmt w:val="bullet"/>
      <w:lvlText w:val="▪"/>
      <w:lvlJc w:val="left"/>
      <w:pPr>
        <w:ind w:left="2952" w:hanging="360"/>
      </w:pPr>
      <w:rPr>
        <w:rFonts w:ascii="Noto Sans Symbols" w:eastAsia="Noto Sans Symbols" w:hAnsi="Noto Sans Symbols" w:cs="Noto Sans Symbols"/>
      </w:rPr>
    </w:lvl>
    <w:lvl w:ilvl="3">
      <w:start w:val="1"/>
      <w:numFmt w:val="bullet"/>
      <w:lvlText w:val="●"/>
      <w:lvlJc w:val="left"/>
      <w:pPr>
        <w:ind w:left="3672" w:hanging="360"/>
      </w:pPr>
      <w:rPr>
        <w:rFonts w:ascii="Noto Sans Symbols" w:eastAsia="Noto Sans Symbols" w:hAnsi="Noto Sans Symbols" w:cs="Noto Sans Symbols"/>
      </w:rPr>
    </w:lvl>
    <w:lvl w:ilvl="4">
      <w:start w:val="1"/>
      <w:numFmt w:val="bullet"/>
      <w:lvlText w:val="o"/>
      <w:lvlJc w:val="left"/>
      <w:pPr>
        <w:ind w:left="4392" w:hanging="360"/>
      </w:pPr>
      <w:rPr>
        <w:rFonts w:ascii="Courier New" w:eastAsia="Courier New" w:hAnsi="Courier New" w:cs="Courier New"/>
      </w:rPr>
    </w:lvl>
    <w:lvl w:ilvl="5">
      <w:start w:val="1"/>
      <w:numFmt w:val="bullet"/>
      <w:lvlText w:val="▪"/>
      <w:lvlJc w:val="left"/>
      <w:pPr>
        <w:ind w:left="5112" w:hanging="360"/>
      </w:pPr>
      <w:rPr>
        <w:rFonts w:ascii="Noto Sans Symbols" w:eastAsia="Noto Sans Symbols" w:hAnsi="Noto Sans Symbols" w:cs="Noto Sans Symbols"/>
      </w:rPr>
    </w:lvl>
    <w:lvl w:ilvl="6">
      <w:start w:val="1"/>
      <w:numFmt w:val="bullet"/>
      <w:lvlText w:val="●"/>
      <w:lvlJc w:val="left"/>
      <w:pPr>
        <w:ind w:left="5832" w:hanging="360"/>
      </w:pPr>
      <w:rPr>
        <w:rFonts w:ascii="Noto Sans Symbols" w:eastAsia="Noto Sans Symbols" w:hAnsi="Noto Sans Symbols" w:cs="Noto Sans Symbols"/>
      </w:rPr>
    </w:lvl>
    <w:lvl w:ilvl="7">
      <w:start w:val="1"/>
      <w:numFmt w:val="bullet"/>
      <w:lvlText w:val="o"/>
      <w:lvlJc w:val="left"/>
      <w:pPr>
        <w:ind w:left="6552" w:hanging="360"/>
      </w:pPr>
      <w:rPr>
        <w:rFonts w:ascii="Courier New" w:eastAsia="Courier New" w:hAnsi="Courier New" w:cs="Courier New"/>
      </w:rPr>
    </w:lvl>
    <w:lvl w:ilvl="8">
      <w:start w:val="1"/>
      <w:numFmt w:val="bullet"/>
      <w:lvlText w:val="▪"/>
      <w:lvlJc w:val="left"/>
      <w:pPr>
        <w:ind w:left="7272" w:hanging="360"/>
      </w:pPr>
      <w:rPr>
        <w:rFonts w:ascii="Noto Sans Symbols" w:eastAsia="Noto Sans Symbols" w:hAnsi="Noto Sans Symbols" w:cs="Noto Sans Symbols"/>
      </w:rPr>
    </w:lvl>
  </w:abstractNum>
  <w:abstractNum w:abstractNumId="14" w15:restartNumberingAfterBreak="0">
    <w:nsid w:val="7C7F6E86"/>
    <w:multiLevelType w:val="multilevel"/>
    <w:tmpl w:val="B344A690"/>
    <w:lvl w:ilvl="0">
      <w:start w:val="1"/>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16cid:durableId="1224410055">
    <w:abstractNumId w:val="10"/>
  </w:num>
  <w:num w:numId="2" w16cid:durableId="19819628">
    <w:abstractNumId w:val="7"/>
  </w:num>
  <w:num w:numId="3" w16cid:durableId="274679408">
    <w:abstractNumId w:val="13"/>
  </w:num>
  <w:num w:numId="4" w16cid:durableId="1691683247">
    <w:abstractNumId w:val="4"/>
  </w:num>
  <w:num w:numId="5" w16cid:durableId="2137407413">
    <w:abstractNumId w:val="14"/>
  </w:num>
  <w:num w:numId="6" w16cid:durableId="499540070">
    <w:abstractNumId w:val="5"/>
  </w:num>
  <w:num w:numId="7" w16cid:durableId="1058407025">
    <w:abstractNumId w:val="6"/>
  </w:num>
  <w:num w:numId="8" w16cid:durableId="1642996566">
    <w:abstractNumId w:val="11"/>
  </w:num>
  <w:num w:numId="9" w16cid:durableId="1543856903">
    <w:abstractNumId w:val="1"/>
  </w:num>
  <w:num w:numId="10" w16cid:durableId="518356547">
    <w:abstractNumId w:val="2"/>
  </w:num>
  <w:num w:numId="11" w16cid:durableId="473764579">
    <w:abstractNumId w:val="12"/>
  </w:num>
  <w:num w:numId="12" w16cid:durableId="1692804018">
    <w:abstractNumId w:val="9"/>
  </w:num>
  <w:num w:numId="13" w16cid:durableId="725566740">
    <w:abstractNumId w:val="3"/>
  </w:num>
  <w:num w:numId="14" w16cid:durableId="1632856987">
    <w:abstractNumId w:val="0"/>
  </w:num>
  <w:num w:numId="15" w16cid:durableId="18307502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781"/>
    <w:rsid w:val="00074FB6"/>
    <w:rsid w:val="00075420"/>
    <w:rsid w:val="000F7C8F"/>
    <w:rsid w:val="00102EDD"/>
    <w:rsid w:val="00106517"/>
    <w:rsid w:val="001466F7"/>
    <w:rsid w:val="00147774"/>
    <w:rsid w:val="00150B19"/>
    <w:rsid w:val="0015465F"/>
    <w:rsid w:val="00175781"/>
    <w:rsid w:val="00181DE1"/>
    <w:rsid w:val="001B7DC5"/>
    <w:rsid w:val="001D629C"/>
    <w:rsid w:val="001F67AE"/>
    <w:rsid w:val="002039A8"/>
    <w:rsid w:val="00213920"/>
    <w:rsid w:val="00221AAB"/>
    <w:rsid w:val="00233C26"/>
    <w:rsid w:val="00255158"/>
    <w:rsid w:val="00255D5C"/>
    <w:rsid w:val="0026214B"/>
    <w:rsid w:val="00296225"/>
    <w:rsid w:val="002E020B"/>
    <w:rsid w:val="002F180F"/>
    <w:rsid w:val="002F21C3"/>
    <w:rsid w:val="00331349"/>
    <w:rsid w:val="003455FB"/>
    <w:rsid w:val="0036103B"/>
    <w:rsid w:val="00387D67"/>
    <w:rsid w:val="00391B3E"/>
    <w:rsid w:val="003F042F"/>
    <w:rsid w:val="0041390D"/>
    <w:rsid w:val="00417F90"/>
    <w:rsid w:val="00423913"/>
    <w:rsid w:val="00425047"/>
    <w:rsid w:val="0044101B"/>
    <w:rsid w:val="004634F8"/>
    <w:rsid w:val="004700EB"/>
    <w:rsid w:val="00472E76"/>
    <w:rsid w:val="0049503C"/>
    <w:rsid w:val="004C0031"/>
    <w:rsid w:val="004E21E1"/>
    <w:rsid w:val="004F14C7"/>
    <w:rsid w:val="0051470E"/>
    <w:rsid w:val="00535300"/>
    <w:rsid w:val="00541BCE"/>
    <w:rsid w:val="00544B3C"/>
    <w:rsid w:val="0054735F"/>
    <w:rsid w:val="00552DF1"/>
    <w:rsid w:val="00563DDA"/>
    <w:rsid w:val="005849F1"/>
    <w:rsid w:val="00584F33"/>
    <w:rsid w:val="005A6F88"/>
    <w:rsid w:val="005B57A4"/>
    <w:rsid w:val="005F6F20"/>
    <w:rsid w:val="00635858"/>
    <w:rsid w:val="00653E1D"/>
    <w:rsid w:val="006F13B3"/>
    <w:rsid w:val="00706C37"/>
    <w:rsid w:val="0070739F"/>
    <w:rsid w:val="00713106"/>
    <w:rsid w:val="00726399"/>
    <w:rsid w:val="00727EDF"/>
    <w:rsid w:val="00756DEE"/>
    <w:rsid w:val="00777F30"/>
    <w:rsid w:val="007D7C2F"/>
    <w:rsid w:val="007E6E4A"/>
    <w:rsid w:val="007F0ABF"/>
    <w:rsid w:val="007F3313"/>
    <w:rsid w:val="008059BC"/>
    <w:rsid w:val="0081255C"/>
    <w:rsid w:val="008275DD"/>
    <w:rsid w:val="00831EC7"/>
    <w:rsid w:val="00840968"/>
    <w:rsid w:val="00843869"/>
    <w:rsid w:val="0084500A"/>
    <w:rsid w:val="00850494"/>
    <w:rsid w:val="00871265"/>
    <w:rsid w:val="008C0908"/>
    <w:rsid w:val="008D0606"/>
    <w:rsid w:val="008F3096"/>
    <w:rsid w:val="0094265F"/>
    <w:rsid w:val="009517A6"/>
    <w:rsid w:val="00967ACC"/>
    <w:rsid w:val="009718F3"/>
    <w:rsid w:val="009A6180"/>
    <w:rsid w:val="009A6B71"/>
    <w:rsid w:val="009C3496"/>
    <w:rsid w:val="009C6EEC"/>
    <w:rsid w:val="009D3DAF"/>
    <w:rsid w:val="009E38A2"/>
    <w:rsid w:val="009F1777"/>
    <w:rsid w:val="00A00194"/>
    <w:rsid w:val="00A01ECA"/>
    <w:rsid w:val="00A20639"/>
    <w:rsid w:val="00A327FD"/>
    <w:rsid w:val="00A3723A"/>
    <w:rsid w:val="00A558F2"/>
    <w:rsid w:val="00A74E34"/>
    <w:rsid w:val="00A9698C"/>
    <w:rsid w:val="00B04A2C"/>
    <w:rsid w:val="00B23D3C"/>
    <w:rsid w:val="00B366D8"/>
    <w:rsid w:val="00B62642"/>
    <w:rsid w:val="00B6677F"/>
    <w:rsid w:val="00B74122"/>
    <w:rsid w:val="00B92617"/>
    <w:rsid w:val="00BA279B"/>
    <w:rsid w:val="00BA3767"/>
    <w:rsid w:val="00BB6366"/>
    <w:rsid w:val="00BD7CEA"/>
    <w:rsid w:val="00BE1E05"/>
    <w:rsid w:val="00BE62A7"/>
    <w:rsid w:val="00C25E5B"/>
    <w:rsid w:val="00C26786"/>
    <w:rsid w:val="00C36FA3"/>
    <w:rsid w:val="00C52D87"/>
    <w:rsid w:val="00C75B5A"/>
    <w:rsid w:val="00C812C7"/>
    <w:rsid w:val="00C8522B"/>
    <w:rsid w:val="00CB0386"/>
    <w:rsid w:val="00CB78E0"/>
    <w:rsid w:val="00D00129"/>
    <w:rsid w:val="00D03F29"/>
    <w:rsid w:val="00D11EC3"/>
    <w:rsid w:val="00D26B9F"/>
    <w:rsid w:val="00D666D2"/>
    <w:rsid w:val="00D83BEE"/>
    <w:rsid w:val="00DA42C4"/>
    <w:rsid w:val="00DE071B"/>
    <w:rsid w:val="00DE09CF"/>
    <w:rsid w:val="00DF7C9B"/>
    <w:rsid w:val="00E46CAC"/>
    <w:rsid w:val="00E505B8"/>
    <w:rsid w:val="00E60471"/>
    <w:rsid w:val="00E616A4"/>
    <w:rsid w:val="00E71315"/>
    <w:rsid w:val="00E73AB9"/>
    <w:rsid w:val="00E913DA"/>
    <w:rsid w:val="00EB631F"/>
    <w:rsid w:val="00ED5DFD"/>
    <w:rsid w:val="00F04641"/>
    <w:rsid w:val="00F11BFC"/>
    <w:rsid w:val="00F13538"/>
    <w:rsid w:val="00F50F33"/>
    <w:rsid w:val="00F74780"/>
    <w:rsid w:val="00F91C50"/>
    <w:rsid w:val="00FC5242"/>
    <w:rsid w:val="00FC6259"/>
    <w:rsid w:val="00FD286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5DD5A"/>
  <w15:docId w15:val="{E0CA7A96-C8FB-497F-8F59-8ACE128A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cs"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pBdr>
        <w:top w:val="single" w:sz="24" w:space="0" w:color="4472C4"/>
        <w:left w:val="single" w:sz="24" w:space="0" w:color="4472C4"/>
        <w:bottom w:val="single" w:sz="24" w:space="0" w:color="4472C4"/>
        <w:right w:val="single" w:sz="24" w:space="0" w:color="4472C4"/>
      </w:pBdr>
      <w:shd w:val="clear" w:color="auto" w:fill="4472C4"/>
      <w:spacing w:before="200" w:after="240" w:line="276" w:lineRule="auto"/>
      <w:outlineLvl w:val="0"/>
    </w:pPr>
    <w:rPr>
      <w:rFonts w:ascii="Arial" w:eastAsia="Arial" w:hAnsi="Arial" w:cs="Arial"/>
      <w:b/>
      <w:bCs/>
      <w:smallCaps/>
      <w:color w:val="FFFFFF"/>
      <w:sz w:val="22"/>
      <w:szCs w:val="22"/>
    </w:rPr>
  </w:style>
  <w:style w:type="paragraph" w:styleId="Nadpis2">
    <w:name w:val="heading 2"/>
    <w:basedOn w:val="Normln"/>
    <w:next w:val="Normln"/>
    <w:uiPriority w:val="9"/>
    <w:semiHidden/>
    <w:unhideWhenUsed/>
    <w:qFormat/>
    <w:pPr>
      <w:keepNext/>
      <w:keepLines/>
      <w:spacing w:before="240" w:after="120" w:line="276" w:lineRule="auto"/>
      <w:outlineLvl w:val="1"/>
    </w:pPr>
    <w:rPr>
      <w:rFonts w:ascii="Arial" w:eastAsia="Arial" w:hAnsi="Arial" w:cs="Arial"/>
      <w:b/>
      <w:bCs/>
      <w:color w:val="2F5496"/>
      <w:sz w:val="26"/>
      <w:szCs w:val="26"/>
    </w:rPr>
  </w:style>
  <w:style w:type="paragraph" w:styleId="Nadpis3">
    <w:name w:val="heading 3"/>
    <w:basedOn w:val="Normln"/>
    <w:next w:val="Normln"/>
    <w:uiPriority w:val="9"/>
    <w:semiHidden/>
    <w:unhideWhenUsed/>
    <w:qFormat/>
    <w:pPr>
      <w:keepNext/>
      <w:keepLines/>
      <w:spacing w:before="240" w:after="120" w:line="276" w:lineRule="auto"/>
      <w:outlineLvl w:val="2"/>
    </w:pPr>
    <w:rPr>
      <w:rFonts w:ascii="Arial" w:eastAsia="Arial" w:hAnsi="Arial" w:cs="Arial"/>
      <w:color w:val="1F3863"/>
    </w:rPr>
  </w:style>
  <w:style w:type="paragraph" w:styleId="Nadpis4">
    <w:name w:val="heading 4"/>
    <w:basedOn w:val="Normln"/>
    <w:next w:val="Normln"/>
    <w:uiPriority w:val="9"/>
    <w:semiHidden/>
    <w:unhideWhenUsed/>
    <w:qFormat/>
    <w:pPr>
      <w:keepNext/>
      <w:keepLines/>
      <w:spacing w:before="40" w:line="276" w:lineRule="auto"/>
      <w:outlineLvl w:val="3"/>
    </w:pPr>
    <w:rPr>
      <w:rFonts w:ascii="Calibri" w:eastAsia="Calibri" w:hAnsi="Calibri" w:cs="Calibri"/>
      <w:i/>
      <w:iCs/>
      <w:color w:val="2F5496"/>
      <w:sz w:val="22"/>
      <w:szCs w:val="22"/>
    </w:rPr>
  </w:style>
  <w:style w:type="paragraph" w:styleId="Nadpis5">
    <w:name w:val="heading 5"/>
    <w:basedOn w:val="Normln"/>
    <w:next w:val="Normln"/>
    <w:uiPriority w:val="9"/>
    <w:semiHidden/>
    <w:unhideWhenUsed/>
    <w:qFormat/>
    <w:pPr>
      <w:keepNext/>
      <w:keepLines/>
      <w:spacing w:before="220" w:after="40"/>
      <w:outlineLvl w:val="4"/>
    </w:pPr>
    <w:rPr>
      <w:b/>
      <w:bCs/>
      <w:sz w:val="22"/>
      <w:szCs w:val="22"/>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spacing w:before="720" w:after="200" w:line="276" w:lineRule="auto"/>
    </w:pPr>
    <w:rPr>
      <w:rFonts w:ascii="Arial" w:eastAsia="Arial" w:hAnsi="Arial" w:cs="Arial"/>
      <w:smallCaps/>
      <w:color w:val="4472C4"/>
      <w:sz w:val="52"/>
      <w:szCs w:val="52"/>
    </w:r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before="200"/>
    </w:pPr>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paragraph" w:styleId="Textkomente">
    <w:name w:val="annotation text"/>
    <w:basedOn w:val="Normln"/>
    <w:link w:val="TextkomenteChar"/>
    <w:uiPriority w:val="99"/>
    <w:unhideWhenUsed/>
    <w:rPr>
      <w:sz w:val="20"/>
      <w:szCs w:val="20"/>
    </w:rPr>
  </w:style>
  <w:style w:type="character" w:customStyle="1" w:styleId="TextkomenteChar">
    <w:name w:val="Text komentáře Char"/>
    <w:basedOn w:val="Standardnpsmoodstavce"/>
    <w:link w:val="Textkomente"/>
    <w:uiPriority w:val="99"/>
    <w:rPr>
      <w:sz w:val="20"/>
      <w:szCs w:val="20"/>
    </w:rPr>
  </w:style>
  <w:style w:type="character" w:styleId="Odkaznakoment">
    <w:name w:val="annotation reference"/>
    <w:basedOn w:val="Standardnpsmoodstavce"/>
    <w:uiPriority w:val="99"/>
    <w:semiHidden/>
    <w:unhideWhenUsed/>
    <w:rPr>
      <w:sz w:val="16"/>
      <w:szCs w:val="16"/>
    </w:rPr>
  </w:style>
  <w:style w:type="paragraph" w:styleId="Pedmtkomente">
    <w:name w:val="annotation subject"/>
    <w:basedOn w:val="Textkomente"/>
    <w:next w:val="Textkomente"/>
    <w:link w:val="PedmtkomenteChar"/>
    <w:uiPriority w:val="99"/>
    <w:semiHidden/>
    <w:unhideWhenUsed/>
    <w:rsid w:val="00584F33"/>
    <w:rPr>
      <w:b/>
      <w:bCs/>
    </w:rPr>
  </w:style>
  <w:style w:type="character" w:customStyle="1" w:styleId="PedmtkomenteChar">
    <w:name w:val="Předmět komentáře Char"/>
    <w:basedOn w:val="TextkomenteChar"/>
    <w:link w:val="Pedmtkomente"/>
    <w:uiPriority w:val="99"/>
    <w:semiHidden/>
    <w:rsid w:val="00584F33"/>
    <w:rPr>
      <w:b/>
      <w:bCs/>
      <w:sz w:val="20"/>
      <w:szCs w:val="20"/>
    </w:rPr>
  </w:style>
  <w:style w:type="paragraph" w:styleId="Revize">
    <w:name w:val="Revision"/>
    <w:hidden/>
    <w:uiPriority w:val="99"/>
    <w:semiHidden/>
    <w:rsid w:val="00B62642"/>
  </w:style>
  <w:style w:type="character" w:styleId="Hypertextovodkaz">
    <w:name w:val="Hyperlink"/>
    <w:basedOn w:val="Standardnpsmoodstavce"/>
    <w:uiPriority w:val="99"/>
    <w:unhideWhenUsed/>
    <w:rsid w:val="002F21C3"/>
    <w:rPr>
      <w:color w:val="0000FF" w:themeColor="hyperlink"/>
      <w:u w:val="single"/>
    </w:rPr>
  </w:style>
  <w:style w:type="character" w:styleId="Nevyeenzmnka">
    <w:name w:val="Unresolved Mention"/>
    <w:basedOn w:val="Standardnpsmoodstavce"/>
    <w:uiPriority w:val="99"/>
    <w:semiHidden/>
    <w:unhideWhenUsed/>
    <w:rsid w:val="002F21C3"/>
    <w:rPr>
      <w:color w:val="605E5C"/>
      <w:shd w:val="clear" w:color="auto" w:fill="E1DFDD"/>
    </w:rPr>
  </w:style>
  <w:style w:type="paragraph" w:styleId="Odstavecseseznamem">
    <w:name w:val="List Paragraph"/>
    <w:basedOn w:val="Normln"/>
    <w:uiPriority w:val="34"/>
    <w:qFormat/>
    <w:rsid w:val="002F21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github.com/openmobilityfoundation/mobility-data-specification"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iri.wolf@tsk-praha.cz"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iri.wolf@tsk-praha.cz"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consilium.europa.eu/cs/policies/eu-list-of-non-cooperative-jurisdictions/" TargetMode="External"/><Relationship Id="rId4" Type="http://schemas.openxmlformats.org/officeDocument/2006/relationships/settings" Target="settings.xml"/><Relationship Id="rId9" Type="http://schemas.openxmlformats.org/officeDocument/2006/relationships/hyperlink" Target="https://www.openmobilityfoundation.org/mds-user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53125-EC32-45DB-B2D3-77BEBBDC9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9053</Words>
  <Characters>53418</Characters>
  <Application>Microsoft Office Word</Application>
  <DocSecurity>0</DocSecurity>
  <Lines>445</Lines>
  <Paragraphs>124</Paragraphs>
  <ScaleCrop>false</ScaleCrop>
  <HeadingPairs>
    <vt:vector size="2" baseType="variant">
      <vt:variant>
        <vt:lpstr>Název</vt:lpstr>
      </vt:variant>
      <vt:variant>
        <vt:i4>1</vt:i4>
      </vt:variant>
    </vt:vector>
  </HeadingPairs>
  <TitlesOfParts>
    <vt:vector size="1" baseType="lpstr">
      <vt:lpstr/>
    </vt:vector>
  </TitlesOfParts>
  <Company>HAVEL &amp; PARTNERS</Company>
  <LinksUpToDate>false</LinksUpToDate>
  <CharactersWithSpaces>62347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Novák Libor</dc:creator>
  <cp:lastModifiedBy>Suchánková Lenka</cp:lastModifiedBy>
  <cp:revision>19</cp:revision>
  <dcterms:created xsi:type="dcterms:W3CDTF">2025-12-22T21:34:00Z</dcterms:created>
  <dcterms:modified xsi:type="dcterms:W3CDTF">2025-12-30T09:36:00Z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15a8442-68f3-4087-8f05-d564bed44e92_Enabled">
    <vt:lpwstr>true</vt:lpwstr>
  </property>
  <property fmtid="{D5CDD505-2E9C-101B-9397-08002B2CF9AE}" pid="3" name="MSIP_Label_f15a8442-68f3-4087-8f05-d564bed44e92_SetDate">
    <vt:lpwstr>2025-01-29T15:13:22Z</vt:lpwstr>
  </property>
  <property fmtid="{D5CDD505-2E9C-101B-9397-08002B2CF9AE}" pid="4" name="MSIP_Label_f15a8442-68f3-4087-8f05-d564bed44e92_Method">
    <vt:lpwstr>Standard</vt:lpwstr>
  </property>
  <property fmtid="{D5CDD505-2E9C-101B-9397-08002B2CF9AE}" pid="5" name="MSIP_Label_f15a8442-68f3-4087-8f05-d564bed44e92_Name">
    <vt:lpwstr>97171605-0670-4512-b8c8-ebe12520d29a</vt:lpwstr>
  </property>
  <property fmtid="{D5CDD505-2E9C-101B-9397-08002B2CF9AE}" pid="6" name="MSIP_Label_f15a8442-68f3-4087-8f05-d564bed44e92_SiteId">
    <vt:lpwstr>138f17b0-6ad5-4ddf-a195-24e73c3655fd</vt:lpwstr>
  </property>
  <property fmtid="{D5CDD505-2E9C-101B-9397-08002B2CF9AE}" pid="7" name="MSIP_Label_f15a8442-68f3-4087-8f05-d564bed44e92_ActionId">
    <vt:lpwstr>bdfaf87b-869d-404f-81dd-9ae1694841f9</vt:lpwstr>
  </property>
  <property fmtid="{D5CDD505-2E9C-101B-9397-08002B2CF9AE}" pid="8" name="MSIP_Label_f15a8442-68f3-4087-8f05-d564bed44e92_ContentBits">
    <vt:lpwstr>0</vt:lpwstr>
  </property>
  <property fmtid="{D5CDD505-2E9C-101B-9397-08002B2CF9AE}" pid="9" name="ContentTypeId">
    <vt:lpwstr>0x0101002914AC3128B0784891E932CF90611684</vt:lpwstr>
  </property>
  <property fmtid="{D5CDD505-2E9C-101B-9397-08002B2CF9AE}" pid="10" name="MediaServiceImageTags">
    <vt:lpwstr>MediaServiceImageTags</vt:lpwstr>
  </property>
</Properties>
</file>