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803"/>
        <w:gridCol w:w="614"/>
        <w:gridCol w:w="2268"/>
        <w:gridCol w:w="425"/>
        <w:gridCol w:w="567"/>
        <w:gridCol w:w="1418"/>
        <w:gridCol w:w="567"/>
        <w:gridCol w:w="2126"/>
      </w:tblGrid>
      <w:tr w:rsidR="002C5225" w:rsidRPr="00D01C84" w14:paraId="4EDED1BC" w14:textId="77777777" w:rsidTr="00F366CA">
        <w:trPr>
          <w:trHeight w:val="25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D2AC7" w14:textId="77777777" w:rsidR="002C5225" w:rsidRPr="00D01C84" w:rsidRDefault="00CD5C46" w:rsidP="008406A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1C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4</w:t>
            </w:r>
          </w:p>
        </w:tc>
      </w:tr>
      <w:tr w:rsidR="002C5225" w:rsidRPr="00D01C84" w14:paraId="6BCBDB01" w14:textId="77777777" w:rsidTr="00F366CA">
        <w:trPr>
          <w:trHeight w:val="25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0F109" w14:textId="712F156B" w:rsidR="002C5225" w:rsidRPr="00D01C84" w:rsidRDefault="00771386" w:rsidP="008406A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1C8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Dohoda o ceně - </w:t>
            </w:r>
            <w:r w:rsidRPr="00D01C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Dodatek B/2026</w:t>
            </w:r>
          </w:p>
        </w:tc>
      </w:tr>
      <w:tr w:rsidR="002C5225" w:rsidRPr="00D01C84" w14:paraId="6B458DAE" w14:textId="77777777" w:rsidTr="00F366CA">
        <w:trPr>
          <w:trHeight w:val="346"/>
        </w:trPr>
        <w:tc>
          <w:tcPr>
            <w:tcW w:w="97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9DB56B" w14:textId="62F99D3A" w:rsidR="002C5225" w:rsidRPr="00D01C84" w:rsidRDefault="00CD5C46" w:rsidP="00B057F3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01C8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Cenová</w:t>
            </w:r>
            <w:r w:rsidR="00315217" w:rsidRPr="00D01C8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771386" w:rsidRPr="00D01C8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 platební pravidla</w:t>
            </w:r>
          </w:p>
        </w:tc>
      </w:tr>
      <w:tr w:rsidR="002C5225" w:rsidRPr="00D01C84" w14:paraId="7E15D9CC" w14:textId="77777777" w:rsidTr="00517E43">
        <w:trPr>
          <w:trHeight w:val="25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34CF" w14:textId="77777777" w:rsidR="002C5225" w:rsidRPr="00D01C84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1C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D8EC" w14:textId="77777777" w:rsidR="002C5225" w:rsidRPr="00D01C84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1C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891DBD" w:rsidRPr="00D01C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</w:t>
            </w:r>
            <w:r w:rsidR="00517E43" w:rsidRPr="00D01C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č.</w:t>
            </w:r>
            <w:r w:rsidRPr="00D01C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D01C84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828C" w14:textId="77777777" w:rsidR="002C5225" w:rsidRPr="00D01C84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1C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00565</w:t>
            </w:r>
          </w:p>
        </w:tc>
      </w:tr>
      <w:tr w:rsidR="00214F61" w:rsidRPr="00D01C84" w14:paraId="113E4097" w14:textId="77777777" w:rsidTr="00F366CA">
        <w:trPr>
          <w:trHeight w:val="588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5601" w14:textId="77777777" w:rsidR="00214F61" w:rsidRPr="00D01C84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01C8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01C8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01C8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765D379B" w14:textId="77777777" w:rsidR="00C663B5" w:rsidRPr="00D01C84" w:rsidRDefault="00C663B5" w:rsidP="00C663B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712B2DF1" w14:textId="77777777" w:rsidR="00D57547" w:rsidRPr="00D01C84" w:rsidRDefault="00C663B5" w:rsidP="00C66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617A" w14:textId="77777777" w:rsidR="00214F61" w:rsidRPr="00D01C84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hAnsi="Arial" w:cs="Arial"/>
                <w:b/>
                <w:bCs/>
                <w:sz w:val="20"/>
                <w:szCs w:val="20"/>
              </w:rPr>
              <w:t>Okresní soud v Karlových Varech</w:t>
            </w:r>
          </w:p>
        </w:tc>
      </w:tr>
      <w:tr w:rsidR="00214F61" w:rsidRPr="00D01C84" w14:paraId="7FE84CAB" w14:textId="77777777" w:rsidTr="00F366CA">
        <w:trPr>
          <w:trHeight w:val="350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AE55" w14:textId="77777777" w:rsidR="00214F61" w:rsidRPr="00D01C84" w:rsidRDefault="00C663B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01C8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D01C84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10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C5AC" w14:textId="77777777" w:rsidR="00214F61" w:rsidRPr="00D01C84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D01C84" w14:paraId="7B794419" w14:textId="77777777" w:rsidTr="00F366CA">
        <w:trPr>
          <w:trHeight w:val="284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3FA0" w14:textId="77777777" w:rsidR="00214F61" w:rsidRPr="00D01C84" w:rsidRDefault="00C663B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8835" w14:textId="77777777" w:rsidR="00214F61" w:rsidRPr="00D01C84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1163/17</w:t>
            </w:r>
          </w:p>
        </w:tc>
      </w:tr>
      <w:tr w:rsidR="00214F61" w:rsidRPr="00D01C84" w14:paraId="18EBF90C" w14:textId="77777777" w:rsidTr="00F366CA">
        <w:trPr>
          <w:trHeight w:val="284"/>
        </w:trPr>
        <w:tc>
          <w:tcPr>
            <w:tcW w:w="467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7408" w14:textId="77777777" w:rsidR="00214F61" w:rsidRPr="00D01C84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E47FA" w14:textId="77777777" w:rsidR="00214F61" w:rsidRPr="00D01C84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</w:t>
            </w:r>
          </w:p>
        </w:tc>
      </w:tr>
      <w:tr w:rsidR="00C86C89" w:rsidRPr="00D01C84" w14:paraId="0CF8103A" w14:textId="77777777" w:rsidTr="00F366CA">
        <w:trPr>
          <w:trHeight w:val="561"/>
        </w:trPr>
        <w:tc>
          <w:tcPr>
            <w:tcW w:w="46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DEFD1" w14:textId="77777777" w:rsidR="00C86C89" w:rsidRPr="00D01C84" w:rsidRDefault="00013CBC" w:rsidP="003D0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F015" w14:textId="77777777" w:rsidR="00C86C89" w:rsidRPr="00D01C84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01C8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D01C84" w14:paraId="529CB006" w14:textId="77777777" w:rsidTr="00517E43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933632" w14:textId="77777777" w:rsidR="00D35011" w:rsidRPr="00D01C84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EDAF" w14:textId="77777777" w:rsidR="00D35011" w:rsidRPr="00D01C84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54464" w14:textId="77777777" w:rsidR="00D35011" w:rsidRPr="00D01C84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86CC" w14:textId="77777777" w:rsidR="00D35011" w:rsidRPr="00D01C84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F90B1C" w14:textId="77777777" w:rsidR="00D35011" w:rsidRPr="00D01C84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2A8E" w14:textId="77777777" w:rsidR="00D35011" w:rsidRPr="00D01C84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00024732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96D51" w14:textId="77777777" w:rsidR="00D35011" w:rsidRPr="00D01C84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8D33" w14:textId="77777777" w:rsidR="00D35011" w:rsidRPr="00D01C84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CZ00024732</w:t>
            </w:r>
          </w:p>
        </w:tc>
      </w:tr>
      <w:tr w:rsidR="00C86C89" w:rsidRPr="00D01C84" w14:paraId="37D92233" w14:textId="77777777" w:rsidTr="00F366CA">
        <w:trPr>
          <w:trHeight w:val="28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19AF7E" w14:textId="77777777" w:rsidR="00C86C89" w:rsidRPr="00D01C84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6265" w14:textId="77777777" w:rsidR="00C86C89" w:rsidRPr="00D01C84" w:rsidRDefault="00F7142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C18C91" w14:textId="77777777" w:rsidR="00C86C89" w:rsidRPr="00D01C84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6248" w14:textId="77777777" w:rsidR="00C86C89" w:rsidRPr="00D01C84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226-341/0710</w:t>
            </w:r>
          </w:p>
        </w:tc>
      </w:tr>
      <w:tr w:rsidR="002C5225" w:rsidRPr="00D01C84" w14:paraId="6D273A91" w14:textId="77777777" w:rsidTr="009E44B5">
        <w:trPr>
          <w:cantSplit/>
          <w:trHeight w:val="723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1C14B" w14:textId="77777777" w:rsidR="002C5225" w:rsidRPr="00D01C84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C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pro zasílání </w:t>
            </w:r>
            <w:proofErr w:type="spellStart"/>
            <w:r w:rsidRPr="00D01C84">
              <w:rPr>
                <w:rFonts w:ascii="Arial" w:hAnsi="Arial" w:cs="Arial"/>
                <w:b/>
                <w:bCs/>
                <w:sz w:val="20"/>
                <w:szCs w:val="20"/>
              </w:rPr>
              <w:t>korespodence</w:t>
            </w:r>
            <w:proofErr w:type="spellEnd"/>
            <w:r w:rsidRPr="00D01C8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1131D" w14:textId="77777777" w:rsidR="009E44B5" w:rsidRPr="00D01C84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C84">
              <w:rPr>
                <w:rFonts w:ascii="Arial" w:hAnsi="Arial" w:cs="Arial"/>
                <w:b/>
                <w:bCs/>
                <w:sz w:val="20"/>
                <w:szCs w:val="20"/>
              </w:rPr>
              <w:t>Okresní soud v Karlových Varech</w:t>
            </w:r>
          </w:p>
        </w:tc>
      </w:tr>
      <w:tr w:rsidR="002C5225" w:rsidRPr="00D01C84" w14:paraId="7F8237F3" w14:textId="77777777" w:rsidTr="00F366CA">
        <w:trPr>
          <w:cantSplit/>
          <w:trHeight w:val="284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EB069" w14:textId="77777777" w:rsidR="002C5225" w:rsidRPr="00D01C84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256A2" w14:textId="77777777" w:rsidR="002C5225" w:rsidRPr="00D01C84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C84">
              <w:rPr>
                <w:rFonts w:ascii="Arial" w:hAnsi="Arial" w:cs="Arial"/>
                <w:b/>
                <w:bCs/>
                <w:sz w:val="16"/>
                <w:szCs w:val="16"/>
              </w:rPr>
              <w:t>Moskevská 1163/17</w:t>
            </w:r>
          </w:p>
        </w:tc>
      </w:tr>
      <w:tr w:rsidR="002C5225" w:rsidRPr="00D01C84" w14:paraId="5C7B4419" w14:textId="77777777" w:rsidTr="00F366CA">
        <w:trPr>
          <w:cantSplit/>
          <w:trHeight w:val="284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960D6" w14:textId="77777777" w:rsidR="002C5225" w:rsidRPr="00D01C84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B974" w14:textId="77777777" w:rsidR="002C5225" w:rsidRPr="00D01C84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1C84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14:paraId="7FF04C51" w14:textId="77777777" w:rsidR="006B68F9" w:rsidRPr="00D01C84" w:rsidRDefault="006B68F9" w:rsidP="00756A93">
      <w:pPr>
        <w:spacing w:after="0" w:line="120" w:lineRule="auto"/>
        <w:ind w:left="-142"/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16"/>
      </w:tblPr>
      <w:tblGrid>
        <w:gridCol w:w="567"/>
        <w:gridCol w:w="851"/>
        <w:gridCol w:w="1062"/>
        <w:gridCol w:w="1489"/>
        <w:gridCol w:w="567"/>
        <w:gridCol w:w="425"/>
        <w:gridCol w:w="284"/>
        <w:gridCol w:w="709"/>
        <w:gridCol w:w="55"/>
        <w:gridCol w:w="87"/>
        <w:gridCol w:w="1121"/>
        <w:gridCol w:w="225"/>
        <w:gridCol w:w="534"/>
        <w:gridCol w:w="529"/>
        <w:gridCol w:w="371"/>
        <w:gridCol w:w="905"/>
      </w:tblGrid>
      <w:tr w:rsidR="005647A6" w:rsidRPr="00D01C84" w14:paraId="2DACE6FA" w14:textId="77777777" w:rsidTr="00097E92">
        <w:trPr>
          <w:trHeight w:val="255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CCC71" w14:textId="77777777" w:rsidR="005647A6" w:rsidRPr="00D01C84" w:rsidRDefault="00A41555" w:rsidP="00F40B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1C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</w:t>
            </w:r>
            <w:r w:rsidR="00F40B71" w:rsidRPr="00D01C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ých </w:t>
            </w:r>
            <w:r w:rsidR="00775330" w:rsidRPr="00D01C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míst</w:t>
            </w:r>
            <w:r w:rsidR="00F40B71" w:rsidRPr="00D01C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ech</w:t>
            </w:r>
            <w:r w:rsidRPr="00D01C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DF32" w14:textId="77777777" w:rsidR="005647A6" w:rsidRPr="00D01C84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5A54" w14:textId="77777777" w:rsidR="005647A6" w:rsidRPr="00D01C84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2834" w14:textId="77777777" w:rsidR="005647A6" w:rsidRPr="00D01C84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04B8" w14:textId="77777777" w:rsidR="005647A6" w:rsidRPr="00D01C84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D8AB" w14:textId="77777777" w:rsidR="005647A6" w:rsidRPr="00D01C84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D915" w14:textId="77777777" w:rsidR="005647A6" w:rsidRPr="00D01C84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D01C84" w14:paraId="625B5BF4" w14:textId="77777777" w:rsidTr="00097E92">
        <w:trPr>
          <w:trHeight w:val="148"/>
        </w:trPr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25D152" w14:textId="77777777" w:rsidR="0089689E" w:rsidRPr="00D01C84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DC2217" w14:textId="77777777" w:rsidR="0089689E" w:rsidRPr="00D01C84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148407" w14:textId="77777777" w:rsidR="0089689E" w:rsidRPr="00D01C84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9D8CE" w14:textId="77777777" w:rsidR="0089689E" w:rsidRPr="00D01C84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9F55FD" w14:textId="77777777" w:rsidR="0089689E" w:rsidRPr="00D01C84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B2AE1D" w14:textId="77777777" w:rsidR="0089689E" w:rsidRPr="00D01C84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7B41" w14:textId="77777777" w:rsidR="0089689E" w:rsidRPr="00D01C84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D01C84" w14:paraId="7516608A" w14:textId="77777777" w:rsidTr="00097E92">
        <w:trPr>
          <w:trHeight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E39CB2" w14:textId="77777777" w:rsidR="00EF751B" w:rsidRPr="00D01C84" w:rsidRDefault="00EF751B" w:rsidP="00FA35E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3892" w14:textId="77777777" w:rsidR="00EF751B" w:rsidRPr="00D01C84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P-0100-040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2A260F" w14:textId="77777777" w:rsidR="00EF751B" w:rsidRPr="00D01C84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F24D" w14:textId="77777777" w:rsidR="00EF751B" w:rsidRPr="00D01C84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Moskevská 17, Okresní soud</w:t>
            </w:r>
          </w:p>
        </w:tc>
      </w:tr>
      <w:tr w:rsidR="008406A9" w:rsidRPr="00D01C84" w14:paraId="0397A6A5" w14:textId="77777777" w:rsidTr="00097E92">
        <w:trPr>
          <w:trHeight w:val="2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95FA" w14:textId="77777777" w:rsidR="008406A9" w:rsidRPr="00D01C84" w:rsidRDefault="008406A9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7DCD" w14:textId="77777777" w:rsidR="008406A9" w:rsidRPr="00D01C84" w:rsidRDefault="006939F8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6DD32" w14:textId="77777777" w:rsidR="008406A9" w:rsidRPr="00D01C84" w:rsidRDefault="008406A9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71B9" w14:textId="77777777" w:rsidR="008406A9" w:rsidRPr="00D01C84" w:rsidRDefault="00053199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D01C8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8406A9" w:rsidRPr="00D01C84" w14:paraId="794C4DC0" w14:textId="77777777" w:rsidTr="00097E92">
        <w:trPr>
          <w:trHeight w:val="2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B2A6" w14:textId="77777777" w:rsidR="008406A9" w:rsidRPr="00D01C84" w:rsidRDefault="008406A9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Tarif:   </w:t>
            </w:r>
            <w:proofErr w:type="gramEnd"/>
            <w:r w:rsidRPr="00D01C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</w:t>
            </w: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78AD" w14:textId="77777777" w:rsidR="008406A9" w:rsidRPr="00D01C84" w:rsidRDefault="008406A9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D01C84">
              <w:rPr>
                <w:rFonts w:ascii="Arial" w:hAnsi="Arial" w:cs="Arial"/>
                <w:b/>
                <w:bCs/>
                <w:sz w:val="16"/>
                <w:szCs w:val="16"/>
              </w:rPr>
              <w:t>2026 Teplo z prim. rozvodů - dvousložková sazba</w:t>
            </w:r>
          </w:p>
        </w:tc>
      </w:tr>
      <w:tr w:rsidR="007878A4" w:rsidRPr="00D01C84" w14:paraId="53124A8F" w14:textId="77777777" w:rsidTr="00097E92">
        <w:trPr>
          <w:trHeight w:val="255"/>
        </w:trPr>
        <w:tc>
          <w:tcPr>
            <w:tcW w:w="9781" w:type="dxa"/>
            <w:gridSpan w:val="1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F4FB4D5" w14:textId="77777777" w:rsidR="007878A4" w:rsidRPr="00D01C84" w:rsidRDefault="007878A4" w:rsidP="007878A4">
            <w:pPr>
              <w:tabs>
                <w:tab w:val="left" w:pos="3885"/>
              </w:tabs>
              <w:spacing w:after="0"/>
              <w:ind w:left="-142" w:right="-426" w:firstLine="426"/>
              <w:rPr>
                <w:rFonts w:ascii="Arial" w:hAnsi="Arial" w:cs="Arial"/>
                <w:sz w:val="16"/>
                <w:szCs w:val="16"/>
              </w:rPr>
            </w:pPr>
          </w:p>
          <w:p w14:paraId="2FD959C6" w14:textId="77777777" w:rsidR="007878A4" w:rsidRPr="00D01C84" w:rsidRDefault="007878A4" w:rsidP="007878A4">
            <w:pPr>
              <w:tabs>
                <w:tab w:val="left" w:pos="3885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Čl. I</w:t>
            </w:r>
          </w:p>
          <w:p w14:paraId="4D9200B4" w14:textId="77777777" w:rsidR="00771386" w:rsidRPr="00D01C84" w:rsidRDefault="00771386" w:rsidP="00771386">
            <w:pPr>
              <w:spacing w:after="60"/>
              <w:ind w:left="255" w:hanging="25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1. Cena za dodávku tepla se stanoví jako cena regulovaná v souladu s §6 zákona č. 526/1990 Sb. o cenách, a souvisejícími cenovými předpisy a opatřeními Energetického regulačního úřadu.</w:t>
            </w:r>
          </w:p>
          <w:p w14:paraId="7531D5D9" w14:textId="77777777" w:rsidR="00771386" w:rsidRPr="00D01C84" w:rsidRDefault="00771386" w:rsidP="00771386">
            <w:pPr>
              <w:spacing w:after="60" w:line="240" w:lineRule="auto"/>
              <w:ind w:left="255" w:hanging="25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 xml:space="preserve">2. Stálá platba je za sjednaný tepelný výkon v MW u dvousložkové sazby. Tento tepelný výkon je smluvně dohodnutý  </w:t>
            </w:r>
          </w:p>
          <w:p w14:paraId="13E5EB95" w14:textId="77777777" w:rsidR="00771386" w:rsidRPr="00D01C84" w:rsidRDefault="00771386" w:rsidP="00771386">
            <w:pPr>
              <w:spacing w:after="60"/>
              <w:ind w:left="255" w:hanging="25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 xml:space="preserve">    v příloze č. 3 - Odběrový diagram – Sjednaný tepelný výkon.</w:t>
            </w:r>
          </w:p>
          <w:p w14:paraId="768B6F71" w14:textId="77777777" w:rsidR="00771386" w:rsidRPr="00D01C84" w:rsidRDefault="00771386" w:rsidP="00771386">
            <w:pPr>
              <w:spacing w:after="60"/>
              <w:ind w:left="255" w:hanging="25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ab/>
              <w:t>2.1. Stálá roční platba za sjednaný tepelný výkon se odběrateli fakturuje ve dvanácti stejných měsíčních splátkách.</w:t>
            </w:r>
          </w:p>
          <w:p w14:paraId="5E3F4AB8" w14:textId="77777777" w:rsidR="00771386" w:rsidRPr="00D01C84" w:rsidRDefault="00771386" w:rsidP="00771386">
            <w:pPr>
              <w:spacing w:after="60"/>
              <w:ind w:left="255" w:hanging="25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ab/>
              <w:t>2.2. Při uzavření smlouvy o dodávce a odběru tepla v průběhu kalendářního roku hradí odběratel stálou platbu za sjednaný tepelný výkon, počínaje měsícem, v němž podle uzavřené Smlouvy na dodávku a odběr tepla došlo k zahájení odběru tepla.</w:t>
            </w:r>
          </w:p>
          <w:p w14:paraId="3D225AAC" w14:textId="77777777" w:rsidR="00771386" w:rsidRPr="00D01C84" w:rsidRDefault="00771386" w:rsidP="00771386">
            <w:pPr>
              <w:spacing w:after="60"/>
              <w:ind w:left="255" w:hanging="25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ab/>
              <w:t xml:space="preserve">2.3. Při přerušení odběru tepla ze strany odběratele platí odběratel platby za sjednaný tepelný výkon v plné </w:t>
            </w:r>
            <w:proofErr w:type="gramStart"/>
            <w:r w:rsidRPr="00D01C84">
              <w:rPr>
                <w:rFonts w:ascii="Arial" w:hAnsi="Arial" w:cs="Arial"/>
                <w:sz w:val="16"/>
                <w:szCs w:val="16"/>
              </w:rPr>
              <w:t>výši</w:t>
            </w:r>
            <w:proofErr w:type="gramEnd"/>
            <w:r w:rsidRPr="00D01C84">
              <w:rPr>
                <w:rFonts w:ascii="Arial" w:hAnsi="Arial" w:cs="Arial"/>
                <w:sz w:val="16"/>
                <w:szCs w:val="16"/>
              </w:rPr>
              <w:t xml:space="preserve"> a to až do konce měsíce, kdy se odběratel s dodavatelem dohodne o změně Smlouvy na dodávku a odběr tepla.</w:t>
            </w:r>
          </w:p>
          <w:p w14:paraId="69FD4C8D" w14:textId="77777777" w:rsidR="00771386" w:rsidRPr="00D01C84" w:rsidRDefault="00771386" w:rsidP="00771386">
            <w:pPr>
              <w:spacing w:after="60"/>
              <w:ind w:left="255" w:hanging="25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ab/>
              <w:t>2.4. Při skončení odběru tepla v průběhu měsíce zaplatí odběratel plnou částku platby za smluvní tepelný výkon za měsíc, ve kterém dojde k ukončení odběru.</w:t>
            </w:r>
          </w:p>
          <w:p w14:paraId="593B4D53" w14:textId="356EB5C9" w:rsidR="007878A4" w:rsidRPr="00D01C84" w:rsidRDefault="00771386" w:rsidP="00771386">
            <w:pPr>
              <w:spacing w:after="60"/>
              <w:ind w:left="255" w:hanging="255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3.  Cena tepla v místě předání – dvousložková sazba:</w:t>
            </w:r>
          </w:p>
        </w:tc>
      </w:tr>
      <w:tr w:rsidR="007878A4" w:rsidRPr="00D01C84" w14:paraId="26549F31" w14:textId="77777777" w:rsidTr="00097E92">
        <w:trPr>
          <w:trHeight w:val="469"/>
        </w:trPr>
        <w:tc>
          <w:tcPr>
            <w:tcW w:w="567" w:type="dxa"/>
            <w:shd w:val="clear" w:color="auto" w:fill="auto"/>
            <w:noWrap/>
            <w:tcMar>
              <w:right w:w="28" w:type="dxa"/>
            </w:tcMar>
          </w:tcPr>
          <w:p w14:paraId="7FC32EE1" w14:textId="77777777" w:rsidR="007878A4" w:rsidRPr="00D01C84" w:rsidRDefault="007878A4" w:rsidP="00787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C84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9214" w:type="dxa"/>
            <w:gridSpan w:val="15"/>
            <w:shd w:val="clear" w:color="auto" w:fill="auto"/>
          </w:tcPr>
          <w:p w14:paraId="7DEA7342" w14:textId="4600DFEB" w:rsidR="007878A4" w:rsidRPr="00D01C84" w:rsidRDefault="00771386" w:rsidP="004B1FEA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stálá platba za sjednaný tepelný výkon (viz příloha č. 3 Odběrový diagram, odstavec 5. Sjednaný tepelný výkon)</w:t>
            </w:r>
          </w:p>
        </w:tc>
      </w:tr>
      <w:tr w:rsidR="007878A4" w:rsidRPr="00D01C84" w14:paraId="556F3CEE" w14:textId="77777777" w:rsidTr="00097E92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</w:tcPr>
          <w:p w14:paraId="176BEA27" w14:textId="77777777" w:rsidR="007878A4" w:rsidRPr="00D01C84" w:rsidRDefault="007878A4" w:rsidP="007878A4">
            <w:pPr>
              <w:tabs>
                <w:tab w:val="left" w:pos="3885"/>
              </w:tabs>
              <w:spacing w:after="0"/>
              <w:ind w:left="-142" w:right="-426" w:firstLine="42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9"/>
            <w:shd w:val="clear" w:color="auto" w:fill="auto"/>
          </w:tcPr>
          <w:p w14:paraId="22029B5C" w14:textId="44455095" w:rsidR="007878A4" w:rsidRPr="00D01C84" w:rsidRDefault="007878A4" w:rsidP="007878A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 xml:space="preserve">stálá platba za sjednaný </w:t>
            </w:r>
            <w:r w:rsidR="00771386" w:rsidRPr="00D01C84">
              <w:rPr>
                <w:rFonts w:ascii="Arial" w:hAnsi="Arial" w:cs="Arial"/>
                <w:sz w:val="16"/>
                <w:szCs w:val="16"/>
              </w:rPr>
              <w:t xml:space="preserve">tepelný </w:t>
            </w:r>
            <w:r w:rsidRPr="00D01C84">
              <w:rPr>
                <w:rFonts w:ascii="Arial" w:hAnsi="Arial" w:cs="Arial"/>
                <w:sz w:val="16"/>
                <w:szCs w:val="16"/>
              </w:rPr>
              <w:t>výkon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590ECCF2" w14:textId="77777777" w:rsidR="007878A4" w:rsidRPr="00D01C84" w:rsidRDefault="007878A4" w:rsidP="006F6A8B">
            <w:pPr>
              <w:spacing w:after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1 250 400,00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D9466B" w14:textId="77777777" w:rsidR="007878A4" w:rsidRPr="00D01C84" w:rsidRDefault="007878A4" w:rsidP="006F6A8B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Kč/MW/rok</w:t>
            </w:r>
          </w:p>
        </w:tc>
      </w:tr>
      <w:tr w:rsidR="007878A4" w:rsidRPr="00D01C84" w14:paraId="1CEE5633" w14:textId="77777777" w:rsidTr="00097E92">
        <w:trPr>
          <w:trHeight w:val="255"/>
        </w:trPr>
        <w:tc>
          <w:tcPr>
            <w:tcW w:w="567" w:type="dxa"/>
            <w:shd w:val="clear" w:color="auto" w:fill="auto"/>
            <w:noWrap/>
            <w:tcMar>
              <w:right w:w="28" w:type="dxa"/>
            </w:tcMar>
          </w:tcPr>
          <w:p w14:paraId="278149EF" w14:textId="77777777" w:rsidR="007878A4" w:rsidRPr="00D01C84" w:rsidRDefault="007878A4" w:rsidP="009C64D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C84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5529" w:type="dxa"/>
            <w:gridSpan w:val="9"/>
            <w:shd w:val="clear" w:color="auto" w:fill="auto"/>
          </w:tcPr>
          <w:p w14:paraId="25FE16A4" w14:textId="77777777" w:rsidR="007878A4" w:rsidRPr="00D01C84" w:rsidRDefault="007878A4" w:rsidP="009C64D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za odebranou tepelnou energii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1FB749A0" w14:textId="77777777" w:rsidR="007878A4" w:rsidRPr="00D01C84" w:rsidRDefault="007878A4" w:rsidP="009C64D0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59053DE" w14:textId="77777777" w:rsidR="007878A4" w:rsidRPr="00D01C84" w:rsidRDefault="007878A4" w:rsidP="009C64D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4D0" w:rsidRPr="00D01C84" w14:paraId="2A045DDE" w14:textId="77777777" w:rsidTr="00097E92">
        <w:trPr>
          <w:trHeight w:val="255"/>
        </w:trPr>
        <w:tc>
          <w:tcPr>
            <w:tcW w:w="567" w:type="dxa"/>
            <w:shd w:val="clear" w:color="auto" w:fill="auto"/>
            <w:noWrap/>
            <w:tcMar>
              <w:right w:w="28" w:type="dxa"/>
            </w:tcMar>
          </w:tcPr>
          <w:p w14:paraId="7E6DA13D" w14:textId="77777777" w:rsidR="009C64D0" w:rsidRPr="00D01C84" w:rsidRDefault="009C64D0" w:rsidP="009C64D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9"/>
            <w:shd w:val="clear" w:color="auto" w:fill="auto"/>
          </w:tcPr>
          <w:p w14:paraId="4ECFA2A3" w14:textId="77777777" w:rsidR="009C64D0" w:rsidRPr="00D01C84" w:rsidRDefault="009C64D0" w:rsidP="009C64D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cena za odebranou tepelnou energii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0E9F1C43" w14:textId="77777777" w:rsidR="009C64D0" w:rsidRPr="00D01C84" w:rsidRDefault="009C64D0" w:rsidP="009C64D0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2 650,00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90BF00A" w14:textId="54B92E07" w:rsidR="009C64D0" w:rsidRPr="00D01C84" w:rsidRDefault="00771386" w:rsidP="009C64D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Kč/</w:t>
            </w:r>
            <w:proofErr w:type="spellStart"/>
            <w:r w:rsidRPr="00D01C84">
              <w:rPr>
                <w:rFonts w:ascii="Arial" w:hAnsi="Arial" w:cs="Arial"/>
                <w:sz w:val="16"/>
                <w:szCs w:val="16"/>
              </w:rPr>
              <w:t>MWh</w:t>
            </w:r>
            <w:proofErr w:type="spellEnd"/>
          </w:p>
        </w:tc>
      </w:tr>
      <w:tr w:rsidR="009C64D0" w:rsidRPr="00D01C84" w14:paraId="2945FA7A" w14:textId="77777777" w:rsidTr="00097E92">
        <w:trPr>
          <w:trHeight w:val="255"/>
        </w:trPr>
        <w:tc>
          <w:tcPr>
            <w:tcW w:w="567" w:type="dxa"/>
            <w:shd w:val="clear" w:color="auto" w:fill="auto"/>
            <w:noWrap/>
            <w:tcMar>
              <w:right w:w="28" w:type="dxa"/>
            </w:tcMar>
          </w:tcPr>
          <w:p w14:paraId="0491C3E7" w14:textId="77777777" w:rsidR="009C64D0" w:rsidRPr="00D01C84" w:rsidRDefault="009C64D0" w:rsidP="009C64D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9"/>
            <w:shd w:val="clear" w:color="auto" w:fill="auto"/>
          </w:tcPr>
          <w:p w14:paraId="67151582" w14:textId="76C5AE7F" w:rsidR="009C64D0" w:rsidRPr="00D01C84" w:rsidRDefault="009C64D0" w:rsidP="009C64D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4"/>
            <w:shd w:val="clear" w:color="auto" w:fill="auto"/>
          </w:tcPr>
          <w:p w14:paraId="2EE71CF4" w14:textId="18C43CC5" w:rsidR="009C64D0" w:rsidRPr="00D01C84" w:rsidRDefault="009C64D0" w:rsidP="009C64D0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34E98BA" w14:textId="3B5C0425" w:rsidR="009C64D0" w:rsidRPr="00D01C84" w:rsidRDefault="009C64D0" w:rsidP="009C64D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4D0" w:rsidRPr="00D01C84" w14:paraId="43A602AC" w14:textId="77777777" w:rsidTr="00097E92">
        <w:trPr>
          <w:trHeight w:val="255"/>
        </w:trPr>
        <w:tc>
          <w:tcPr>
            <w:tcW w:w="567" w:type="dxa"/>
            <w:shd w:val="clear" w:color="auto" w:fill="auto"/>
            <w:noWrap/>
            <w:tcMar>
              <w:right w:w="28" w:type="dxa"/>
            </w:tcMar>
          </w:tcPr>
          <w:p w14:paraId="7CA6EB2A" w14:textId="77777777" w:rsidR="009C64D0" w:rsidRPr="00D01C84" w:rsidRDefault="009C64D0" w:rsidP="009C64D0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9"/>
            <w:shd w:val="clear" w:color="auto" w:fill="auto"/>
          </w:tcPr>
          <w:p w14:paraId="2A98AA16" w14:textId="61D4A0F8" w:rsidR="009C64D0" w:rsidRPr="00D01C84" w:rsidRDefault="00BC4CC8" w:rsidP="009C64D0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+ daň z přidané hodnoty dle současné právní úpravy.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3DC1E356" w14:textId="2FB5AAD3" w:rsidR="009C64D0" w:rsidRPr="00D01C84" w:rsidRDefault="009C64D0" w:rsidP="009C64D0">
            <w:pPr>
              <w:spacing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23B2FCF" w14:textId="67672A61" w:rsidR="009C64D0" w:rsidRPr="00D01C84" w:rsidRDefault="009C64D0" w:rsidP="009C64D0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4D0" w:rsidRPr="00D01C84" w14:paraId="5F56CC73" w14:textId="77777777" w:rsidTr="00097E92">
        <w:trPr>
          <w:trHeight w:val="255"/>
        </w:trPr>
        <w:tc>
          <w:tcPr>
            <w:tcW w:w="9781" w:type="dxa"/>
            <w:gridSpan w:val="16"/>
            <w:shd w:val="clear" w:color="auto" w:fill="auto"/>
            <w:noWrap/>
            <w:tcMar>
              <w:right w:w="28" w:type="dxa"/>
            </w:tcMar>
          </w:tcPr>
          <w:p w14:paraId="52C15E98" w14:textId="59A6749D" w:rsidR="009C64D0" w:rsidRPr="00D01C84" w:rsidRDefault="009C64D0" w:rsidP="00BC4CC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</w:tc>
      </w:tr>
      <w:tr w:rsidR="00867902" w:rsidRPr="00D01C84" w14:paraId="49B4A2E6" w14:textId="77777777" w:rsidTr="00097E92">
        <w:trPr>
          <w:trHeight w:val="255"/>
        </w:trPr>
        <w:tc>
          <w:tcPr>
            <w:tcW w:w="9781" w:type="dxa"/>
            <w:gridSpan w:val="16"/>
            <w:shd w:val="clear" w:color="auto" w:fill="auto"/>
            <w:noWrap/>
            <w:tcMar>
              <w:right w:w="28" w:type="dxa"/>
            </w:tcMar>
          </w:tcPr>
          <w:p w14:paraId="4C06E34F" w14:textId="77777777" w:rsidR="00771386" w:rsidRPr="00D01C84" w:rsidRDefault="00771386" w:rsidP="00771386">
            <w:pPr>
              <w:spacing w:before="120" w:after="60"/>
              <w:ind w:left="255" w:hanging="25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4. Při změně ceny tepla dodavatel prokazatelně doručí odběrateli upravený text přílohy č. 4 Smlouvy o dodávce a odběru tepla.</w:t>
            </w:r>
          </w:p>
          <w:p w14:paraId="3F4B3A92" w14:textId="77777777" w:rsidR="00771386" w:rsidRPr="00D01C84" w:rsidRDefault="00771386" w:rsidP="007713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 xml:space="preserve">5. Dodavatel si vyhrazuje právo jednostranně provést změnu ceny tepla v případě změny příslušných předpisů, změny cen vstupů  </w:t>
            </w:r>
          </w:p>
          <w:p w14:paraId="4412C9F5" w14:textId="77777777" w:rsidR="00771386" w:rsidRPr="00D01C84" w:rsidRDefault="00771386" w:rsidP="007713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 xml:space="preserve">    nebo nepředpokládaného vývoje nákladů, a to po oznámení odběrateli. Změna ceny bude odběrateli prokazatelně oznámena.</w:t>
            </w:r>
          </w:p>
          <w:p w14:paraId="1FDA8A75" w14:textId="77777777" w:rsidR="00771386" w:rsidRPr="00D01C84" w:rsidRDefault="00771386" w:rsidP="00771386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 xml:space="preserve">    Pokud byla změna ceny oznámena do 15. dne v měsíci, vstupuje v platnost od prvního dne měsíce následujícího.     </w:t>
            </w:r>
          </w:p>
          <w:p w14:paraId="1DFE64CD" w14:textId="77777777" w:rsidR="00771386" w:rsidRPr="00D01C84" w:rsidRDefault="00771386" w:rsidP="0077138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6. Pokud není změna ceny doručena do 15. dne v měsíci, vchází v platnost od 1. dne měsíce následujícího po měsíci navrhovaném.</w:t>
            </w:r>
          </w:p>
          <w:p w14:paraId="0EE06D84" w14:textId="77777777" w:rsidR="007C45B4" w:rsidRPr="00D01C84" w:rsidRDefault="007C45B4" w:rsidP="00867902">
            <w:pPr>
              <w:tabs>
                <w:tab w:val="left" w:pos="3885"/>
              </w:tabs>
              <w:spacing w:before="12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D61327" w14:textId="77777777" w:rsidR="007C45B4" w:rsidRPr="00D01C84" w:rsidRDefault="007C45B4" w:rsidP="00867902">
            <w:pPr>
              <w:tabs>
                <w:tab w:val="left" w:pos="3885"/>
              </w:tabs>
              <w:spacing w:before="12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A9B3D4" w14:textId="77777777" w:rsidR="007C45B4" w:rsidRPr="00D01C84" w:rsidRDefault="007C45B4" w:rsidP="00867902">
            <w:pPr>
              <w:tabs>
                <w:tab w:val="left" w:pos="3885"/>
              </w:tabs>
              <w:spacing w:before="12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64C519" w14:textId="77777777" w:rsidR="007C45B4" w:rsidRPr="00D01C84" w:rsidRDefault="007C45B4" w:rsidP="00867902">
            <w:pPr>
              <w:tabs>
                <w:tab w:val="left" w:pos="3885"/>
              </w:tabs>
              <w:spacing w:before="12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EA3E4C" w14:textId="77777777" w:rsidR="00867902" w:rsidRPr="00D01C84" w:rsidRDefault="00867902" w:rsidP="00867902">
            <w:pPr>
              <w:tabs>
                <w:tab w:val="left" w:pos="3885"/>
              </w:tabs>
              <w:spacing w:before="12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Čl. II</w:t>
            </w:r>
          </w:p>
          <w:p w14:paraId="0764F14F" w14:textId="77777777" w:rsidR="00867902" w:rsidRPr="00D01C84" w:rsidRDefault="00867902" w:rsidP="00867902">
            <w:pPr>
              <w:tabs>
                <w:tab w:val="left" w:pos="3885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Platební podmínky</w:t>
            </w:r>
          </w:p>
          <w:p w14:paraId="249856E2" w14:textId="77777777" w:rsidR="00771386" w:rsidRPr="00D01C84" w:rsidRDefault="00771386" w:rsidP="00771386">
            <w:pPr>
              <w:spacing w:after="60"/>
              <w:ind w:left="255" w:hanging="255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1. Účtovací období je jeden kalendářní měsíc.</w:t>
            </w:r>
          </w:p>
          <w:p w14:paraId="0349EF80" w14:textId="7B524F34" w:rsidR="00771386" w:rsidRPr="00D01C84" w:rsidRDefault="00771386" w:rsidP="00771386">
            <w:pPr>
              <w:spacing w:after="60"/>
              <w:ind w:left="255" w:hanging="25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 xml:space="preserve">2. Výši úhrady za dodávku tepla v daném měsíci vyúčtuje dodavatel odběrateli formou faktury se všemi náležitostmi daňového dokladu do 15 dnů po skončení účtovacího období. Lhůta splatnosti této faktury je </w:t>
            </w:r>
            <w:r w:rsidR="00BC4CC8" w:rsidRPr="00D01C84">
              <w:rPr>
                <w:rFonts w:ascii="Arial" w:hAnsi="Arial" w:cs="Arial"/>
                <w:sz w:val="16"/>
                <w:szCs w:val="16"/>
              </w:rPr>
              <w:t>15</w:t>
            </w:r>
            <w:r w:rsidR="00B5003E" w:rsidRPr="00D01C84">
              <w:rPr>
                <w:rFonts w:ascii="Arial" w:hAnsi="Arial" w:cs="Arial"/>
                <w:sz w:val="16"/>
                <w:szCs w:val="16"/>
              </w:rPr>
              <w:t xml:space="preserve"> dnů</w:t>
            </w:r>
            <w:r w:rsidRPr="00D01C84">
              <w:rPr>
                <w:rFonts w:ascii="Arial" w:hAnsi="Arial" w:cs="Arial"/>
                <w:sz w:val="16"/>
                <w:szCs w:val="16"/>
              </w:rPr>
              <w:t>, přičemž splatností se rozumí připsání fakturované částky na bankovní účet dodavatele, uvedený ve smlouvě, ke které se váže tato příloha a to oboustranně. Tato splatnost faktur platí i v případě přeplatku odběratele.</w:t>
            </w:r>
          </w:p>
          <w:p w14:paraId="4675BB58" w14:textId="77777777" w:rsidR="00771386" w:rsidRPr="00D01C84" w:rsidRDefault="00771386" w:rsidP="00771386">
            <w:pPr>
              <w:spacing w:after="60"/>
              <w:ind w:left="255" w:hanging="25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3. Smluvní strany se dohodly, že pokud k datu příslušné splatnosti nebude odběratelem uhrazen jakýkoliv splatný závazek (dlužná částka) podle Smlouvy v plné výši, bude každé následující peněžní plnění ze strany odběratele použito dodavatelem k úhradě (a to i částečné) dlužné částky v pořadí podle rozhodnutí dodavatele, a to buď:</w:t>
            </w:r>
          </w:p>
          <w:p w14:paraId="2DA10181" w14:textId="77777777" w:rsidR="00771386" w:rsidRPr="00D01C84" w:rsidRDefault="00771386" w:rsidP="00771386">
            <w:pPr>
              <w:spacing w:after="0"/>
              <w:ind w:left="142" w:right="-426" w:firstLine="113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a) k úhradě splatného úroku z prodlení, nebo</w:t>
            </w:r>
          </w:p>
          <w:p w14:paraId="14C376E0" w14:textId="77777777" w:rsidR="00771386" w:rsidRPr="00D01C84" w:rsidRDefault="00771386" w:rsidP="00771386">
            <w:pPr>
              <w:spacing w:after="0"/>
              <w:ind w:left="142" w:right="-426" w:firstLine="113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b) k úhradě splatných smluvních sankcí a pokut, nebo</w:t>
            </w:r>
          </w:p>
          <w:p w14:paraId="29B42E04" w14:textId="77777777" w:rsidR="00771386" w:rsidRPr="00D01C84" w:rsidRDefault="00771386" w:rsidP="00771386">
            <w:pPr>
              <w:spacing w:after="0"/>
              <w:ind w:left="142" w:right="-426" w:firstLine="113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 xml:space="preserve">c) k úhradě splatného běžného úroku z prodlení, nebo </w:t>
            </w:r>
          </w:p>
          <w:p w14:paraId="0056239A" w14:textId="77777777" w:rsidR="00771386" w:rsidRPr="00D01C84" w:rsidRDefault="00771386" w:rsidP="00771386">
            <w:pPr>
              <w:spacing w:after="0" w:line="360" w:lineRule="auto"/>
              <w:ind w:left="142" w:right="-426" w:firstLine="113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d) k úhradě splatného prodeje tepelné energie.</w:t>
            </w:r>
          </w:p>
          <w:p w14:paraId="54749B20" w14:textId="4E75EEA6" w:rsidR="00771386" w:rsidRPr="00D01C84" w:rsidRDefault="00867902" w:rsidP="00771386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="00771386" w:rsidRPr="00D01C84">
              <w:rPr>
                <w:rFonts w:ascii="Arial" w:hAnsi="Arial" w:cs="Arial"/>
                <w:sz w:val="16"/>
                <w:szCs w:val="16"/>
              </w:rPr>
              <w:t>Tato Dohoda o ceně nabývá účinnosti dne</w:t>
            </w:r>
            <w:r w:rsidR="00BB208D" w:rsidRPr="00D01C84">
              <w:rPr>
                <w:rFonts w:ascii="Arial" w:hAnsi="Arial" w:cs="Arial"/>
                <w:sz w:val="16"/>
                <w:szCs w:val="16"/>
              </w:rPr>
              <w:t>:</w:t>
            </w:r>
            <w:r w:rsidR="00BB208D" w:rsidRPr="00D01C84">
              <w:t xml:space="preserve"> </w:t>
            </w:r>
            <w:proofErr w:type="gramStart"/>
            <w:r w:rsidR="00BB208D" w:rsidRPr="00D01C84">
              <w:rPr>
                <w:rFonts w:ascii="Arial" w:hAnsi="Arial" w:cs="Arial"/>
                <w:b/>
                <w:sz w:val="16"/>
                <w:szCs w:val="16"/>
              </w:rPr>
              <w:t>1.1.2026</w:t>
            </w:r>
            <w:r w:rsidR="004B5F7A" w:rsidRPr="00D01C8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71386" w:rsidRPr="00D01C84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  <w:p w14:paraId="258895FE" w14:textId="3134DFA5" w:rsidR="00867902" w:rsidRPr="00D01C84" w:rsidRDefault="00867902" w:rsidP="00867902">
            <w:pPr>
              <w:spacing w:after="60"/>
              <w:ind w:left="255" w:hanging="25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993C4D" w14:textId="77777777" w:rsidR="004B1FEA" w:rsidRPr="00D01C84" w:rsidRDefault="004B1FEA" w:rsidP="00053199">
            <w:pPr>
              <w:spacing w:after="0"/>
              <w:ind w:left="142" w:right="-426" w:firstLine="113"/>
              <w:rPr>
                <w:rFonts w:ascii="Arial" w:hAnsi="Arial" w:cs="Arial"/>
                <w:sz w:val="16"/>
                <w:szCs w:val="16"/>
              </w:rPr>
            </w:pPr>
          </w:p>
          <w:p w14:paraId="0DAB21F4" w14:textId="3530468D" w:rsidR="00BD3B50" w:rsidRPr="00D01C84" w:rsidRDefault="00BD3B50" w:rsidP="00BD3B50">
            <w:pPr>
              <w:spacing w:after="0"/>
              <w:ind w:left="-142" w:right="-426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01C84">
              <w:rPr>
                <w:rFonts w:ascii="Arial" w:hAnsi="Arial" w:cs="Arial"/>
                <w:b/>
                <w:sz w:val="16"/>
                <w:szCs w:val="16"/>
                <w:u w:val="single"/>
              </w:rPr>
              <w:t>Upozornění:</w:t>
            </w:r>
          </w:p>
          <w:p w14:paraId="180F5DC0" w14:textId="77777777" w:rsidR="00BC4CC8" w:rsidRPr="00D01C84" w:rsidRDefault="00BC4CC8" w:rsidP="00BD3B50">
            <w:pPr>
              <w:spacing w:after="0"/>
              <w:ind w:left="-142" w:right="-426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33FFB10" w14:textId="77777777" w:rsidR="002A6C24" w:rsidRPr="00D01C84" w:rsidRDefault="002A6C24" w:rsidP="002A6C2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588F79D1" w14:textId="026D7DED" w:rsidR="002A6C24" w:rsidRPr="00D01C84" w:rsidRDefault="002A6C24" w:rsidP="002A6C2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01C84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48BF8D34" w14:textId="77777777" w:rsidR="002A6C24" w:rsidRPr="00D01C84" w:rsidRDefault="002A6C24" w:rsidP="002A6C2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D01C84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D01C84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D01C84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14:paraId="1E29B527" w14:textId="50D9A5EE" w:rsidR="004B1FEA" w:rsidRPr="00D01C84" w:rsidRDefault="002A6C24" w:rsidP="002A6C2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D01C84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14:paraId="41176452" w14:textId="77777777" w:rsidR="00865230" w:rsidRPr="00D01C84" w:rsidRDefault="00865230" w:rsidP="00053199">
            <w:pPr>
              <w:spacing w:after="0"/>
              <w:ind w:left="142" w:right="-426" w:firstLine="113"/>
              <w:rPr>
                <w:rFonts w:ascii="Arial" w:hAnsi="Arial" w:cs="Arial"/>
                <w:sz w:val="16"/>
                <w:szCs w:val="16"/>
              </w:rPr>
            </w:pPr>
          </w:p>
          <w:p w14:paraId="39707EBF" w14:textId="77777777" w:rsidR="00865230" w:rsidRPr="00D01C84" w:rsidRDefault="00865230" w:rsidP="00053199">
            <w:pPr>
              <w:spacing w:after="0"/>
              <w:ind w:left="142" w:right="-426" w:firstLine="113"/>
              <w:rPr>
                <w:rFonts w:ascii="Arial" w:hAnsi="Arial" w:cs="Arial"/>
                <w:sz w:val="16"/>
                <w:szCs w:val="16"/>
              </w:rPr>
            </w:pPr>
          </w:p>
          <w:p w14:paraId="2BBB40E0" w14:textId="77777777" w:rsidR="00865230" w:rsidRPr="00D01C84" w:rsidRDefault="00865230" w:rsidP="00053199">
            <w:pPr>
              <w:spacing w:after="0"/>
              <w:ind w:left="142" w:right="-426" w:firstLine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7902" w:rsidRPr="00D01C84" w14:paraId="3965D84F" w14:textId="77777777" w:rsidTr="00097E92">
        <w:trPr>
          <w:trHeight w:val="255"/>
        </w:trPr>
        <w:tc>
          <w:tcPr>
            <w:tcW w:w="2480" w:type="dxa"/>
            <w:gridSpan w:val="3"/>
            <w:shd w:val="clear" w:color="auto" w:fill="auto"/>
            <w:noWrap/>
            <w:tcMar>
              <w:right w:w="28" w:type="dxa"/>
            </w:tcMar>
            <w:vAlign w:val="center"/>
          </w:tcPr>
          <w:p w14:paraId="31DA1D02" w14:textId="6B6EB87B" w:rsidR="00867902" w:rsidRPr="00D01C84" w:rsidRDefault="00C52187" w:rsidP="006F6A8B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lastRenderedPageBreak/>
              <w:t>V Karlových Varech</w:t>
            </w:r>
          </w:p>
        </w:tc>
        <w:tc>
          <w:tcPr>
            <w:tcW w:w="2481" w:type="dxa"/>
            <w:gridSpan w:val="3"/>
            <w:shd w:val="clear" w:color="auto" w:fill="auto"/>
            <w:vAlign w:val="center"/>
          </w:tcPr>
          <w:p w14:paraId="1797AC32" w14:textId="77777777" w:rsidR="00867902" w:rsidRPr="00D01C84" w:rsidRDefault="00867902" w:rsidP="006F6A8B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dne..................................</w:t>
            </w:r>
          </w:p>
        </w:tc>
        <w:tc>
          <w:tcPr>
            <w:tcW w:w="2481" w:type="dxa"/>
            <w:gridSpan w:val="6"/>
            <w:shd w:val="clear" w:color="auto" w:fill="auto"/>
            <w:vAlign w:val="center"/>
          </w:tcPr>
          <w:p w14:paraId="30B5C52B" w14:textId="77777777" w:rsidR="00867902" w:rsidRPr="00D01C84" w:rsidRDefault="00867902" w:rsidP="006F6A8B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14:paraId="4859D5A4" w14:textId="77777777" w:rsidR="00867902" w:rsidRPr="00D01C84" w:rsidRDefault="00867902" w:rsidP="006F6A8B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D01C84">
              <w:rPr>
                <w:rFonts w:ascii="Arial" w:hAnsi="Arial" w:cs="Arial"/>
                <w:bCs/>
                <w:sz w:val="16"/>
                <w:szCs w:val="16"/>
              </w:rPr>
              <w:t>1.1.2026</w:t>
            </w:r>
          </w:p>
        </w:tc>
      </w:tr>
      <w:tr w:rsidR="00867902" w:rsidRPr="00D01C84" w14:paraId="57F83674" w14:textId="77777777" w:rsidTr="00637D8B">
        <w:trPr>
          <w:trHeight w:val="2453"/>
        </w:trPr>
        <w:tc>
          <w:tcPr>
            <w:tcW w:w="4961" w:type="dxa"/>
            <w:gridSpan w:val="6"/>
            <w:shd w:val="clear" w:color="auto" w:fill="auto"/>
            <w:noWrap/>
            <w:tcMar>
              <w:right w:w="28" w:type="dxa"/>
            </w:tcMar>
            <w:vAlign w:val="bottom"/>
          </w:tcPr>
          <w:p w14:paraId="13281F7A" w14:textId="77777777" w:rsidR="00867902" w:rsidRPr="00D01C84" w:rsidRDefault="00867902" w:rsidP="006F6A8B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10"/>
            <w:shd w:val="clear" w:color="auto" w:fill="auto"/>
            <w:vAlign w:val="bottom"/>
          </w:tcPr>
          <w:p w14:paraId="4858D583" w14:textId="794FF6DB" w:rsidR="00250DA1" w:rsidRPr="00D01C84" w:rsidRDefault="00250DA1" w:rsidP="006F6A8B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95BBD1" w14:textId="01532E53" w:rsidR="00637D8B" w:rsidRPr="00D01C84" w:rsidRDefault="00637D8B" w:rsidP="00637D8B">
            <w:pPr>
              <w:keepNext/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</w:p>
          <w:p w14:paraId="054C3775" w14:textId="410A4D33" w:rsidR="00867902" w:rsidRPr="00D01C84" w:rsidRDefault="00867902" w:rsidP="006F6A8B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............</w:t>
            </w:r>
            <w:r w:rsidR="00250DA1" w:rsidRPr="00D01C84">
              <w:rPr>
                <w:rFonts w:ascii="Arial" w:hAnsi="Arial" w:cs="Arial"/>
                <w:sz w:val="16"/>
                <w:szCs w:val="16"/>
              </w:rPr>
              <w:t>...........................</w:t>
            </w:r>
            <w:r w:rsidRPr="00D01C84">
              <w:rPr>
                <w:rFonts w:ascii="Arial" w:hAnsi="Arial" w:cs="Arial"/>
                <w:sz w:val="16"/>
                <w:szCs w:val="16"/>
              </w:rPr>
              <w:t>....................</w:t>
            </w:r>
          </w:p>
        </w:tc>
      </w:tr>
      <w:tr w:rsidR="00867902" w:rsidRPr="00D01C84" w14:paraId="35555B08" w14:textId="77777777" w:rsidTr="00873537">
        <w:trPr>
          <w:trHeight w:val="565"/>
        </w:trPr>
        <w:tc>
          <w:tcPr>
            <w:tcW w:w="4961" w:type="dxa"/>
            <w:gridSpan w:val="6"/>
            <w:shd w:val="clear" w:color="auto" w:fill="auto"/>
            <w:noWrap/>
            <w:tcMar>
              <w:right w:w="28" w:type="dxa"/>
            </w:tcMar>
          </w:tcPr>
          <w:p w14:paraId="684DEDC2" w14:textId="77777777" w:rsidR="00867902" w:rsidRPr="00D01C84" w:rsidRDefault="00867902" w:rsidP="006F6A8B">
            <w:pPr>
              <w:keepNext/>
              <w:spacing w:before="12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10A721B7" w14:textId="77777777" w:rsidR="00867902" w:rsidRPr="00D01C84" w:rsidRDefault="00867902" w:rsidP="006F6A8B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10"/>
            <w:shd w:val="clear" w:color="auto" w:fill="auto"/>
          </w:tcPr>
          <w:p w14:paraId="76C53515" w14:textId="77777777" w:rsidR="00867902" w:rsidRPr="00D01C84" w:rsidRDefault="00867902" w:rsidP="006F6A8B">
            <w:pPr>
              <w:keepNext/>
              <w:spacing w:before="12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06924B09" w14:textId="77777777" w:rsidR="00867902" w:rsidRPr="00D01C84" w:rsidRDefault="00867902" w:rsidP="006F6A8B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C84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5719AEB6" w14:textId="77777777" w:rsidR="00354466" w:rsidRPr="00D01C84" w:rsidRDefault="00354466"/>
    <w:sectPr w:rsidR="00354466" w:rsidRPr="00D01C84" w:rsidSect="00482FB9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DCPD_S_FS_00565_TKV=DM_0100-04 19.12.2025 11:14:49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5647A6"/>
    <w:rsid w:val="0000191C"/>
    <w:rsid w:val="0001251E"/>
    <w:rsid w:val="00013CBC"/>
    <w:rsid w:val="00014907"/>
    <w:rsid w:val="0003337E"/>
    <w:rsid w:val="00035BCE"/>
    <w:rsid w:val="0005059B"/>
    <w:rsid w:val="00053199"/>
    <w:rsid w:val="00057E63"/>
    <w:rsid w:val="0006173B"/>
    <w:rsid w:val="00065C0C"/>
    <w:rsid w:val="0007041E"/>
    <w:rsid w:val="0009080A"/>
    <w:rsid w:val="0009387A"/>
    <w:rsid w:val="00097E92"/>
    <w:rsid w:val="000B2333"/>
    <w:rsid w:val="000B53F8"/>
    <w:rsid w:val="000D643E"/>
    <w:rsid w:val="000E41E1"/>
    <w:rsid w:val="000E4F3D"/>
    <w:rsid w:val="001003B8"/>
    <w:rsid w:val="00134E20"/>
    <w:rsid w:val="00161821"/>
    <w:rsid w:val="0017064C"/>
    <w:rsid w:val="001857C4"/>
    <w:rsid w:val="00190EDA"/>
    <w:rsid w:val="00193BD8"/>
    <w:rsid w:val="001A326D"/>
    <w:rsid w:val="001B784F"/>
    <w:rsid w:val="001C2B3C"/>
    <w:rsid w:val="001C7568"/>
    <w:rsid w:val="001F15F0"/>
    <w:rsid w:val="002079D9"/>
    <w:rsid w:val="00214F61"/>
    <w:rsid w:val="00222C93"/>
    <w:rsid w:val="002425AB"/>
    <w:rsid w:val="00250DA1"/>
    <w:rsid w:val="00257C70"/>
    <w:rsid w:val="002838F6"/>
    <w:rsid w:val="00294D9E"/>
    <w:rsid w:val="00295FC4"/>
    <w:rsid w:val="0029768C"/>
    <w:rsid w:val="002A286B"/>
    <w:rsid w:val="002A56C5"/>
    <w:rsid w:val="002A6C24"/>
    <w:rsid w:val="002C0116"/>
    <w:rsid w:val="002C5225"/>
    <w:rsid w:val="002D621A"/>
    <w:rsid w:val="003028D2"/>
    <w:rsid w:val="00315217"/>
    <w:rsid w:val="00354466"/>
    <w:rsid w:val="0036331F"/>
    <w:rsid w:val="003770E7"/>
    <w:rsid w:val="00380530"/>
    <w:rsid w:val="00393310"/>
    <w:rsid w:val="0039342F"/>
    <w:rsid w:val="003B1D84"/>
    <w:rsid w:val="003C3B90"/>
    <w:rsid w:val="003D082E"/>
    <w:rsid w:val="003D1C98"/>
    <w:rsid w:val="003F20B8"/>
    <w:rsid w:val="0040247E"/>
    <w:rsid w:val="00403FC8"/>
    <w:rsid w:val="004051D7"/>
    <w:rsid w:val="00410D22"/>
    <w:rsid w:val="00417A1F"/>
    <w:rsid w:val="004307A0"/>
    <w:rsid w:val="004435C8"/>
    <w:rsid w:val="004643A0"/>
    <w:rsid w:val="00482FB9"/>
    <w:rsid w:val="0048646E"/>
    <w:rsid w:val="004B1FEA"/>
    <w:rsid w:val="004B2D34"/>
    <w:rsid w:val="004B5515"/>
    <w:rsid w:val="004B5F7A"/>
    <w:rsid w:val="004C004D"/>
    <w:rsid w:val="004C466C"/>
    <w:rsid w:val="004D6387"/>
    <w:rsid w:val="004F5EE0"/>
    <w:rsid w:val="005009E4"/>
    <w:rsid w:val="00517E43"/>
    <w:rsid w:val="005242D9"/>
    <w:rsid w:val="005258C4"/>
    <w:rsid w:val="00542CFC"/>
    <w:rsid w:val="00546908"/>
    <w:rsid w:val="00562104"/>
    <w:rsid w:val="005647A6"/>
    <w:rsid w:val="00582237"/>
    <w:rsid w:val="005915D8"/>
    <w:rsid w:val="00594B87"/>
    <w:rsid w:val="005B6C31"/>
    <w:rsid w:val="005C2194"/>
    <w:rsid w:val="005D5179"/>
    <w:rsid w:val="005E608E"/>
    <w:rsid w:val="006241EC"/>
    <w:rsid w:val="00637D8B"/>
    <w:rsid w:val="0066234E"/>
    <w:rsid w:val="00671602"/>
    <w:rsid w:val="00682A01"/>
    <w:rsid w:val="00683989"/>
    <w:rsid w:val="00687664"/>
    <w:rsid w:val="006939F8"/>
    <w:rsid w:val="006B68F9"/>
    <w:rsid w:val="006C7298"/>
    <w:rsid w:val="007213F1"/>
    <w:rsid w:val="0072686D"/>
    <w:rsid w:val="00756A93"/>
    <w:rsid w:val="00771386"/>
    <w:rsid w:val="00771442"/>
    <w:rsid w:val="00775330"/>
    <w:rsid w:val="007779E8"/>
    <w:rsid w:val="007878A4"/>
    <w:rsid w:val="00791A60"/>
    <w:rsid w:val="00794FF9"/>
    <w:rsid w:val="007A6D44"/>
    <w:rsid w:val="007A7C2B"/>
    <w:rsid w:val="007C45B4"/>
    <w:rsid w:val="007F00B4"/>
    <w:rsid w:val="007F06D9"/>
    <w:rsid w:val="007F2FDB"/>
    <w:rsid w:val="008406A9"/>
    <w:rsid w:val="00841F59"/>
    <w:rsid w:val="0084294C"/>
    <w:rsid w:val="00852CF4"/>
    <w:rsid w:val="00855116"/>
    <w:rsid w:val="00857FE5"/>
    <w:rsid w:val="00861F0E"/>
    <w:rsid w:val="00865230"/>
    <w:rsid w:val="008656BE"/>
    <w:rsid w:val="00867902"/>
    <w:rsid w:val="0087224D"/>
    <w:rsid w:val="00873537"/>
    <w:rsid w:val="008839CA"/>
    <w:rsid w:val="00886D88"/>
    <w:rsid w:val="00891DBD"/>
    <w:rsid w:val="00893DA9"/>
    <w:rsid w:val="0089689E"/>
    <w:rsid w:val="00896DFF"/>
    <w:rsid w:val="008A10CB"/>
    <w:rsid w:val="008A53E4"/>
    <w:rsid w:val="008B76F1"/>
    <w:rsid w:val="008C6B56"/>
    <w:rsid w:val="008D1712"/>
    <w:rsid w:val="008E2165"/>
    <w:rsid w:val="009152A2"/>
    <w:rsid w:val="00932B35"/>
    <w:rsid w:val="00945D1D"/>
    <w:rsid w:val="009664A8"/>
    <w:rsid w:val="009852CC"/>
    <w:rsid w:val="009904F3"/>
    <w:rsid w:val="00996CCF"/>
    <w:rsid w:val="009A01A3"/>
    <w:rsid w:val="009A281E"/>
    <w:rsid w:val="009C476F"/>
    <w:rsid w:val="009C533C"/>
    <w:rsid w:val="009C64D0"/>
    <w:rsid w:val="009E0887"/>
    <w:rsid w:val="009E44B5"/>
    <w:rsid w:val="009E4E89"/>
    <w:rsid w:val="00A311F8"/>
    <w:rsid w:val="00A41555"/>
    <w:rsid w:val="00A46BAE"/>
    <w:rsid w:val="00A63FEF"/>
    <w:rsid w:val="00A668AB"/>
    <w:rsid w:val="00A74C20"/>
    <w:rsid w:val="00A750A9"/>
    <w:rsid w:val="00A768DF"/>
    <w:rsid w:val="00A824B2"/>
    <w:rsid w:val="00AB4869"/>
    <w:rsid w:val="00AC716A"/>
    <w:rsid w:val="00AC760E"/>
    <w:rsid w:val="00AE5C71"/>
    <w:rsid w:val="00B04F31"/>
    <w:rsid w:val="00B057F3"/>
    <w:rsid w:val="00B12320"/>
    <w:rsid w:val="00B247C3"/>
    <w:rsid w:val="00B258AB"/>
    <w:rsid w:val="00B41732"/>
    <w:rsid w:val="00B5003E"/>
    <w:rsid w:val="00B65E86"/>
    <w:rsid w:val="00B90CBD"/>
    <w:rsid w:val="00B927A1"/>
    <w:rsid w:val="00BB208D"/>
    <w:rsid w:val="00BC4CC8"/>
    <w:rsid w:val="00BD3B50"/>
    <w:rsid w:val="00C014F7"/>
    <w:rsid w:val="00C36346"/>
    <w:rsid w:val="00C52187"/>
    <w:rsid w:val="00C5536E"/>
    <w:rsid w:val="00C663B5"/>
    <w:rsid w:val="00C70184"/>
    <w:rsid w:val="00C80EA3"/>
    <w:rsid w:val="00C86C89"/>
    <w:rsid w:val="00CA2380"/>
    <w:rsid w:val="00CC3EF5"/>
    <w:rsid w:val="00CD5C46"/>
    <w:rsid w:val="00CE0E4D"/>
    <w:rsid w:val="00CE5BC7"/>
    <w:rsid w:val="00CF03C4"/>
    <w:rsid w:val="00CF06A6"/>
    <w:rsid w:val="00D01BB7"/>
    <w:rsid w:val="00D01C84"/>
    <w:rsid w:val="00D058CE"/>
    <w:rsid w:val="00D10E3C"/>
    <w:rsid w:val="00D10E4A"/>
    <w:rsid w:val="00D35011"/>
    <w:rsid w:val="00D35A68"/>
    <w:rsid w:val="00D407B9"/>
    <w:rsid w:val="00D57547"/>
    <w:rsid w:val="00D577E2"/>
    <w:rsid w:val="00D66A43"/>
    <w:rsid w:val="00D757B3"/>
    <w:rsid w:val="00D76ED4"/>
    <w:rsid w:val="00D85474"/>
    <w:rsid w:val="00D94724"/>
    <w:rsid w:val="00DB2665"/>
    <w:rsid w:val="00DB5735"/>
    <w:rsid w:val="00DC2E9B"/>
    <w:rsid w:val="00DD07B3"/>
    <w:rsid w:val="00E134D8"/>
    <w:rsid w:val="00E136C7"/>
    <w:rsid w:val="00E24788"/>
    <w:rsid w:val="00E44CCC"/>
    <w:rsid w:val="00E63A59"/>
    <w:rsid w:val="00E70514"/>
    <w:rsid w:val="00E75AB6"/>
    <w:rsid w:val="00E85104"/>
    <w:rsid w:val="00E97283"/>
    <w:rsid w:val="00EA3994"/>
    <w:rsid w:val="00EA4599"/>
    <w:rsid w:val="00EA7651"/>
    <w:rsid w:val="00EB5DAD"/>
    <w:rsid w:val="00EF751B"/>
    <w:rsid w:val="00F00044"/>
    <w:rsid w:val="00F11B70"/>
    <w:rsid w:val="00F21D95"/>
    <w:rsid w:val="00F24936"/>
    <w:rsid w:val="00F25D55"/>
    <w:rsid w:val="00F30D18"/>
    <w:rsid w:val="00F366CA"/>
    <w:rsid w:val="00F402CD"/>
    <w:rsid w:val="00F40B71"/>
    <w:rsid w:val="00F47CBE"/>
    <w:rsid w:val="00F52320"/>
    <w:rsid w:val="00F71427"/>
    <w:rsid w:val="00F72E2A"/>
    <w:rsid w:val="00F86B9D"/>
    <w:rsid w:val="00F97BE6"/>
    <w:rsid w:val="00FA35EA"/>
    <w:rsid w:val="00FA7602"/>
    <w:rsid w:val="00FB2954"/>
    <w:rsid w:val="00FC3912"/>
    <w:rsid w:val="00FD634F"/>
    <w:rsid w:val="00FF1B09"/>
    <w:rsid w:val="00FF5549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804F"/>
  <w15:docId w15:val="{B8E487F8-D8EE-4C79-9858-645870F4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9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222C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22C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22C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C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C93"/>
    <w:rPr>
      <w:b/>
      <w:bCs/>
      <w:sz w:val="20"/>
      <w:szCs w:val="20"/>
    </w:rPr>
  </w:style>
  <w:style w:type="paragraph" w:customStyle="1" w:styleId="Nadpis2-analzy">
    <w:name w:val="Nadpis2 - analýzy"/>
    <w:basedOn w:val="Nadpis2"/>
    <w:link w:val="Nadpis2-analzyChar"/>
    <w:rsid w:val="006939F8"/>
    <w:pPr>
      <w:keepLines w:val="0"/>
      <w:tabs>
        <w:tab w:val="left" w:pos="851"/>
        <w:tab w:val="left" w:pos="2127"/>
      </w:tabs>
      <w:spacing w:before="120" w:line="312" w:lineRule="auto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Nadpis2-analzyChar">
    <w:name w:val="Nadpis2 - analýzy Char"/>
    <w:link w:val="Nadpis2-analzy"/>
    <w:locked/>
    <w:rsid w:val="006939F8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9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733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Kolafová Jitka</cp:lastModifiedBy>
  <cp:revision>4</cp:revision>
  <dcterms:created xsi:type="dcterms:W3CDTF">2025-12-29T10:02:00Z</dcterms:created>
  <dcterms:modified xsi:type="dcterms:W3CDTF">2025-12-29T10:14:00Z</dcterms:modified>
</cp:coreProperties>
</file>