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  <w:rtl w:val="0"/>
        </w:rPr>
        <w:t xml:space="preserve">SMLOUVA O DÍLO č.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37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  <w:rtl w:val="0"/>
        </w:rPr>
        <w:t xml:space="preserve">/25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uzavřená podle ustanovení § 2079 a násl. zákona č. 80/2012 Sb., Občanský zákoník </w:t>
        <w:br w:type="textWrapping"/>
        <w:t xml:space="preserve">(dále jen „občanský zákoník“)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SMLUVNÍ STRANY</w:t>
      </w:r>
    </w:p>
    <w:p w:rsidR="00000000" w:rsidDel="00000000" w:rsidP="00000000" w:rsidRDefault="00000000" w:rsidRPr="00000000" w14:paraId="00000005">
      <w:pPr>
        <w:spacing w:after="60" w:before="0" w:line="276" w:lineRule="auto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Společnost: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FLOOR SERVIS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0" w:line="276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Jiráskova 854</w:t>
      </w:r>
    </w:p>
    <w:p w:rsidR="00000000" w:rsidDel="00000000" w:rsidP="00000000" w:rsidRDefault="00000000" w:rsidRPr="00000000" w14:paraId="00000007">
      <w:pPr>
        <w:spacing w:after="60" w:before="0" w:line="276" w:lineRule="auto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ab/>
        <w:tab/>
        <w:tab/>
        <w:t xml:space="preserve">666 01  Tišnov</w:t>
      </w:r>
    </w:p>
    <w:p w:rsidR="00000000" w:rsidDel="00000000" w:rsidP="00000000" w:rsidRDefault="00000000" w:rsidRPr="00000000" w14:paraId="00000008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Davidem Nixem</w:t>
      </w:r>
    </w:p>
    <w:p w:rsidR="00000000" w:rsidDel="00000000" w:rsidP="00000000" w:rsidRDefault="00000000" w:rsidRPr="00000000" w14:paraId="00000009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25594281</w:t>
      </w:r>
    </w:p>
    <w:p w:rsidR="00000000" w:rsidDel="00000000" w:rsidP="00000000" w:rsidRDefault="00000000" w:rsidRPr="00000000" w14:paraId="0000000A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  <w:t xml:space="preserve">CZ25594821</w:t>
      </w:r>
    </w:p>
    <w:p w:rsidR="00000000" w:rsidDel="00000000" w:rsidP="00000000" w:rsidRDefault="00000000" w:rsidRPr="00000000" w14:paraId="0000000B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C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E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Společnost:</w:t>
        <w:tab/>
        <w:tab/>
        <w:t xml:space="preserve">Základní škola Tišnov, nám. 28. října, příspěvková organizace</w:t>
      </w:r>
    </w:p>
    <w:p w:rsidR="00000000" w:rsidDel="00000000" w:rsidP="00000000" w:rsidRDefault="00000000" w:rsidRPr="00000000" w14:paraId="00000010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  <w:t xml:space="preserve">nám. 28. října 1708, 666 01 Tišnov</w:t>
      </w:r>
    </w:p>
    <w:p w:rsidR="00000000" w:rsidDel="00000000" w:rsidP="00000000" w:rsidRDefault="00000000" w:rsidRPr="00000000" w14:paraId="00000011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PaedDr. Radmilou Zhořovou, ředitelkou školy</w:t>
      </w:r>
    </w:p>
    <w:p w:rsidR="00000000" w:rsidDel="00000000" w:rsidP="00000000" w:rsidRDefault="00000000" w:rsidRPr="00000000" w14:paraId="00000012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70283940</w:t>
      </w:r>
    </w:p>
    <w:p w:rsidR="00000000" w:rsidDel="00000000" w:rsidP="00000000" w:rsidRDefault="00000000" w:rsidRPr="00000000" w14:paraId="00000013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„kupující“)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Předmět smlouvy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Touto smlouvou se zhotovitel zavazuje provádět demontáž a likvidaci původních podlahových povrchů, vyrovnání povrchů nivelační stěrkou, dodávku a montáž nových podlahových povrchů a příslušenství, včetně dopravy a závěrečného úklidu (dále jen “dílo”)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Specifikace díla vychází z cenové nabídky prodávajícího č. NA25395 ze dne 22. 12. 2025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Součástí dodávky zboží je rovněž dodání veškerého příslušenství, doprava včetně manipulace a montáže, jakož i veškeré další činnosti, které jsou potřebné k realizaci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1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 xml:space="preserve">Kupní cena a platební podmínky</w:t>
      </w:r>
    </w:p>
    <w:p w:rsidR="00000000" w:rsidDel="00000000" w:rsidP="00000000" w:rsidRDefault="00000000" w:rsidRPr="00000000" w14:paraId="00000022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Kupující se touto smlouvou zavazuje dílo převzít a zaplatit za něj sjednanou kupní cenu způsobem a v termínu stanoveném touto smlouvou.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Celková kupní cena za zboží a služby definované v článku I. této smlouvy činí max:</w:t>
        <w:br w:type="textWrapping"/>
        <w:t xml:space="preserve">40.495,87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Kč bez DPH; DPH samostatně 8.504,13 Kč,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cena včetně DPH 49.000,- Kč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Kupní cena dle bodu 2 tohoto článku je stanovena jako konečná a zahrnuje kompletní dodávku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díla,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včetně souvisejících služeb tak, jak je vymezena touto smlouvou. V této ceně jsou dále zahrnuty i veškeré další činnosti v této smlouvě a přílohách nevyjmenované, které jsou potřebné k realizaci této smlouvy, a o kterých prodávající vzhledem k výkonu své podnikatelské činnosti, jakož i odborným znalostem musel vědět.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Faktura musí obsahovat náležitosti dané zákonem č. 235/2004 Sb., o dani z přidané hodnoty, ve znění pozdějších předpisů. Součástí faktury bude písemný předávací protokol ve smyslu čl. III odst. 5 této smlouvy potvrzený osobami oprávněnými jednat za kupujícího a prodávajícího. V případě, že faktura nebude obsahovat všechny náležitosti, objednatel je oprávněn vrátit ji zhotoviteli k doplnění. V takovém případě se přeruší plynutí lhůty splatnosti a nová lhůta splatnosti začne plynout doručením opravené faktury objednateli.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7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Platby budou probíhat výhradně v Kč a rovněž i veškeré cenové údaje budou v Kč.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7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a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Faktura se pro účely této smlouvy považuje za uhrazenou okamžikem odepsání fakturované částky z účtu kupujícího.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Místo a doba plnění a dodací podmínky</w:t>
      </w:r>
    </w:p>
    <w:p w:rsidR="00000000" w:rsidDel="00000000" w:rsidP="00000000" w:rsidRDefault="00000000" w:rsidRPr="00000000" w14:paraId="0000002C">
      <w:pPr>
        <w:spacing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Místem plnění, tj. místem dodání zboží je Základní škola Tišnov, nám. 28. října, příspěvková organizace, nám. 28. října 1708, 66601 Tišnov.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se zavazuje splnit dodávku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dodat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28. 02. 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oprávněn předmět plnění dodat i v dřívějším termínu, než je uvedeno v bodě 2 tohoto článku. V takovém případě bude informovat kupujícího o přesném termínu dodávky předmětu plnění, a to nejpozději 3 pracovní dny před dodáním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do místa plnění.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Dodávka se považuje podle této smlouvy za splněnou, pokud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bylo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řádně předáno kupujícímu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Za účelem řádného předání předmětu této smlouvy bude vyhotoven zápis o předání a převzetí (též jako předávací protokol), který bude obsahovat minimálně níže uvedené náležitosti: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dodacího listu – zápisu o předání a převzetí,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název a sídlo prodávajícího a kupujícího,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kupní smlouvy,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označení dodaného zboží a služeb, včetně výrobního čísla,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datum dodání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stav zboží a služeb v okamžiku jeho předání a převzetí,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5"/>
        </w:numPr>
        <w:spacing w:after="0" w:before="0" w:line="276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seznam předaných dokladů,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spacing w:after="12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br w:type="textWrapping"/>
        <w:t xml:space="preserve">Kupující není povinen převzít předmět této smlouvy vykazující vady.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Nebezpečí škody na předmětu smlouvy, tj. na předmětu dodávky nese prodávající v plném rozsahu až do okamžiku protokolárního předání. 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povinen nahradit v plné výši škodu způsobenou dodávaným zbožím.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dále povinen nahradit v plné výši škodu, která vznikne v souvislosti nebo jako důsledek porušení povinností (vč. prevenčních) a závazků prodávajícího dle této smlouvy, a která nespadá do působnosti předchozího bodu. </w:t>
      </w:r>
    </w:p>
    <w:p w:rsidR="00000000" w:rsidDel="00000000" w:rsidP="00000000" w:rsidRDefault="00000000" w:rsidRPr="00000000" w14:paraId="0000003D">
      <w:pPr>
        <w:widowControl w:val="1"/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4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Odpovědnost za vady, záruka za jakost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přejímá níže uvedenou záruku za jakost předmětu plnění dodaného podle této smlouvy. Záruční doba na celý předmět plnění činí 24 měsíců ode dne předání a převzetí předmětu plnění dle čl. I této smlouvy.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áruka se nevztahuje na opotřebení věci způsobené jejím obvyklým užíváním a na vady způsobené zaviněným jednáním kupujícího a nebo způsobené vyšší mocí.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je povinen vadu odstranit i v případě, že reklamaci považuje za neoprávněnou. V případě, že neoprávněnost reklamace bude soudem zpětně pravomocně zjištěna, kupující nahradí prodávajícímu veškeré náklady vynaložené na odstranění neoprávněně reklamované vady.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6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Kupující má právo, nezapočne-li prodávající s odstraňováním vady ve lhůtě dle bodu 4 tohoto článku nebo pokud prodávající neodstraní tyto vady ve lhůtách určených dle bodu 5 toho článku, využít služeb jiného opravce, a to na náklady prodávajícího.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Odstoupení od smlouvy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Od této smlouvy může smluvní strana dotčená porušením povinnosti jednostranně odstoupit pro podstatné porušení této smlouvy, přičemž za podstatné porušení této smlouvy se zejména považuje: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3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na straně kupujícího neplnění čl. II. této smlouvy ve lhůtě delší 21 dní po dni splatnosti příslušné faktury,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3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na straně prodávajícího, jestliže nedodá řádně a včas předmět plnění dle této smlouvy, pokud nezjednal nápravu, přestože byl kupujícím na neplnění této smlouvy písemně upozorněn; bude-li z chování prodávajícího zřejmé, že svoje závazky nesplní v termínu dle čl. III. bod 2 této smlouvy,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strana porušením povinnosti dotčená je povinna odstoupení od smlouvy písemně oznámit druhé smluvní straně. Odstoupení nabývá účinnosti dnem doručení druhé smluvní straně.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straně porušením povinností dotčené náleží náhrada všech prokazatelných škod způsobené odstoupením od smlouvy.</w:t>
      </w:r>
    </w:p>
    <w:p w:rsidR="00000000" w:rsidDel="00000000" w:rsidP="00000000" w:rsidRDefault="00000000" w:rsidRPr="00000000" w14:paraId="0000005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Ostatní ujednání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Kupující se zavazuje umožnit přístup určeným pracovníkům prodávajícího do prostoru svého objektu za účelem splnění této smlouvy a provedení instalace předmětu plnění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Právní vztahy touto smlouvou neupravené, jakož i právní poměry z ní vznikající a vyplývající, se řídí příslušnými ustanoveními občanského zákoníku a dalšími právními předpisy České republiky.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Sjednává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se, že případné spory vzniklé z této smlouvy budou účastníci řešit především vzájemnou dohodou. Pro řízení o případných sporných nárocích 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sjednává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příslušnost soudů. Rozhodným právem je právo České republiky.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souhlasí se zveřejněním textu této smlouvy, včetně jejích příloh, případných změn a dodatků a dále se zveřejněním skutečně uhrazené ceny plnění na profilu zadavatele ve smyslu ustanovení zákona č. 134/2016 Sb., o zadávání veřejných zakázek.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8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bere na vědomí, že dle ustanovení § 2 písm. e) zákona č. 320/2001 Sb., o finanční kontrole ve znění pozdějších předpisů je osobou povinnou spolupůsobit při výkonu finanční kontroly.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spacing w:after="120" w:before="0" w:line="276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ind w:left="3600" w:firstLine="72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VIII.</w:t>
      </w:r>
    </w:p>
    <w:p w:rsidR="00000000" w:rsidDel="00000000" w:rsidP="00000000" w:rsidRDefault="00000000" w:rsidRPr="00000000" w14:paraId="0000005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5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Tuto smlouvu lze měnit nebo doplnit pouze dohodou smluvních stran, a to formou písemně číslovaných dodatků. </w:t>
        <w:tab/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si tuto smlouvu přečetly, a že byla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sjednána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po vzájemném projednání podle jejich svobodné vůle, určitě, vážně a srozumitelně.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byla vyhotovena ve dvou stejnopisech, přičemž každá ze smluvních stran obdrží jeden.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nabývá platnosti a účinnosti dnem jejího podpisu oběma smluvními stranami.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Nedílnou součástí této smlouvy jsou přílohy: příloha č. 1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Cenová nabídka č. NA25395 ze dne 22. 12. 2025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4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6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Tišnově, dne: 23. 12. 2025</w:t>
      </w:r>
    </w:p>
    <w:p w:rsidR="00000000" w:rsidDel="00000000" w:rsidP="00000000" w:rsidRDefault="00000000" w:rsidRPr="00000000" w14:paraId="00000068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……………………………………</w:t>
        <w:tab/>
        <w:t xml:space="preserve">…………………………………………..</w:t>
      </w:r>
    </w:p>
    <w:p w:rsidR="00000000" w:rsidDel="00000000" w:rsidP="00000000" w:rsidRDefault="00000000" w:rsidRPr="00000000" w14:paraId="0000006F">
      <w:pPr>
        <w:tabs>
          <w:tab w:val="left" w:leader="none" w:pos="5103"/>
        </w:tabs>
        <w:spacing w:line="276" w:lineRule="auto"/>
        <w:ind w:left="5100" w:right="0" w:hanging="510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PaedDr. Radmila Zhořová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David Nix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5103"/>
        </w:tabs>
        <w:spacing w:line="276" w:lineRule="auto"/>
        <w:ind w:left="5100" w:right="0" w:hanging="510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ředitelka školy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jednatel společnosti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</w:t>
      </w:r>
    </w:p>
    <w:sectPr>
      <w:headerReference r:id="rId7" w:type="default"/>
      <w:footerReference r:id="rId8" w:type="default"/>
      <w:pgSz w:h="16838" w:w="11906" w:orient="portrait"/>
      <w:pgMar w:bottom="1261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Internetovodkaz">
    <w:name w:val="Hyperlink"/>
    <w:rPr>
      <w:color w:val="000080"/>
      <w:u w:val="single"/>
      <w:lang w:bidi="zxx" w:eastAsia="zxx" w:val="zxx"/>
    </w:rPr>
  </w:style>
  <w:style w:type="paragraph" w:styleId="Nadpis">
    <w:name w:val="Nadpis"/>
    <w:basedOn w:val="Normal"/>
    <w:next w:val="Tlotex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lotextu">
    <w:name w:val="Body Text"/>
    <w:basedOn w:val="Normal"/>
    <w:pPr>
      <w:spacing w:after="140" w:before="0" w:line="276" w:lineRule="auto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Arial"/>
    </w:rPr>
  </w:style>
  <w:style w:type="paragraph" w:styleId="LO-normal" w:default="1">
    <w:name w:val="LO-normal"/>
    <w:qFormat w:val="1"/>
    <w:pPr>
      <w:widowControl w:val="0"/>
      <w:suppressAutoHyphens w:val="1"/>
      <w:bidi w:val="0"/>
      <w:spacing w:after="0" w:before="0"/>
      <w:jc w:val="left"/>
    </w:pPr>
    <w:rPr>
      <w:rFonts w:ascii="Arial" w:cs="Arial" w:eastAsia="Arial" w:hAnsi="Arial"/>
      <w:color w:val="00000a"/>
      <w:kern w:val="0"/>
      <w:sz w:val="20"/>
      <w:szCs w:val="20"/>
      <w:lang w:bidi="hi-IN" w:eastAsia="zh-CN" w:val="cs-CZ"/>
    </w:rPr>
  </w:style>
  <w:style w:type="paragraph" w:styleId="Zhlavazpat">
    <w:name w:val="Záhlaví a zápatí"/>
    <w:basedOn w:val="Normal"/>
    <w:qFormat w:val="1"/>
    <w:pPr/>
    <w:rPr/>
  </w:style>
  <w:style w:type="paragraph" w:styleId="Zhlav">
    <w:name w:val="Header"/>
    <w:basedOn w:val="Zhlavazpat"/>
    <w:pPr/>
    <w:rPr/>
  </w:style>
  <w:style w:type="paragraph" w:styleId="Zpat">
    <w:name w:val="Footer"/>
    <w:basedOn w:val="Zhlavazpat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+j7AnMudnMHMePozzFfYjOmtFg==">CgMxLjAyCGguZ2pkZ3hzOAByITFKWGNvTmc1LWpWaU5hN041VW9Fd0RZX0tQYk04NmVUWg==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