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0BF0" w14:textId="77777777" w:rsidR="006C3390" w:rsidRDefault="00D43079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Smlouva č. 2500746/4100066735 na dodání náhradních dílů pro stabilizaci infrastruktury</w:t>
      </w:r>
    </w:p>
    <w:p w14:paraId="7C5EE0A8" w14:textId="77777777" w:rsidR="006C3390" w:rsidRDefault="00D43079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uzavřená podle §</w:t>
      </w:r>
      <w:r>
        <w:rPr>
          <w:rFonts w:ascii="Arial" w:hAnsi="Arial" w:cs="Arial"/>
          <w:sz w:val="20"/>
          <w:szCs w:val="20"/>
        </w:rPr>
        <w:t xml:space="preserve"> 2079 </w:t>
      </w:r>
      <w:r>
        <w:rPr>
          <w:rFonts w:ascii="Arial" w:eastAsia="Times New Roman" w:hAnsi="Arial" w:cs="Arial"/>
          <w:sz w:val="20"/>
          <w:szCs w:val="20"/>
        </w:rPr>
        <w:t xml:space="preserve"> a násl. a § 2358 a násl. zákona č. 89/2012 Sb., občanský zákoník, ve znění pozdějších předpisů</w:t>
      </w:r>
    </w:p>
    <w:p w14:paraId="5EDD9181" w14:textId="77777777" w:rsidR="006C3390" w:rsidRDefault="006C3390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sz w:val="20"/>
          <w:szCs w:val="20"/>
        </w:rPr>
      </w:pPr>
    </w:p>
    <w:p w14:paraId="7523E118" w14:textId="77777777" w:rsidR="006C3390" w:rsidRDefault="00D43079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</w:t>
      </w:r>
      <w:r>
        <w:rPr>
          <w:rFonts w:ascii="Arial" w:eastAsia="Times New Roman" w:hAnsi="Arial" w:cs="Arial"/>
          <w:b/>
          <w:sz w:val="20"/>
          <w:szCs w:val="20"/>
        </w:rPr>
        <w:t>Smlouva</w:t>
      </w:r>
      <w:r>
        <w:rPr>
          <w:rFonts w:ascii="Arial" w:eastAsia="Times New Roman" w:hAnsi="Arial" w:cs="Arial"/>
          <w:sz w:val="20"/>
          <w:szCs w:val="20"/>
        </w:rPr>
        <w:t>”)</w:t>
      </w:r>
    </w:p>
    <w:p w14:paraId="7C7F50BF" w14:textId="77777777" w:rsidR="006C3390" w:rsidRDefault="006C3390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B49B97B" w14:textId="77777777" w:rsidR="006C3390" w:rsidRDefault="00D43079">
      <w:pPr>
        <w:widowControl w:val="0"/>
        <w:tabs>
          <w:tab w:val="left" w:pos="576"/>
        </w:tabs>
        <w:spacing w:after="120" w:line="276" w:lineRule="auto"/>
        <w:ind w:left="425" w:hanging="425"/>
        <w:contextualSpacing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ID VZ: 2500</w:t>
      </w:r>
      <w:r>
        <w:rPr>
          <w:rFonts w:ascii="Arial" w:hAnsi="Arial" w:cs="Arial"/>
          <w:b/>
          <w:bCs/>
          <w:sz w:val="20"/>
          <w:szCs w:val="20"/>
        </w:rPr>
        <w:t>746</w:t>
      </w:r>
    </w:p>
    <w:p w14:paraId="165D7489" w14:textId="77777777" w:rsidR="006C3390" w:rsidRDefault="006C3390">
      <w:pPr>
        <w:pStyle w:val="Stylpravidel"/>
        <w:widowControl w:val="0"/>
        <w:spacing w:before="0" w:after="120" w:line="276" w:lineRule="auto"/>
        <w:ind w:left="425" w:hanging="425"/>
        <w:contextualSpacing/>
      </w:pPr>
    </w:p>
    <w:p w14:paraId="1A4C5EE0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Smluvní strany:</w:t>
      </w:r>
    </w:p>
    <w:p w14:paraId="7EE06634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01BDC6E4" w14:textId="77777777" w:rsidR="006C3390" w:rsidRDefault="00D43079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567" w:hanging="567"/>
        <w:jc w:val="both"/>
        <w:outlineLvl w:val="1"/>
        <w:rPr>
          <w:rFonts w:ascii="Arial" w:eastAsia="Times New Roman" w:hAnsi="Arial" w:cs="Arial"/>
          <w:b/>
          <w:i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Všeobecná zdravotní pojišťovna České republiky</w:t>
      </w:r>
    </w:p>
    <w:p w14:paraId="6883BED1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se sídlem: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Orlická 2020/4, 130 000 Praha 3</w:t>
      </w:r>
    </w:p>
    <w:p w14:paraId="213C354A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kterou zastupuje: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Ing. Zdeněk Kabátek, ředitel VZP ČR</w:t>
      </w:r>
    </w:p>
    <w:p w14:paraId="1DD52ECD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IČO: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411 97 518</w:t>
      </w:r>
    </w:p>
    <w:p w14:paraId="16713CED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DIČ: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CZ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41197518</w:t>
      </w:r>
    </w:p>
    <w:p w14:paraId="113B0A65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Bankovní spojení: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Česká národní banka, Praha 1, Na Příkopě 28</w:t>
      </w:r>
    </w:p>
    <w:p w14:paraId="210A844F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Číslo účtu: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1110205001/0710</w:t>
      </w:r>
    </w:p>
    <w:p w14:paraId="2B828658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datová schránka: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i48ae3q</w:t>
      </w:r>
    </w:p>
    <w:p w14:paraId="4968A7EC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zřízena zákonem č. 551/1991 Sb., o Všeobecné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zdravotní pojišťovně České republiky, ve znění pozdějších předpisů</w:t>
      </w:r>
    </w:p>
    <w:p w14:paraId="4EFEED4A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24E20095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Kupující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 nebo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VZP ČR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</w:t>
      </w:r>
    </w:p>
    <w:p w14:paraId="0D3D1FA9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7CF44D77" w14:textId="77777777" w:rsidR="006C3390" w:rsidRDefault="00D43079">
      <w:pPr>
        <w:widowControl w:val="0"/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</w:p>
    <w:p w14:paraId="434CBB7A" w14:textId="77777777" w:rsidR="006C3390" w:rsidRDefault="006C3390">
      <w:pPr>
        <w:widowControl w:val="0"/>
        <w:spacing w:after="120" w:line="276" w:lineRule="auto"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1C10ADD" w14:textId="77777777" w:rsidR="006C3390" w:rsidRDefault="00D43079">
      <w:pPr>
        <w:pStyle w:val="Odstavecseseznamem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567" w:hanging="567"/>
        <w:jc w:val="both"/>
        <w:outlineLvl w:val="1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Netfox s.r.o.</w:t>
      </w:r>
    </w:p>
    <w:p w14:paraId="15CAAE6F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Praha 3 - Žižkov, </w:t>
      </w:r>
      <w:proofErr w:type="spellStart"/>
      <w:r>
        <w:rPr>
          <w:rFonts w:ascii="Arial" w:hAnsi="Arial" w:cs="Arial"/>
          <w:sz w:val="20"/>
          <w:szCs w:val="20"/>
        </w:rPr>
        <w:t>Hartigova</w:t>
      </w:r>
      <w:proofErr w:type="spellEnd"/>
      <w:r>
        <w:rPr>
          <w:rFonts w:ascii="Arial" w:hAnsi="Arial" w:cs="Arial"/>
          <w:sz w:val="20"/>
          <w:szCs w:val="20"/>
        </w:rPr>
        <w:t xml:space="preserve"> 65/2755, PSČ 13000</w:t>
      </w:r>
    </w:p>
    <w:p w14:paraId="1B928C67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kterou zastupuje/jí: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Martin Vašíček, jednatel společnosti</w:t>
      </w:r>
    </w:p>
    <w:p w14:paraId="6021081C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27574032</w:t>
      </w:r>
    </w:p>
    <w:p w14:paraId="6E40F8F4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CZ27574032</w:t>
      </w:r>
    </w:p>
    <w:p w14:paraId="4D9BA03A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Raiffeisenbank a.s.</w:t>
      </w:r>
    </w:p>
    <w:p w14:paraId="665EA703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2405638001/5500</w:t>
      </w:r>
    </w:p>
    <w:p w14:paraId="583A050A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xchpznz</w:t>
      </w:r>
      <w:proofErr w:type="spellEnd"/>
    </w:p>
    <w:p w14:paraId="44E04080" w14:textId="77777777" w:rsidR="006C3390" w:rsidRDefault="00D43079">
      <w:pPr>
        <w:widowControl w:val="0"/>
        <w:tabs>
          <w:tab w:val="left" w:pos="1701"/>
        </w:tabs>
        <w:spacing w:after="12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zapsaná v obchodním rejstříku vedeném Městským soudem v Praze oddíl C vložka 116806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6A174F9B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>“)</w:t>
      </w:r>
    </w:p>
    <w:p w14:paraId="1B55D6BC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(jednotlivě též „</w:t>
      </w:r>
      <w:r>
        <w:rPr>
          <w:rFonts w:ascii="Arial" w:hAnsi="Arial" w:cs="Arial"/>
          <w:b/>
          <w:sz w:val="20"/>
          <w:szCs w:val="20"/>
        </w:rPr>
        <w:t xml:space="preserve">Smluvní 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“, společně též „</w:t>
      </w:r>
      <w:r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 xml:space="preserve">“) </w:t>
      </w:r>
    </w:p>
    <w:p w14:paraId="471BB394" w14:textId="77777777" w:rsidR="006C3390" w:rsidRDefault="006C3390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14:paraId="0CC500F9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7CC2F984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5EEB2B79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7EEF97CC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489F5AF4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24712792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2407D938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5C24F044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14:paraId="10224004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lastRenderedPageBreak/>
        <w:t>Preambule</w:t>
      </w:r>
    </w:p>
    <w:p w14:paraId="0CFE8EBB" w14:textId="77777777" w:rsidR="006C3390" w:rsidRDefault="00D43079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Tato Smlouva upravuje vztah mezi Kupujícím a Prodávajícím, který vzešel z výsledku výběrového řízení na veřejnou zakázku malého rozsahu evidovanou Kupujícím pod číslem ID VZ: 2500746 s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názvem „Nákup náhradních dílů pro stabilizaci infrastruktury“ (dále jen „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veřejná zakázka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“).  </w:t>
      </w:r>
    </w:p>
    <w:p w14:paraId="1CB65508" w14:textId="77777777" w:rsidR="006C3390" w:rsidRDefault="00D43079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Tato Smlouva stanovuje základní obsah právního vztahu na poskytování požadovaného předmětu plnění mezi Smluvními stranami. Ustanovení této Smlouvy je třeba vyklád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at v souladu se zadávacími podmínkami výše uvedené veřejné zakázky. </w:t>
      </w:r>
    </w:p>
    <w:p w14:paraId="19E8D71F" w14:textId="77777777" w:rsidR="006C3390" w:rsidRDefault="00D43079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tímto výslovně prohlašuje, že je oprávněn poskytnout Kupujícímu plnění dle této Smlouvy a že jím poskytované plnění odpovídá všem požadavkům vyplývajícím z platných právních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ředpisů, které se na předmětné plnění vztahují. </w:t>
      </w:r>
    </w:p>
    <w:p w14:paraId="1491711E" w14:textId="77777777" w:rsidR="006C3390" w:rsidRDefault="00D43079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prohlašuje, že se náležitě seznámil se všemi zadávacími podmínkami této veřejné zakázky, že jsou mu známy veškeré technické, kvalitativní a jiné podmínky plnění stanovené Kupujícím, a že disponuj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e takovými kapacitami a odbornými znalostmi, které jsou nezbytné pro poskytnutí plnění podle této Smlouvy a za ceny uvedené v této Smlouvě, a že je způsobilý a oprávněný ke splnění všech svých závazků dle této Smlouvy. </w:t>
      </w:r>
    </w:p>
    <w:p w14:paraId="2AAD4FDC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5DD7B18" w14:textId="77777777" w:rsidR="006C3390" w:rsidRDefault="00D43079">
      <w:pPr>
        <w:pStyle w:val="Nzev"/>
      </w:pPr>
      <w:r>
        <w:t>Článek I.</w:t>
      </w:r>
    </w:p>
    <w:p w14:paraId="2CC82F32" w14:textId="77777777" w:rsidR="006C3390" w:rsidRDefault="00D43079">
      <w:pPr>
        <w:pStyle w:val="Nzev"/>
      </w:pPr>
      <w:r>
        <w:t xml:space="preserve">Účel a předmět </w:t>
      </w:r>
      <w:r>
        <w:t>Smlouvy</w:t>
      </w:r>
    </w:p>
    <w:p w14:paraId="16C76516" w14:textId="77777777" w:rsidR="006C3390" w:rsidRDefault="00D43079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Účelem této Smlouvy je zajištění potřebného množství síťových a paměťových modulů (jako náhradních dílů) pro servery HPE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Blade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s procesorem Intel® Itanium® a poskytnutí záruky za jakost v rozsahu a za podmínek stanovených touto Smlouvou za účelem 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držitelného provozu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Itaniových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serverů modelové řady i4/i6, jejichž provoz je nepostradatelný pro bezporuchový chod významné části klíčových aplikací IS VZP ČR.</w:t>
      </w:r>
    </w:p>
    <w:p w14:paraId="7A7DC140" w14:textId="77777777" w:rsidR="006C3390" w:rsidRDefault="00D43079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Předmětem této Smlouvy je na straně jedné závazek Prodávajícího sjednaným způsobem, ve smluvené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m rozsahu, místě a době, na svůj náklad a nebezpečí, řádně a včas a s potřebnou péčí poskytnout Kupujícímu plnění specifikovaná v čl. II. této Smlouvy.</w:t>
      </w:r>
    </w:p>
    <w:p w14:paraId="456BA04C" w14:textId="77777777" w:rsidR="006C3390" w:rsidRDefault="00D43079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Předmětem této Smlouvy je na straně druhé závazek Kupujícího řádně a včas poskytnuté plnění převzít a za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platit Prodávajícímu dohodnutou cenu plnění, to vše za podmínek stanovených touto Smlouvou.</w:t>
      </w:r>
    </w:p>
    <w:p w14:paraId="4CF15AC0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2335B1A" w14:textId="77777777" w:rsidR="006C3390" w:rsidRDefault="00D43079">
      <w:pPr>
        <w:pStyle w:val="Nzev"/>
      </w:pPr>
      <w:r>
        <w:t>Článek II.</w:t>
      </w:r>
    </w:p>
    <w:p w14:paraId="673AEF1A" w14:textId="77777777" w:rsidR="006C3390" w:rsidRDefault="00D43079">
      <w:pPr>
        <w:pStyle w:val="Nzev"/>
      </w:pPr>
      <w:r>
        <w:t>Předmět plnění</w:t>
      </w:r>
    </w:p>
    <w:p w14:paraId="5AF39F8C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se zavazuje Kupujícímu:</w:t>
      </w:r>
    </w:p>
    <w:p w14:paraId="4F3C954D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dodat 4 kusy HPE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BLc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FlexFabric-20/40 F8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Reman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Module (691367R-B21) včetně 2 x LAN 10 Gb (455883R-B21) a 2 x SAN 8 Gb (AJ716BR) modulů pro každý kus,</w:t>
      </w:r>
    </w:p>
    <w:p w14:paraId="623883D6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dodat 10 kusů HPE BL8x0c 32GB (2x16GB)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DualRank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PC3L-12800 (DDR3-1600)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Registered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CAS-11 (AM388AR),</w:t>
      </w:r>
    </w:p>
    <w:p w14:paraId="2D2692EB" w14:textId="77777777" w:rsidR="006C3390" w:rsidRDefault="00D4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 w:firstLine="348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(dále vše společně vše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Zboží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“), </w:t>
      </w:r>
    </w:p>
    <w:p w14:paraId="3BDF039C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převést na Kup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ujícího vlastnické právo ke Zboží a poskytnout Kupujícímu licenci k užití </w:t>
      </w:r>
      <w:r>
        <w:rPr>
          <w:rFonts w:ascii="Arial" w:hAnsi="Arial" w:cs="Arial"/>
          <w:sz w:val="20"/>
          <w:szCs w:val="20"/>
          <w:lang w:eastAsia="en-US"/>
        </w:rPr>
        <w:t xml:space="preserve">standardního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SW, který je součástí dodávaného Zboží,</w:t>
      </w:r>
    </w:p>
    <w:p w14:paraId="759A4106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poskytovat záruku za jakost pro dodané Zboží </w:t>
      </w:r>
      <w:bookmarkStart w:id="0" w:name="_Hlk206084367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 délce trvání 36 měsíců za podmínek dále v této Smlouvě sjednaných 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Záruk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“). </w:t>
      </w:r>
    </w:p>
    <w:bookmarkEnd w:id="0"/>
    <w:p w14:paraId="39BD7CB7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se zavazuje zajistit a odpovídá za to, že dodávané Zboží má zejména následující vlastnosti: </w:t>
      </w:r>
    </w:p>
    <w:p w14:paraId="356643EF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splňuje všechny náležitosti uvedené v této Smlouvě;</w:t>
      </w:r>
    </w:p>
    <w:p w14:paraId="2F48FE4B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je originální a určené pro evropský trh;</w:t>
      </w:r>
    </w:p>
    <w:p w14:paraId="1E504E40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odpovídá závazným technickým normám;</w:t>
      </w:r>
    </w:p>
    <w:p w14:paraId="09D6C046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je plně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funkční, bez materiálových, konstrukčních a výrobních vad;</w:t>
      </w:r>
    </w:p>
    <w:p w14:paraId="0E9AFACD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je bez právních vad;</w:t>
      </w:r>
    </w:p>
    <w:p w14:paraId="6A9434E1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je způsobilé pro použití k určenému účelu.</w:t>
      </w:r>
    </w:p>
    <w:p w14:paraId="52BD9499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se zavazuje dodat Kupujícímu Zboží řádně a včas bez faktických a právních vad, a to do určeného místa plnění na své nákla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dy a nebezpečí. Prodávající nese odpovědnost za to, že Zboží je ke dni dodání plně funkční a že splňuje všechny požadavky uvedené v tomto článku této Smlouvy.</w:t>
      </w:r>
    </w:p>
    <w:p w14:paraId="4DFA8AE5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prohlašuje a odpovídá za to, že plnění dle této Smlouvy, která jsou předmětem jakéhok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oliv práva duševního vlastnictví, je oprávněn distribuovat a poskytovat třetím osobám (vč. Kupujícího). </w:t>
      </w:r>
    </w:p>
    <w:p w14:paraId="1FAF60D0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touto smlouvou poskytuje Kupujícímu licenci k užití software, který je součástí Zboží, a to </w:t>
      </w:r>
      <w:r>
        <w:rPr>
          <w:rFonts w:ascii="Arial" w:hAnsi="Arial" w:cs="Arial"/>
          <w:sz w:val="20"/>
          <w:szCs w:val="20"/>
        </w:rPr>
        <w:t>nevýhradní a na dobu trvání majetkových autorsk</w:t>
      </w:r>
      <w:r>
        <w:rPr>
          <w:rFonts w:ascii="Arial" w:hAnsi="Arial" w:cs="Arial"/>
          <w:sz w:val="20"/>
          <w:szCs w:val="20"/>
        </w:rPr>
        <w:t xml:space="preserve">ých práv k příslušnému SW. Smluvní strany se dohodly, že touto Smlouvou poskytnuté licence nelze vypovědět. </w:t>
      </w:r>
    </w:p>
    <w:p w14:paraId="2621DB70" w14:textId="77777777" w:rsidR="006C3390" w:rsidRDefault="00D43079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Řádné dodání Zboží (za cenu zahrnutou v ceně Zboží) též zahrnuje:</w:t>
      </w:r>
    </w:p>
    <w:p w14:paraId="7BEC2349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zabalení Zboží a jeho přepravu do místa plnění a jeho předání Kupujícímu; </w:t>
      </w:r>
    </w:p>
    <w:p w14:paraId="2D12B24A" w14:textId="77777777" w:rsidR="006C3390" w:rsidRDefault="00D43079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poskyt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ování souvisejících služeb a součinnosti nezbytné k řádnému dodání Zboží a jeho předání Kupujícímu. </w:t>
      </w:r>
    </w:p>
    <w:p w14:paraId="414E83A5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C1D24B5" w14:textId="77777777" w:rsidR="006C3390" w:rsidRDefault="00D43079">
      <w:pPr>
        <w:pStyle w:val="Nzev"/>
      </w:pPr>
      <w:r>
        <w:t>Článek III.</w:t>
      </w:r>
    </w:p>
    <w:p w14:paraId="051636CF" w14:textId="77777777" w:rsidR="006C3390" w:rsidRDefault="00D43079">
      <w:pPr>
        <w:pStyle w:val="Nzev"/>
      </w:pPr>
      <w:r>
        <w:t>Doba a místo plnění</w:t>
      </w:r>
    </w:p>
    <w:p w14:paraId="40414AD6" w14:textId="77777777" w:rsidR="006C3390" w:rsidRDefault="00D430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je povinen dodat Kupujícímu Zboží do sídla Kupujícího 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do 60 dnů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ode dne nabytí účinnosti této Smlouvy. </w:t>
      </w:r>
    </w:p>
    <w:p w14:paraId="23E0D0F4" w14:textId="77777777" w:rsidR="006C3390" w:rsidRDefault="00D430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poskytuje Kupujícímu Záruku na Zboží v rozsahu a za podmínek stanovených touto Smlouvou ode dne podpisu předávacího protokolu 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předání a převzetí Zboží 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Předávací protokol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“).Pověřenou osobou Kupujícího na dobu 36 měsíců ode dne podpisu Předávacího protokolu. </w:t>
      </w:r>
    </w:p>
    <w:p w14:paraId="02BCF8FC" w14:textId="77777777" w:rsidR="006C3390" w:rsidRDefault="00D43079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Místem plnění je sídlo Všeobecné zdravotní pojišťovny České republiky, Orlická 2020/4, 130 00 Praha 3 a datové ce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ntrum Kupujícího v budově ČD – Telematika, Pod Táborem 369/8a, 190 00 Praha 9. Zboží bude dodáno do sídla Kupujícího.</w:t>
      </w:r>
    </w:p>
    <w:p w14:paraId="26A894F2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C66C0A3" w14:textId="77777777" w:rsidR="006C3390" w:rsidRDefault="00D43079">
      <w:pPr>
        <w:pStyle w:val="Nzev"/>
      </w:pPr>
      <w:r>
        <w:t>Článek IV.</w:t>
      </w:r>
    </w:p>
    <w:p w14:paraId="7CF90AF2" w14:textId="77777777" w:rsidR="006C3390" w:rsidRDefault="00D43079">
      <w:pPr>
        <w:pStyle w:val="Nzev"/>
      </w:pPr>
      <w:r>
        <w:t>Způsob dodání Zboží</w:t>
      </w:r>
    </w:p>
    <w:p w14:paraId="7925EF08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je povinen dohodnout s Pověřenou osobou Kupujícího konkrétní datum a čas dodávky Zboží. Tyto údaje Prodávající následně písemně potvrdí elektronickou poštou na e-mail Pověřené osoby Kupujícího, a to nejméně 3 pracovní dny před datem doručení Zb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oží do místa plnění. </w:t>
      </w:r>
    </w:p>
    <w:p w14:paraId="3F4FEF55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zašle Kupujícímu vyhotovený a Pověřenou osobou podepsaný Předávací protokol v elektronické podobě e-mailem, a to nejpozději současně s doručením Zboží. </w:t>
      </w:r>
    </w:p>
    <w:p w14:paraId="789D593B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Ve lhůtě dle odst. 1. tohoto článku Prodávající dodá Zboží do místa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lnění, kde Kupující zkontroluje počty kusů, druh předávaného Zboží a zkontroluje, zda jsou jednotlivá balení dodávaného Zboží neporušena. Kupující podepíše spolu s fyzickým převzetím Zboží dodací list.</w:t>
      </w:r>
    </w:p>
    <w:p w14:paraId="477525F8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V případě zjištění poškození originálního obalového ma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teriálu nebo v případě, že nebudou dodány jednotlivé kusy Zboží ve stanoveném počtu, příslušná Pověřená osoba Kupujícího Zboží nepřevezme. V takovém případě Kupující dodací list nepodepíše a plnění Prodávajícího nebude považováno za provedené.  </w:t>
      </w:r>
    </w:p>
    <w:p w14:paraId="743E668B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Kupující b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ez zbytečného odkladu po dodání provede vybalení Zboží a jeho fyzickou inventarizaci. Dodané Zboží bude Kupující kontrolovat zejména z hlediska druhu, typu a počtu jednotlivých kusů, jakož i zjevných vad. V případě, že Zboží bude vykazovat zjevné vady, neb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 nebude-li dodáno v druhu, typu či počtu jednotlivých kusů dle čl. II., odst. 1. této Smlouvy, nebude plnění Prodávajícího považováno za provedené. V takovém případě je Prodávající povinen do 30 dnů od obdržení takovéto informace ze strany Kupujícího vyzv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ednout vadné Zboží či jeho část a dodat místo něj Zboží či jeho část bez výše uvedených vad.</w:t>
      </w:r>
    </w:p>
    <w:p w14:paraId="18F0DF54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 případě nepřevzetí Zboží (viz odst. 4. a 5. tohoto článku) bude vyhotoven příslušný protokol, ve kterém budou uvedeny důvody jeho nepřevzetí. </w:t>
      </w:r>
    </w:p>
    <w:p w14:paraId="6BB464AB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Zboží se považuje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za řádně dodané okamžikem podpisu Předávacího protokolu Pověřenou osobou Kupujícího. </w:t>
      </w:r>
    </w:p>
    <w:p w14:paraId="0286D515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 Předávacím protokolu musí být uvedeno označení a číslo této Smlouvy, specifikace předávaného Zboží, jeho množství, výrobní čísla, datum, jména a podpisy Pověřených osob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obou Smluvních stran. </w:t>
      </w:r>
    </w:p>
    <w:p w14:paraId="09A93BE8" w14:textId="77777777" w:rsidR="006C3390" w:rsidRDefault="00D4307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Okamžikem podpisu Předávacího protokolu Pověřenou osobou Kupujícího přechází nebezpečí škody na Zboží a vlastnické právo k dodanému Zboží z Prodávajícího na Kupujícího. </w:t>
      </w:r>
    </w:p>
    <w:p w14:paraId="3C6BEC61" w14:textId="77777777" w:rsidR="006C3390" w:rsidRDefault="006C3390">
      <w:pPr>
        <w:pStyle w:val="Odstavecseseznamem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13581F72" w14:textId="77777777" w:rsidR="006C3390" w:rsidRDefault="00D43079">
      <w:pPr>
        <w:pStyle w:val="Nzev"/>
      </w:pPr>
      <w:r>
        <w:t>Článek V.</w:t>
      </w:r>
    </w:p>
    <w:p w14:paraId="36BB1748" w14:textId="77777777" w:rsidR="006C3390" w:rsidRDefault="00D43079">
      <w:pPr>
        <w:pStyle w:val="Nzev"/>
      </w:pPr>
      <w:r>
        <w:t>Cena plnění</w:t>
      </w:r>
    </w:p>
    <w:p w14:paraId="4278E7D8" w14:textId="77777777" w:rsidR="006C3390" w:rsidRDefault="00D43079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Cena plnění dle této Smlouvy je stanovena v souladu se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zákonem č. 526/1990 Sb., o cenách, ve znění pozdějších předpisů, a to na základě předložené cenové nabídky Prodávajícího v rámci předmětné veřejné zakázky.</w:t>
      </w:r>
    </w:p>
    <w:p w14:paraId="33631645" w14:textId="77777777" w:rsidR="006C3390" w:rsidRDefault="00D43079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Celková cena plnění bez DPH činí: 219 972,- Kč (slovy: dvě stě devatenáct tisíc devět set sedmdesát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dva korun českých), podrobný rozpis ceny je uveden v Příloze č. 1 této Smlouvy – „Specifikace ceny“.</w:t>
      </w:r>
    </w:p>
    <w:p w14:paraId="7B5A35DF" w14:textId="77777777" w:rsidR="006C3390" w:rsidRDefault="00D43079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Celková cena plnění bez DPH je maximální, nejvýše přípustná a nepřekročitelná a zahrnuje úhradu za veškeré plnění dle této Smlouvy, tj. zahrnuje i odměnu z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a licence a cenu za poskytnutí Záruky na Zboží po dobu 36 měsíců. Celková cena plnění zahrnuje veškeré náklady Prodávajícího nutné k řádnému poskytnutí plnění dle podmínek stanovených v této Smlouvě. </w:t>
      </w:r>
    </w:p>
    <w:p w14:paraId="4ED19FED" w14:textId="77777777" w:rsidR="006C3390" w:rsidRDefault="00D43079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Bude-li ke dni uskutečnění zdanitelného plnění Prodávaj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ící plátcem DPH, bude k ceně plnění bez DPH uvedené v odst. 2 tohoto článku Prodávajícím účtována DPH v zákonem stanovené výši platné ke dni uskutečnění zdanitelného plnění. Za správnost stanovení sazby DPH a vyčíslení výše DPH odpovídá Prodávající.</w:t>
      </w:r>
    </w:p>
    <w:p w14:paraId="5AF120EF" w14:textId="77777777" w:rsidR="006C3390" w:rsidRDefault="00D43079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ající, který ke dni uskutečnění zdanitelného plnění nebude plátcem DPH, bude Kupujícímu účtovat cenu uvedenou v odst. 2. tohoto článku jako cenu konečnou.</w:t>
      </w:r>
    </w:p>
    <w:p w14:paraId="6F8968DB" w14:textId="77777777" w:rsidR="006C3390" w:rsidRDefault="006C3390">
      <w:pPr>
        <w:widowControl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5889951" w14:textId="77777777" w:rsidR="006C3390" w:rsidRDefault="00D43079">
      <w:pPr>
        <w:pStyle w:val="Nzev"/>
      </w:pPr>
      <w:r>
        <w:t>Článek VI.</w:t>
      </w:r>
    </w:p>
    <w:p w14:paraId="646E605C" w14:textId="77777777" w:rsidR="006C3390" w:rsidRDefault="00D43079">
      <w:pPr>
        <w:pStyle w:val="Nzev"/>
      </w:pPr>
      <w:r>
        <w:t>Fakturační a platební podmínky</w:t>
      </w:r>
    </w:p>
    <w:p w14:paraId="7973A281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Úhrada ceny plnění dle čl. V., odst. 2 této Smlouvy bude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rovedena bezhotovostním převodem na bankovní účet Prodávajícího uvedený v záhlaví této Smlouvy, a to na základě jednoho daňového dokladu – faktury (dále též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faktura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“) vystavené Prodávajícím a zaslané Kupujícímu. Smluvní strany se dohodly, že bankovní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účty uvedené u jejich identifikačních údajů v záhlaví této Smlouvy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mohou být měněny pouze formou písemných smluvních dodatků k této Smlouvě podepsaných oprávněnými zástupci Smluvních stran.</w:t>
      </w:r>
    </w:p>
    <w:p w14:paraId="642E1D15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je oprávněn vystavit fakturu až po řádném dodání Zboží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, tj. po podpisu Předávacího protokolu Pověřenými osobami obou Smluvních stran. </w:t>
      </w:r>
    </w:p>
    <w:p w14:paraId="581E8FF6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Fakturu Prodávající zašle Kupujícímu v listinné podobě na adresu sídla Kupujícího uvedenou v záhlaví této Smlouvy nebo v elektronické podobě do jeho datové schránky nebo e-mai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lem zaslaným na adresu </w:t>
      </w:r>
      <w:hyperlink r:id="rId11">
        <w:r>
          <w:rPr>
            <w:rFonts w:ascii="Arial" w:eastAsia="Times New Roman" w:hAnsi="Arial" w:cs="Arial"/>
            <w:color w:val="auto"/>
            <w:sz w:val="20"/>
            <w:szCs w:val="20"/>
            <w:bdr w:val="none" w:sz="0" w:space="0" w:color="auto"/>
            <w:lang w:eastAsia="en-US"/>
          </w:rPr>
          <w:t>podatelna@vzp.cz</w:t>
        </w:r>
      </w:hyperlink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, přičemž předmět (název) e-mailu musí začínat slovem „Faktura“. </w:t>
      </w:r>
    </w:p>
    <w:p w14:paraId="2785A856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Jako odběratel musí být vždy uvedena Všeobecná zdravotní pojišťovna České republiky, Orlická 2020/4, 130 00,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Praha 3.</w:t>
      </w:r>
    </w:p>
    <w:p w14:paraId="4D97A829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Splatnost faktury se sjednává v délce 30 kalendářních dnů ode dne jejího doručení Kupujícímu.</w:t>
      </w:r>
    </w:p>
    <w:p w14:paraId="4E1AFA38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Úhrada za plnění bude provedena v českých korunách. Peněžitá částka se považuje za zaplacenou (tj. peněžitý závazek se považuje za splněný)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okamžikem jejího odepsání z účtu Kupujícího ve prospěch účtu Prodávajícího. Prodávající není oprávněn nárokovat bankovní poplatky nebo jiné náklady vztahující se k převodu poukazovaných částek mezi Smluvními stranami na základě této Smlouvy.</w:t>
      </w:r>
    </w:p>
    <w:p w14:paraId="7BFE2190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Faktura musí o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bsahovat všechny náležitosti řádného účetního a daňového dokladu ve smyslu příslušných zákonných ustanovení, zejména zákona č. 235/2004 Sb., o dani z přidané hodnoty, ve znění pozdějších předpisů (dále též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zákon o DPH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“), zákona č. 563/1991 Sb., o účet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nictví, ve znění pozdějších předpisů a § 435 občanského zákoníku. Faktura musí obsahovat číslo této Smlouvy.</w:t>
      </w:r>
    </w:p>
    <w:p w14:paraId="5F5A8EBE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Přílohou faktury musí být originál nebo kopie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Pověřenými osobami obou Smluvních stran</w:t>
      </w:r>
      <w:r>
        <w:rPr>
          <w:rFonts w:ascii="Arial" w:hAnsi="Arial" w:cs="Arial"/>
          <w:sz w:val="20"/>
          <w:szCs w:val="20"/>
        </w:rPr>
        <w:t xml:space="preserve"> podepsaného Předávacího protokolu potvrzujícího řádné dodání a převzetí Zboží v místě plnění.</w:t>
      </w:r>
    </w:p>
    <w:p w14:paraId="3022EB90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 případě, že faktura nebude mít veškeré náležitosti podle výše uvedených právních předpisů nebo podle této Smlouvy nebo v ní budou uvedeny nesprávné údaje, tj.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chybné formální náležitosti (identifikační údaje, zdaňovací období, odkaz na číslo Smlouvy apod.), je Kupující oprávněn před uplynutím lhůty splatnosti fakturu vrátit Prodávajícímu. V průvodním dopisu k vrácené faktuře musí uvést důvod vrácení. Prodávající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je povinen podle povahy nesprávnosti fakturu opravit nebo nově vyhotovit. Oprávněným vrácením faktury přestává běžet původní lhůta splatnosti a celá 30denní lhůta běží znovu ode dne opětovného doručení opravené nebo nově vyhotovené faktury Kupujícímu způs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obem uvedeným v odst. 3. tohoto článku.</w:t>
      </w:r>
    </w:p>
    <w:p w14:paraId="46B3B34D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Prodávající, pokud je v den uzavření této Smlouvy plátcem DPH, prohlašuje, že účet uvedený v záhlaví této Smlouvy je účtem zveřejněným správcem daně způsobem umožňujícím dálkový přístup ve smyslu § 96 odst. 2 zákona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 DPH. V případě, že Prodávající nebude mít v době uskutečnění zdanitelného plnění bankovní účet uvedený v záhlaví této Smlouvy tímto způsobem zveřejněn, uhradí Kupující Prodávajícímu v dohodnutém termínu splatnosti příslušné faktury pouze částku představu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jící dohodnutou cenu plnění bez DPH. Částku rovnající se výši DPH z Prodávajícím fakturované ceny plnění uhradí Kupující, v souladu s § 109a zákona o DPH, správci daně místně příslušnému Prodávajícímu. Prodávající výslovně prohlašuje, že příslušnou cenu pl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nění bude považovat tímto za zaplacenou. Smluvní strany se dohodly, že podle tohoto ustanovení bude postupováno též v případě, pokud se Prodávající v době poskytování plnění dle této Smlouvy plátcem DPH stane.</w:t>
      </w:r>
    </w:p>
    <w:p w14:paraId="76F26F74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prohlašuje, že správce daně před 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zavřením Smlouvy nerozhodl, že Prodávající je nespolehlivým plátcem ve smyslu § 106a zákona o DPH 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  <w:lang w:eastAsia="en-US"/>
        </w:rPr>
        <w:t>Nespolehlivý plátce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“). Pokud v době uskutečnění příslušného zdanitelného plnění bude Prodávající uveden v aplikaci „Registr plátců DPH“ jako Nespol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ehlivý plátce, dohodly se Smluvní strany, že Kupující bude postupovat při úhradě ceny příslušného plnění způsobem uvedeným v odst. 10 tohoto článku.</w:t>
      </w:r>
    </w:p>
    <w:p w14:paraId="4DAAB737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 xml:space="preserve">Prodávající se zavazuje poskytnout Kupujícímu potřebnou součinnost při výkonu finanční kontroly dle zákona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č. 320/2001 Sb., o finanční kontrole ve veřejné správě a o změně některých zákonů (zákon o finanční kontrole), ve znění pozdějších předpisů.</w:t>
      </w:r>
    </w:p>
    <w:p w14:paraId="29439F69" w14:textId="77777777" w:rsidR="006C3390" w:rsidRDefault="00D43079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Kupující neposkytuje Prodávajícímu na předmět plnění dle této Smlouvy jakékoliv zálohy.</w:t>
      </w:r>
    </w:p>
    <w:p w14:paraId="22473E3C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22B5B64" w14:textId="77777777" w:rsidR="006C3390" w:rsidRDefault="00D43079">
      <w:pPr>
        <w:pStyle w:val="Nzev"/>
      </w:pPr>
      <w:r>
        <w:t>Článek VII.</w:t>
      </w:r>
    </w:p>
    <w:p w14:paraId="745DCBC3" w14:textId="77777777" w:rsidR="006C3390" w:rsidRDefault="00D43079">
      <w:pPr>
        <w:pStyle w:val="Nzev"/>
      </w:pPr>
      <w:r>
        <w:t>Sankční ujedná</w:t>
      </w:r>
      <w:r>
        <w:t>ní</w:t>
      </w:r>
    </w:p>
    <w:p w14:paraId="4D5F0022" w14:textId="77777777" w:rsidR="006C3390" w:rsidRDefault="00D430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Při nedodržení termínu dodání Zboží dle článku III., odst. 2. této Smlouvy je Kupující oprávněn vyúčtovat Prodávajícímu smluvní pokutu ve výši 5 000 Kč (slovy: pět tisíc korun českých), a to za každý i jen započatý kalendářní den prodlení. Prodávající je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ovinen vyúčtovanou smluvní pokutu uhradit. </w:t>
      </w:r>
    </w:p>
    <w:p w14:paraId="509501C6" w14:textId="77777777" w:rsidR="006C3390" w:rsidRDefault="00D430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Při nedodržení závazku dle čl. II., odst. 2. písm. b) této Smlouvy (vlastnosti předmětu plnění), je Kupující oprávněn vyúčtovat Prodávajícímu smluvní pokutu ve výši 50 % z ceny plnění v každém jednotlivém případě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, tj. u každého jednotlivého kusu Zboží, které nebude mít vlastnosti požadované v čl. II., odst. 2. písm. b) této Smlouvy. Práva Kupujícího z vadného plnění, tj. zejména právo požadovat dodání jiného bezvadného kusu Zboží, nejsou zaplacením uvedené smluvní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pokuty dotčena.</w:t>
      </w:r>
    </w:p>
    <w:p w14:paraId="7F71F892" w14:textId="77777777" w:rsidR="006C3390" w:rsidRDefault="00D430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Při nedodržení termínu vyřízení reklamace do 30 dnů dle čl. VIII., odst. 6. této Smlouvy ze strany Prodávajícího, je Kupující oprávněn vyúčtovat Prodávajícímu smluvní pokutu ve výši 1000 Kč (slovy: jeden tisíc korun českých), a to za každý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i jen započatý kalendářní den prodlení.</w:t>
      </w:r>
    </w:p>
    <w:p w14:paraId="5259EB9B" w14:textId="77777777" w:rsidR="006C3390" w:rsidRDefault="00D430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 případě prodlení Kupujícího s úhradou oprávněně vystavené a řádně doručené faktury je Prodávající oprávněn vyúčtovat Kupujícímu úrok z prodlení ve výši 0,02 % z nezaplacené částky předmětné faktury za každý kalend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ářní den prodlení a Kupující je povinen tuto sankci uhradit.</w:t>
      </w:r>
    </w:p>
    <w:p w14:paraId="5EB068CE" w14:textId="77777777" w:rsidR="006C3390" w:rsidRDefault="00D43079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Sjednáním smluvní pokuty ani jejím zaplacením není dotčeno právo oprávněné Smluvní strany na náhradu škody vzniklé v důsledku porušení povinnosti, ke kterému se smluvní pokuta vztahuje. Zaplacení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m smluvní pokuty není dotčena povinnost příslušné Smluvní strany splnit své závazky dle této Smlouvy.</w:t>
      </w:r>
    </w:p>
    <w:p w14:paraId="30B19C53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8C6EECD" w14:textId="77777777" w:rsidR="006C3390" w:rsidRDefault="00D43079">
      <w:pPr>
        <w:pStyle w:val="Nzev"/>
      </w:pPr>
      <w:r>
        <w:t>Článek VIII.</w:t>
      </w:r>
    </w:p>
    <w:p w14:paraId="72C3EF5C" w14:textId="77777777" w:rsidR="006C3390" w:rsidRDefault="00D43079">
      <w:pPr>
        <w:pStyle w:val="Nzev"/>
      </w:pPr>
      <w:r>
        <w:t>Odpovědnost za vady a Záruka</w:t>
      </w:r>
    </w:p>
    <w:p w14:paraId="61C281CC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se zavazuje realizovat předmět plnění této Smlouvy v souladu s příslušnými právními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předpisy a s maximální péčí a v kvalitě odpovídající jeho odborným znalostem a zkušenostem, kterou lze od něj vzhledem k jeho profesnímu zaměření právem očekávat.</w:t>
      </w:r>
    </w:p>
    <w:p w14:paraId="7DFA662B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odpovídá za veškeré právní vady i faktické vady Zboží, které bude mít Zboží v dob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ě převzetí Kupujícím nebo které budou zjištěny v záruční době.</w:t>
      </w:r>
    </w:p>
    <w:p w14:paraId="0A2E7184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odpovídá za to, že Zboží v době jeho převzetí Kupujícím a po celou záruční dobu:</w:t>
      </w:r>
    </w:p>
    <w:p w14:paraId="32C58C07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nebude mít žádné právní vady (zjevné či skryté), zejména pak že nebude zatíženo právy třetích osob,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ze kterých by pro Kupujícího vyplynuly jakékoli další finanční nebo jiné povinnosti ve prospěch třetích stran;</w:t>
      </w:r>
    </w:p>
    <w:p w14:paraId="5F99AF6C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nebude mít žádné faktické vady (zjevné či skryté), zejména pak, že bude splňovat veškeré funkční, technické a jiné vlastnosti a specifikace dohod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nuté v této Smlouvě a vlastnosti obvyklé, a dále že bude splňovat veškeré požadavky stanovené příslušnými právními předpisy a technickými normami.</w:t>
      </w:r>
    </w:p>
    <w:p w14:paraId="25EBBBFF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poskytuje Kupujícímu na dodané zboží Záruku za jakost v délce 36 měsíců ode dne podpisu Předávací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ho protokolu Pověřenými osobami obou Smluvních stran. V rámci Záruky se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Prodávající zavazuje odstraňovat veškeré vady dodaného Zboží i veškeré další incidenty vzniklé při jeho provozu (dále dohromady též jen „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vady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“) do 30 dní od jejich nahlášení způsobem 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za podmínek uvedených v  tomto článku. </w:t>
      </w:r>
    </w:p>
    <w:p w14:paraId="5F97DF7B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Zárukou za jakost se Prodávající zavazuje, že Zboží bude po celou záruční dobu způsobilé pro použití ke smluvenému, popř. obvyklému účelu, a že si zachová smluvené, popř. obvyklé vlastnosti. Ustanovení § 2112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občanského zákoníku, stanovící důsledky neoznámení vad Zboží bez zbytečného odkladu, se pro účely této Smlouvy nepoužije; Záruka se vztahuje na veškeré vady Zboží, které Kupující uplatní v záruční době.</w:t>
      </w:r>
    </w:p>
    <w:p w14:paraId="60655436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Reklamované vady se Prodávající zavazuje odstranit v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souladu s uplatněným právem Kupujícího bezodkladně, nejpozději však do 30 kalendářních dnů ode dne doručení reklamace. </w:t>
      </w:r>
    </w:p>
    <w:p w14:paraId="2A5C965A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 rámci Záruky je Prodávající povinen odstraňovat veškeré vady Zboží v místě plnění opravou Zboží nebo výměnou Zboží.</w:t>
      </w:r>
    </w:p>
    <w:p w14:paraId="3D00C267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Komunikace mezi Ku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pujícím a Prodávajícím při poskytování Prodloužené záruky dle tohoto článku Smlouvy bude probíhat v českém nebo slovenském jazyce, výhradně přes Service Desk Kupujícího, a to strukturovaným e-mailem. Tento kanál musí být použit pro nahlášení vady (Kupující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kromě jiného popíše, jak se vada projevuje), sledování průběhu odstraňování vady a zprovoznění reklamovaného Zboží včetně informace Prodávajícího o termínu úspěšného vyřízení reklamace. Použití telefonní linky je možné pouze v případě, kdy nelze využít e-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mailové komunikace. Kupující bude hlásit vady prostřednictvím svého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Service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Desku (telefon XXXXXXXXXX, e-mail: XXXXXXXXXX) na Servisní dispečink Prodávajícího (telefon: XXXXXXXXXX, e-mail: XXXXXXXXXX).</w:t>
      </w:r>
    </w:p>
    <w:p w14:paraId="612EBCBD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Komunikace mezi Kupujícím a Prodávajícím bude obsahova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 zpravidla tyto kroky:</w:t>
      </w:r>
    </w:p>
    <w:p w14:paraId="590B77E6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Zadání reklamačního požadavku (tj. nahlášení vady) ze strany Kupujícího (zaslání e-mailu Prodávajícímu).</w:t>
      </w:r>
    </w:p>
    <w:p w14:paraId="28039935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Potvrzení přijetí reklamačního požadavku Prodávající (zaslání e-mailu Kupujícímu) – do konce následujícího pracovního dne od ok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amžiku doručení požadavku Prodávajícímu.</w:t>
      </w:r>
    </w:p>
    <w:p w14:paraId="2D195A40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 případě odmítnutí požadavku Prodávajícím musí být součástí odmítnutí jeho řádné odůvodnění.</w:t>
      </w:r>
      <w: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Důvodem pro odmítnutí reklamačního požadavku může být skutečnost, že servisní požadavek byl chybně zadán.</w:t>
      </w:r>
    </w:p>
    <w:p w14:paraId="40A8147A" w14:textId="77777777" w:rsidR="006C3390" w:rsidRDefault="00D43079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Oznámení o vyřešení reklamačního požadavku Prodávajícím (zaslání e-mailu Kupujícímu); v oznámení musí být uvedeno, kdy byla vada odstraněna. Vyřešením požadavku se rozumí datum a čas uvedený v e-mailu.</w:t>
      </w:r>
    </w:p>
    <w:p w14:paraId="0B267440" w14:textId="77777777" w:rsidR="006C3390" w:rsidRDefault="00D4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Pokud se ukáže, že řešení není správné a požadavek je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vrácen Prodávajícímu, doby řešení se sčítají. </w:t>
      </w:r>
    </w:p>
    <w:p w14:paraId="5D466C40" w14:textId="77777777" w:rsidR="006C3390" w:rsidRDefault="00D4307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Kupující si vyhrazuje možnost dotazu (e-mailem) na stav nevyřešeného požadavku, na nějž Prodávající odpoví nestrukturovaným e-mailem.</w:t>
      </w:r>
    </w:p>
    <w:p w14:paraId="71B3CB82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9932886" w14:textId="77777777" w:rsidR="006C3390" w:rsidRDefault="00D43079">
      <w:pPr>
        <w:pStyle w:val="Nzev"/>
      </w:pPr>
      <w:r>
        <w:t>Článek IX.</w:t>
      </w:r>
    </w:p>
    <w:p w14:paraId="3D865E8B" w14:textId="77777777" w:rsidR="006C3390" w:rsidRDefault="00D43079">
      <w:pPr>
        <w:pStyle w:val="Nzev"/>
      </w:pPr>
      <w:r>
        <w:t xml:space="preserve">Odpovědnost za škodu </w:t>
      </w:r>
    </w:p>
    <w:p w14:paraId="66E5C75F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Odpovědnost za škodu se řídí ustanovením § 2894 a násl. občanského zákoníku, zejména pak ustanovením § 2913 občanského zákoníku. </w:t>
      </w:r>
    </w:p>
    <w:p w14:paraId="181E6F4A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strany se zavazují k vyvinutí maximálního úsilí k předcházení škodám a k minimalizaci vzniklých škod.</w:t>
      </w:r>
    </w:p>
    <w:p w14:paraId="62A03350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Smluvní strana,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která poruší svoji povinnost vyplývající z této Smlouvy, je povinna nahradit škodu tím způsobenou druhé Smluvní straně. Povinnosti k náhradě škody se zprostí, prokáže-li, že jí ve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splnění povinnosti dočasně nebo trvale zabránila mimořádná nepředvídatelná 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nepřekonatelná překážka vzniklá nezávisle na její vůli. </w:t>
      </w:r>
    </w:p>
    <w:p w14:paraId="36DD5E34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Není-li v této Smlouvě stanoveno jinak, odpovídá příslušná Smluvní strana za jakoukoli škodu, která druhé Smluvní straně vznikne v souvislosti s porušením povinností příslušné Smluvní strany podle t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éto Smlouvy. Škoda, způsobená zaměstnanci příslušné Smluvní strany nebo třetími osobami, které příslušná Smluvní strana pověří plněním svých závazků dle Smlouvy, bude posuzována jako škoda způsobená příslušnou Smluvní stranou.</w:t>
      </w:r>
    </w:p>
    <w:p w14:paraId="6573B812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Překážka vzniklá z osobních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oměrů příslušné Smluvní strany nebo vzniklá až v době, kdy byla příslušná Smluvní strana s plněním smluvené povinnosti v prodlení, ani překážka, kterou byla příslušná Smluvní strana podle Smlouvy povinna překonat, jí však povinnosti k náhradě škody nezpros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tí.</w:t>
      </w:r>
    </w:p>
    <w:p w14:paraId="236979CF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strana, která porušila právní povinnost, nebo Smluvní strana, která může a má vědět, že ji poruší, oznámí to bez zbytečného odkladu druhé Smluvní straně, které z toho může újma vzniknout, a upozorní ji na možné následky. Splní-li oznamovací pov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innost, nemá poškozená Smluvní strana právo na náhradu té újmy, které mohla po oznámení zabránit.</w:t>
      </w:r>
    </w:p>
    <w:p w14:paraId="2072C9ED" w14:textId="77777777" w:rsidR="006C3390" w:rsidRDefault="00D4307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strany se dohodly, že maximální výše náhrady škody vzniklé Smluvním stranám při plnění této Smlouvy nebo v souvislosti s plněním podle této Smlouvy je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pro obě Smluvní strany limitována částkou 1 000 000 Kč (slovy: jeden milion korun českých).</w:t>
      </w:r>
    </w:p>
    <w:p w14:paraId="6EB946C3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4DC937C" w14:textId="77777777" w:rsidR="006C3390" w:rsidRDefault="00D43079">
      <w:pPr>
        <w:pStyle w:val="Nzev"/>
      </w:pPr>
      <w:r>
        <w:t>Článek X.</w:t>
      </w:r>
    </w:p>
    <w:p w14:paraId="2D12E493" w14:textId="77777777" w:rsidR="006C3390" w:rsidRDefault="00D43079">
      <w:pPr>
        <w:pStyle w:val="Nzev"/>
      </w:pPr>
      <w:bookmarkStart w:id="1" w:name="_Hlk207115335"/>
      <w:r>
        <w:t>Ochrana informací, údajů a dat</w:t>
      </w:r>
    </w:p>
    <w:p w14:paraId="48D79DCA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Kupující podle § 24 odst. 1 zákona č. 551/1991 Sb., o Všeobecné zdravotní pojišťovně České republiky, ve znění pozdějších předpisů (dále jen „zákon č. 551/1991 Sb.“), spravuje, aktualizuje a rozvíjí informační systém Kupujícího, přičemž postupuje a řídí se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příslušnými ustanoveními cit. zákona a souvisejícími právními předpisy. S odkazem na § 24a zákona č. 551/1991 Sb., zákon č. 110/2019 Sb., o zpracování osobních údajů, Nařízení Evropského parlamentu a Rady (EU) 2016/679 ze dne 27. dubna 2016 o ochraně fyzi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ckých osob v souvislosti se zpracováním osobních údajů a o volném pohybu těchto údajů a o zrušení směrnice 95/46/ES (obecné nařízení o ochraně osobních údajů), a dále na zákon č. 181/2014 Sb. o kybernetické bezpečnosti a o změně souvisejících zákonů (zákon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o kybernetické bezpečnosti), ve znění pozdějších předpisů, se Prodávající zavazuje učinit taková opatření, aby veškeré osoby, které se podílejí na realizaci jeho závazků z této Smlouvy, zachovávaly mlčenlivost o veškerých osobních údajích, jakož i o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techn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icko-organizačních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opatřeních k jejich ochraně, o nichž se při plnění závazků dozvěděly, včetně těch, které Kupující eviduje pomocí výpočetní techniky, či jinak. Tutéž mlčenlivost se zavazuje zachovávat i Prodávající. Toto ujednání platí i v případě nahraz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ení uvedených právních předpisů předpisy jinými.</w:t>
      </w:r>
    </w:p>
    <w:p w14:paraId="12CD25AD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se dále zavazuje zajistit, aby veškeré osoby, které se podílejí na realizaci jeho závazků z této Smlouvy, zachovávaly mlčenlivost o veškerých dalších skutečnostech, údajích a datech, o nichž se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ři plnění těchto závazků dozvěděly, a které nejsou veřejně známé nebo veřejně dostupné. Tutéž mlčenlivost se zavazuje zachovávat i Prodávající.</w:t>
      </w:r>
    </w:p>
    <w:p w14:paraId="632B28C6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 porušení závazků uvedených v odst. 1. a 2. tohoto článku se považuje i využití těchto skutečností, údajů a da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t, jakož i dalších vědomostí pro vlastní prospěch Prodávajícího, prospěch třetí osoby nebo pro jiné důvody. </w:t>
      </w:r>
    </w:p>
    <w:p w14:paraId="09C82659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Poskytnutí informací na základě povinností stanovených Smluvním stranám obecně závaznými právními předpisy České republiky včetně přímo použitelnýc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h předpisů Evropské unie není považováno za porušení povinností Smluvních stran sjednaných v tomto článku. </w:t>
      </w:r>
    </w:p>
    <w:p w14:paraId="5E73E5D1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Za porušení závazku uvedeného v odstavci 1. tohoto článku je Prodávající povinen zaplatit Kupujícímu v každém jednotlivém případě smluvní pokutu ve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výši 1 000 000 Kč (slovy: jeden milion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korun českých). Ujednáním o smluvní pokutě ani zaplacením smluvní pokuty není dotčeno právo Kupujícího na náhradu škody vzniklé z porušení povinnosti, ke kterému se smluvní pokuta vztahuje.</w:t>
      </w:r>
    </w:p>
    <w:p w14:paraId="1F4479B0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 porušení závazku uvedené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ho v odstavci 2. tohoto článku je Prodávající povinen zaplatit Kupujícímu v každém jednotlivém případě smluvní pokutu ve výši 100 000 Kč (slovy: jedno sto tisíc korun českých). Ujednáním o smluvní pokutě ani zaplacením smluvní pokuty není dotčeno právo Kup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ujícího na náhradu škody vzniklé z porušení povinnosti, ke kterému se smluvní pokuta vztahuje.</w:t>
      </w:r>
    </w:p>
    <w:p w14:paraId="20FD2AF5" w14:textId="77777777" w:rsidR="006C3390" w:rsidRDefault="00D4307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Závazky Smluvních stran uvedené v tomto článku trvají i po skončení tohoto smluvního vztahu.</w:t>
      </w:r>
    </w:p>
    <w:p w14:paraId="2B65C090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99919B1" w14:textId="77777777" w:rsidR="006C3390" w:rsidRDefault="00D43079">
      <w:pPr>
        <w:pStyle w:val="Nzev"/>
      </w:pPr>
      <w:r>
        <w:t>Článek XI.</w:t>
      </w:r>
    </w:p>
    <w:p w14:paraId="017BA326" w14:textId="77777777" w:rsidR="006C3390" w:rsidRDefault="00D43079">
      <w:pPr>
        <w:pStyle w:val="Nzev"/>
      </w:pPr>
      <w:r>
        <w:t>Uveřejnění Smlouvy</w:t>
      </w:r>
    </w:p>
    <w:p w14:paraId="7F2EA86A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Smluvní strany jsou si plně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vědomy zákonné povinnosti Smluvních stran uveřejnit dle zákona č. 340/2015 Sb., o zvláštních podmínkách účinnosti některých smluv, uveřejňování těchto smluv a o registru smluv (zákon o registru smluv), ve znění pozdějších předpisů, tuto Smlouvu, včetně vše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ch případných dohod, kterými se tato Smlouva doplňuje, mění, nahrazuje nebo ruší, prostřednictvím registru smluv.</w:t>
      </w:r>
    </w:p>
    <w:p w14:paraId="3BFFF2E1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Uveřejněním Smlouvy dle odst. 1. tohoto článku se rozumí uveřejnění elektronického obrazu textového obsahu Smlouvy ve formátu stanovém zákonem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o registru smluv a rovněž metadat, podle § 5 odst. 1 zákona o registru smluv, prostřednictvím registru smluv.</w:t>
      </w:r>
    </w:p>
    <w:p w14:paraId="6515773B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strany se dohodly, že tuto Smlouvu zašle správci registru smluv k uveřejnění prostřednictvím registru smluv Kupující. Prodávající je povi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nen zkontrolovat, že Smlouva včetně všech příloh a metadat byla řádně prostřednictvím registru smluv uveřejněna. V případě, že Prodávající zjistí jakékoliv nepřesnosti či nedostatky, je povinen neprodleně o nich Kupujícího informovat a Smluvní strany si po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skytnou veškerou potřebnou součinnost k zajištění opravy nepřesností či nedostatků. </w:t>
      </w:r>
    </w:p>
    <w:p w14:paraId="038BF5F1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Postup uvedený v odst. 3. tohoto článku se Smluvní strany zavazují dodržovat i v případě uzavření dodatků k této Smlouvě, jakož i v případě jakýchkoli dalších dohod, který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mi se tato Smlouva bude případně doplňovat, měnit, nahrazovat nebo rušit.</w:t>
      </w:r>
    </w:p>
    <w:p w14:paraId="2B66DA6C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Prodávající bere na vědomí a souhlasí s tím, že Kupující může rovněž uveřejnit tuto Smlouvu (tj. celé znění včetně všech příloh) včetně všech jejích případných dodatků na svém profil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u zadavatele; ustanovení odst. 6. a 7. tohoto článku se vztahuje i na tento postup.</w:t>
      </w:r>
    </w:p>
    <w:p w14:paraId="23D619BB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výslovně souhlasí s tím, že s výjimkou ustanovení znečitelněných v souladu se zákonem o registru smluv bude uveřejněno úplné znění této Smlouvy. </w:t>
      </w:r>
    </w:p>
    <w:p w14:paraId="67A5F31F" w14:textId="77777777" w:rsidR="006C3390" w:rsidRDefault="00D4307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Kupující výslovně souhlasí s tím, že s výjimkou ustanovení znečitelněných v souladu se zákonem o 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egistru smluv bude uveřejněno úplné znění této Smlouvy. </w:t>
      </w:r>
    </w:p>
    <w:bookmarkEnd w:id="1"/>
    <w:p w14:paraId="646CE472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4084D0BE" w14:textId="77777777" w:rsidR="006C3390" w:rsidRDefault="00D43079">
      <w:pPr>
        <w:pStyle w:val="Nzev"/>
      </w:pPr>
      <w:bookmarkStart w:id="2" w:name="_Toc381559693"/>
      <w:bookmarkStart w:id="3" w:name="_Toc382387252"/>
      <w:bookmarkStart w:id="4" w:name="_Toc382394339"/>
      <w:r>
        <w:t>Článek XII.</w:t>
      </w:r>
    </w:p>
    <w:p w14:paraId="4248CF02" w14:textId="77777777" w:rsidR="006C3390" w:rsidRDefault="00D43079">
      <w:pPr>
        <w:pStyle w:val="Nzev"/>
      </w:pPr>
      <w:r>
        <w:t>Ostatní ujednání</w:t>
      </w:r>
      <w:bookmarkEnd w:id="2"/>
      <w:bookmarkEnd w:id="3"/>
      <w:bookmarkEnd w:id="4"/>
    </w:p>
    <w:p w14:paraId="7E3A4C3A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Smluvní strany se zavazují vzájemně spolupracovat a poskytovat si veškeré informace potřebné pro řádné plnění svých závazků. Smluvní strany jsou povinny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informovat druhou Smluvní stranu o veškerých skutečnostech, které jsou nebo mohou být důležité pro řádné plnění této Smlouvy.</w:t>
      </w:r>
    </w:p>
    <w:p w14:paraId="1D8B385F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strany se dohodly, že případné spory vzniklé v průběhu plnění této Smlouvy, nedojde-li k dohodě Smluvních stran smírnou ce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stou, budou na návrh kterékoliv Smluvní strany dány k rozhodnutí věcně a místně příslušnému soudu v České republice.</w:t>
      </w:r>
    </w:p>
    <w:p w14:paraId="00FE4C30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Pokud některé z ustanovení této Smlouvy je nebo se stane neplatným, neúčinným či zdánlivým, neplatnost, neúčinnost či zdánlivost tohoto ust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anovení nebude mít za následek neplatnost Smlouvy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jako celku ani jiných ustanovení Smlouvy, pokud je takovéto ustanovení oddělitelné od zbytku této Smlouvy. Smluvní strany se zavazují takovéto neplatné, neúčinné či zdánlivé ustanovení nahradit novým platný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m a účinným ustanovením, které svým obsahem bude co nejvěrněji odpovídat podstatě a smyslu původního ustanovení. </w:t>
      </w:r>
    </w:p>
    <w:p w14:paraId="36BD7F57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Kterákoliv ze Smluvních stran může odstoupit od této Smlouvy v případech stanovených zákonem, zejména pak dle ustanovení § 1977 a násl. a usta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novení § 2001 a násl. občanského zákoníku. Účinky odstoupení od této Smlouvy nastanou dnem doručení oznámení o odstoupení od Smlouvy příslušné Smluvní straně.</w:t>
      </w:r>
    </w:p>
    <w:p w14:paraId="1ECB0566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Pro účely této Smlouvy se za podstatné porušení smluvních povinností považuje zejména prodlení Pr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odávajícího s termínem plnění uvedeným v článku III., odst. 1. této Smlouvy o více než 30 pracovních dnů.</w:t>
      </w:r>
    </w:p>
    <w:p w14:paraId="6D9AE25C" w14:textId="77777777" w:rsidR="006C3390" w:rsidRDefault="00D43079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Odstoupením od této Smlouvy, ani jejím ukončením dohodou není dotčena platnost kteréhokoliv ustanovení Smlouvy, jež má výslovně či ve svých důsledcích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zůstat v platnosti po jejím zániku, zejména závazku mlčenlivosti a ochrany informací, zajištění a utvrzení závazků a ujednání o způsobu řešení sporů. </w:t>
      </w:r>
    </w:p>
    <w:p w14:paraId="69EAC820" w14:textId="77777777" w:rsidR="006C3390" w:rsidRDefault="006C3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F0C5242" w14:textId="77777777" w:rsidR="006C3390" w:rsidRDefault="00D43079">
      <w:pPr>
        <w:pStyle w:val="Nzev"/>
      </w:pPr>
      <w:r>
        <w:t>Článek XIII.</w:t>
      </w:r>
    </w:p>
    <w:p w14:paraId="46BC97A0" w14:textId="77777777" w:rsidR="006C3390" w:rsidRDefault="00D43079">
      <w:pPr>
        <w:pStyle w:val="Nzev"/>
      </w:pPr>
      <w:r>
        <w:t>Závěrečná ustanovení</w:t>
      </w:r>
    </w:p>
    <w:p w14:paraId="4C11B376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Tato Smlouva se uzavírá písemně v elektronické podobě. Prodávající podepíše Smlouvu uznávaným elektronickým podpisem ve smyslu § 6 odst. 2 zákona č. 297/2016 Sb., o službách vytvářejících důvěru pro elektronické transakce, ve znění pozdějších předpisů (dál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 jen „ZSVD“); Kupující Smlouvu podepíše v souladu s § 5 ZSVD kvalifikovaným elektronickým podpisem. Smlouva nabývá platnosti dnem jejího podpisu poslední Smluvní stranou a účinnosti dnem jejího uveřejnění prostřednictvím registru smluv v souladu se zákone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m o registru smluv. </w:t>
      </w:r>
    </w:p>
    <w:p w14:paraId="5E1E83A4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Prodávající není oprávněn bez předchozího písemného souhlasu Kupujícího postoupit či převést jakákoli práva či povinnosti vyplývající z této Smlouvy na jakoukoli třetí osobu. </w:t>
      </w:r>
    </w:p>
    <w:p w14:paraId="53AD193F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Ostatní práva a povinnosti Smluvních stran výslovně neuprav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ené v této Smlouvě, se řídí příslušnými ustanoveními občanského zákoníku a autorského zákona.</w:t>
      </w:r>
    </w:p>
    <w:p w14:paraId="32AE6A97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Pověřenými osobami k jednání ve věcech plnění závazků Smluvních stran dle této Smlouvy, včetně podpisu Předávacího protokolu, jsou:</w:t>
      </w:r>
    </w:p>
    <w:p w14:paraId="683C017D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6"/>
        <w:jc w:val="both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Za Kupujícího: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6C3390" w14:paraId="2E8E480E" w14:textId="77777777">
        <w:trPr>
          <w:trHeight w:hRule="exact" w:val="284"/>
        </w:trPr>
        <w:tc>
          <w:tcPr>
            <w:tcW w:w="2235" w:type="dxa"/>
            <w:hideMark/>
          </w:tcPr>
          <w:p w14:paraId="6112020F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Jméno a příjmen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í:</w:t>
            </w:r>
          </w:p>
        </w:tc>
        <w:tc>
          <w:tcPr>
            <w:tcW w:w="6626" w:type="dxa"/>
            <w:hideMark/>
          </w:tcPr>
          <w:p w14:paraId="0AE5D7A3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7CA95F83" w14:textId="77777777">
        <w:trPr>
          <w:trHeight w:hRule="exact" w:val="284"/>
        </w:trPr>
        <w:tc>
          <w:tcPr>
            <w:tcW w:w="2235" w:type="dxa"/>
            <w:hideMark/>
          </w:tcPr>
          <w:p w14:paraId="236F11A3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hideMark/>
          </w:tcPr>
          <w:p w14:paraId="770457CE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19D4CFC8" w14:textId="77777777">
        <w:trPr>
          <w:trHeight w:hRule="exact" w:val="284"/>
        </w:trPr>
        <w:tc>
          <w:tcPr>
            <w:tcW w:w="2235" w:type="dxa"/>
            <w:hideMark/>
          </w:tcPr>
          <w:p w14:paraId="08C2112A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hideMark/>
          </w:tcPr>
          <w:p w14:paraId="18193361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</w:tbl>
    <w:p w14:paraId="1433E055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6"/>
        <w:jc w:val="both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2531EAF5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6"/>
        <w:jc w:val="both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 xml:space="preserve">nebo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6C3390" w14:paraId="0CC19D5D" w14:textId="77777777">
        <w:trPr>
          <w:trHeight w:hRule="exact" w:val="284"/>
        </w:trPr>
        <w:tc>
          <w:tcPr>
            <w:tcW w:w="2235" w:type="dxa"/>
            <w:hideMark/>
          </w:tcPr>
          <w:p w14:paraId="070F76D3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774E2A81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264E3202" w14:textId="77777777">
        <w:trPr>
          <w:trHeight w:hRule="exact" w:val="284"/>
        </w:trPr>
        <w:tc>
          <w:tcPr>
            <w:tcW w:w="2235" w:type="dxa"/>
            <w:hideMark/>
          </w:tcPr>
          <w:p w14:paraId="7ABEAE0E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hideMark/>
          </w:tcPr>
          <w:p w14:paraId="002854E9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7143705C" w14:textId="77777777">
        <w:trPr>
          <w:trHeight w:hRule="exact" w:val="284"/>
        </w:trPr>
        <w:tc>
          <w:tcPr>
            <w:tcW w:w="2235" w:type="dxa"/>
            <w:hideMark/>
          </w:tcPr>
          <w:p w14:paraId="20E13585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hideMark/>
          </w:tcPr>
          <w:p w14:paraId="7ACEF96B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</w:tbl>
    <w:p w14:paraId="433A683E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6"/>
        <w:jc w:val="both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</w:p>
    <w:p w14:paraId="32BDDEE0" w14:textId="77777777" w:rsidR="006C3390" w:rsidRDefault="00D430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pacing w:after="120" w:line="276" w:lineRule="auto"/>
        <w:ind w:left="425"/>
        <w:jc w:val="both"/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Arial Unicode MS" w:hAnsi="Arial" w:cs="Arial"/>
          <w:color w:val="auto"/>
          <w:sz w:val="20"/>
          <w:szCs w:val="20"/>
          <w:bdr w:val="none" w:sz="0" w:space="0" w:color="auto"/>
        </w:rPr>
        <w:t>Za Prodávajícího: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6C3390" w14:paraId="0F8A1CEC" w14:textId="77777777">
        <w:trPr>
          <w:trHeight w:hRule="exact" w:val="284"/>
        </w:trPr>
        <w:tc>
          <w:tcPr>
            <w:tcW w:w="2235" w:type="dxa"/>
            <w:hideMark/>
          </w:tcPr>
          <w:p w14:paraId="391C14BD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hideMark/>
          </w:tcPr>
          <w:p w14:paraId="05545694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4E249186" w14:textId="77777777">
        <w:trPr>
          <w:trHeight w:hRule="exact" w:val="284"/>
        </w:trPr>
        <w:tc>
          <w:tcPr>
            <w:tcW w:w="2235" w:type="dxa"/>
            <w:hideMark/>
          </w:tcPr>
          <w:p w14:paraId="40844334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hideMark/>
          </w:tcPr>
          <w:p w14:paraId="2D1307F2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  <w:tr w:rsidR="006C3390" w14:paraId="25653097" w14:textId="77777777">
        <w:trPr>
          <w:trHeight w:hRule="exact" w:val="284"/>
        </w:trPr>
        <w:tc>
          <w:tcPr>
            <w:tcW w:w="2235" w:type="dxa"/>
            <w:hideMark/>
          </w:tcPr>
          <w:p w14:paraId="6BEFADE0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hideMark/>
          </w:tcPr>
          <w:p w14:paraId="64EE4F4D" w14:textId="77777777" w:rsidR="006C3390" w:rsidRDefault="00D43079">
            <w:pPr>
              <w:spacing w:after="12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eastAsia="en-US"/>
              </w:rPr>
              <w:t>XXXXXXXXXX</w:t>
            </w:r>
          </w:p>
        </w:tc>
      </w:tr>
    </w:tbl>
    <w:p w14:paraId="3605CEBF" w14:textId="77777777" w:rsidR="006C3390" w:rsidRDefault="006C33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rPr>
          <w:rFonts w:ascii="Arial" w:hAnsi="Arial" w:cs="Arial"/>
          <w:i/>
          <w:sz w:val="20"/>
          <w:szCs w:val="20"/>
          <w:highlight w:val="lightGray"/>
        </w:rPr>
      </w:pPr>
    </w:p>
    <w:p w14:paraId="17D95094" w14:textId="77777777" w:rsidR="006C3390" w:rsidRDefault="00D4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 xml:space="preserve">Je-li Pověřených osob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určeno více, může každá z nich jednat samostatně.</w:t>
      </w:r>
    </w:p>
    <w:p w14:paraId="06F4F36B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Tato Smlouva může být měněna a doplňována pouze formou písemných, vzestupně číslovaných smluvních dodatků, podepsaných oprávněnými zástupci Smluvních stran. Dodatky této Smlouvy se stávají její nedílnou sou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částí. Výjimku tvoří změny údajů uvedených v odstavci 4. tohoto článku, kdy postačí prokazatelné zaslání oznámení příslušné změny druhé Smluvní straně. Oznámení může být zasláno e-mailem Pověřenou osobou příslušné Smluvní strany na kontaktní e-mail Pověřen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é osoby druhé Smluvní strany nebo může být zasláno druhé Smluvní straně do její datové schránky. Změna Pověřené osoby či jejích kontaktních údajů je účinná dnem uvedeným v oznámení, nejdříve však okamžikem, kdy je oznámení o změně druhé Smluvní straně řádn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ě doručeno. </w:t>
      </w:r>
    </w:p>
    <w:p w14:paraId="7E2B0571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Nedílnou součástí této Smlouvy je příloha: </w:t>
      </w:r>
    </w:p>
    <w:p w14:paraId="537CBB62" w14:textId="77777777" w:rsidR="006C3390" w:rsidRDefault="00D43079">
      <w:pPr>
        <w:pStyle w:val="Textkomente"/>
        <w:widowControl w:val="0"/>
        <w:numPr>
          <w:ilvl w:val="0"/>
          <w:numId w:val="23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Příloha č. 1 – „Specifikace ceny“</w:t>
      </w:r>
    </w:p>
    <w:p w14:paraId="732D77D7" w14:textId="77777777" w:rsidR="006C3390" w:rsidRDefault="00D43079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Smluvní strany prohlašují, že si před podpisem tuto Smlouvu včetně jejích příloh řádně přečetly, textu porozuměly a s jejím obsahem souhlasí, což stvrzují svými podp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isy.</w:t>
      </w:r>
    </w:p>
    <w:p w14:paraId="325B59C2" w14:textId="77777777" w:rsidR="006C3390" w:rsidRDefault="006C3390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14:paraId="758F3B9E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Všeobecná zdravotní pojišťovna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Netfox s.r.o.</w:t>
      </w:r>
    </w:p>
    <w:p w14:paraId="12EF1BEE" w14:textId="77777777" w:rsidR="006C3390" w:rsidRDefault="00D43079">
      <w:pPr>
        <w:numPr>
          <w:ilvl w:val="12"/>
          <w:numId w:val="0"/>
        </w:numPr>
        <w:spacing w:after="120" w:line="276" w:lineRule="auto"/>
        <w:ind w:left="425" w:hanging="42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republiky</w:t>
      </w:r>
      <w:r>
        <w:rPr>
          <w:rFonts w:ascii="Arial" w:hAnsi="Arial" w:cs="Arial"/>
          <w:sz w:val="20"/>
          <w:szCs w:val="20"/>
        </w:rPr>
        <w:tab/>
      </w:r>
    </w:p>
    <w:p w14:paraId="7A0F32ED" w14:textId="77777777" w:rsidR="006C3390" w:rsidRDefault="006C3390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</w:rPr>
      </w:pPr>
    </w:p>
    <w:p w14:paraId="3421BA84" w14:textId="77777777" w:rsidR="006C3390" w:rsidRDefault="006C3390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</w:rPr>
      </w:pPr>
    </w:p>
    <w:p w14:paraId="0CFD1CB8" w14:textId="77777777" w:rsidR="006C3390" w:rsidRDefault="006C3390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</w:rPr>
      </w:pPr>
    </w:p>
    <w:p w14:paraId="65436C40" w14:textId="77777777" w:rsidR="006C3390" w:rsidRDefault="006C3390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</w:rPr>
      </w:pPr>
    </w:p>
    <w:p w14:paraId="669CAFEF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Martin Vašíček</w:t>
      </w:r>
    </w:p>
    <w:p w14:paraId="2416581D" w14:textId="77777777" w:rsidR="006C3390" w:rsidRDefault="00D43079">
      <w:pPr>
        <w:widowControl w:val="0"/>
        <w:tabs>
          <w:tab w:val="left" w:pos="1701"/>
        </w:tabs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VZP ČR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 společnosti</w:t>
      </w:r>
    </w:p>
    <w:p w14:paraId="083F26C8" w14:textId="77777777" w:rsidR="006C3390" w:rsidRDefault="006C3390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</w:p>
    <w:p w14:paraId="79BF7CC0" w14:textId="77777777" w:rsidR="006C3390" w:rsidRDefault="00D43079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221D77F" w14:textId="77777777" w:rsidR="006C3390" w:rsidRDefault="00D43079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(podepsáno elektronicky)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(podepsáno elektronicky)</w:t>
      </w:r>
    </w:p>
    <w:p w14:paraId="275505D2" w14:textId="77777777" w:rsidR="006C3390" w:rsidRDefault="006C3390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  <w:sectPr w:rsidR="006C3390">
          <w:pgSz w:w="11900" w:h="16840"/>
          <w:pgMar w:top="1417" w:right="1417" w:bottom="1417" w:left="1417" w:header="709" w:footer="709" w:gutter="0"/>
          <w:cols w:space="708"/>
          <w:docGrid w:linePitch="218"/>
        </w:sectPr>
      </w:pPr>
    </w:p>
    <w:p w14:paraId="03CD053C" w14:textId="77777777" w:rsidR="006C3390" w:rsidRDefault="00D43079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Příloha č. 1 – </w:t>
      </w:r>
      <w:r>
        <w:rPr>
          <w:rFonts w:ascii="Arial" w:hAnsi="Arial" w:cs="Arial"/>
          <w:b/>
          <w:sz w:val="22"/>
          <w:szCs w:val="22"/>
        </w:rPr>
        <w:t>Specifikace ceny</w:t>
      </w:r>
    </w:p>
    <w:p w14:paraId="6B4E8E42" w14:textId="77777777" w:rsidR="006C3390" w:rsidRDefault="006C3390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</w:rPr>
      </w:pPr>
    </w:p>
    <w:tbl>
      <w:tblPr>
        <w:tblW w:w="5556" w:type="pct"/>
        <w:jc w:val="center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3535"/>
        <w:gridCol w:w="2693"/>
        <w:gridCol w:w="1561"/>
        <w:gridCol w:w="2267"/>
      </w:tblGrid>
      <w:tr w:rsidR="006C3390" w14:paraId="74CC6951" w14:textId="77777777">
        <w:trPr>
          <w:trHeight w:val="278"/>
          <w:jc w:val="center"/>
        </w:trPr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47469" w14:textId="77777777" w:rsidR="006C3390" w:rsidRDefault="00D43079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en-US"/>
              </w:rPr>
              <w:t>Položka</w:t>
            </w:r>
          </w:p>
        </w:tc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B27F" w14:textId="77777777" w:rsidR="006C3390" w:rsidRDefault="00D43079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Cena za položku</w:t>
            </w: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br/>
              <w:t>v Kč bez DPH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5726" w14:textId="77777777" w:rsidR="006C3390" w:rsidRDefault="00D43079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Počet položek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A42AB" w14:textId="77777777" w:rsidR="006C3390" w:rsidRDefault="00D43079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Cena celkem</w:t>
            </w: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br/>
              <w:t>v Kč bez DPH</w:t>
            </w:r>
          </w:p>
        </w:tc>
      </w:tr>
      <w:tr w:rsidR="006C3390" w14:paraId="334DA556" w14:textId="77777777">
        <w:trPr>
          <w:trHeight w:val="764"/>
          <w:jc w:val="center"/>
        </w:trPr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F14867" w14:textId="77777777" w:rsidR="006C3390" w:rsidRDefault="00D43079">
            <w:pPr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FlexFabric-20/40 F8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(691367R-B21) včetně 2 x LAN 10 Gb (455883R-B21) a 2 x SAN 8 Gb (AJ716BR) modulů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7A8D" w14:textId="77777777" w:rsidR="006C3390" w:rsidRDefault="00D43079">
            <w:pPr>
              <w:spacing w:line="276" w:lineRule="auto"/>
              <w:jc w:val="center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2 918,00 Kč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329D" w14:textId="77777777" w:rsidR="006C3390" w:rsidRDefault="006C33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F7E24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DB08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11 672,00 Kč</w:t>
            </w:r>
          </w:p>
        </w:tc>
      </w:tr>
      <w:tr w:rsidR="006C3390" w14:paraId="6888DCED" w14:textId="77777777">
        <w:trPr>
          <w:trHeight w:val="764"/>
          <w:jc w:val="center"/>
        </w:trPr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CCAF81" w14:textId="77777777" w:rsidR="006C3390" w:rsidRDefault="00D43079">
            <w:pPr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HPE BL8x0c 32GB (2x16GB) DualRank PC3L-12800 (DDR3-1600) Registered CAS-11 (AM388AR)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CAD7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20 830,00 Kč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9848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FDDD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208 300,00 Kč</w:t>
            </w:r>
          </w:p>
        </w:tc>
      </w:tr>
      <w:tr w:rsidR="006C3390" w14:paraId="256915DF" w14:textId="77777777">
        <w:trPr>
          <w:trHeight w:val="278"/>
          <w:jc w:val="center"/>
        </w:trPr>
        <w:tc>
          <w:tcPr>
            <w:tcW w:w="3873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90618A" w14:textId="77777777" w:rsidR="006C3390" w:rsidRDefault="00D4307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Cena celkem v Kč </w:t>
            </w:r>
            <w:r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>bez DPH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FAC51F" w14:textId="77777777" w:rsidR="006C3390" w:rsidRDefault="00D4307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219 972,00 Kč</w:t>
            </w:r>
          </w:p>
        </w:tc>
      </w:tr>
    </w:tbl>
    <w:p w14:paraId="4B78DD29" w14:textId="77777777" w:rsidR="006C3390" w:rsidRDefault="006C3390">
      <w:pPr>
        <w:pStyle w:val="Textkomente"/>
        <w:widowControl w:val="0"/>
        <w:spacing w:line="276" w:lineRule="auto"/>
        <w:ind w:left="708" w:hanging="708"/>
        <w:jc w:val="both"/>
        <w:rPr>
          <w:rFonts w:ascii="Arial" w:hAnsi="Arial" w:cs="Arial"/>
          <w:b/>
          <w:sz w:val="24"/>
          <w:szCs w:val="24"/>
        </w:rPr>
      </w:pPr>
    </w:p>
    <w:sectPr w:rsidR="006C3390">
      <w:pgSz w:w="11900" w:h="16840"/>
      <w:pgMar w:top="1417" w:right="1417" w:bottom="1417" w:left="1417" w:header="709" w:footer="709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AA73" w14:textId="77777777" w:rsidR="006C3390" w:rsidRDefault="00D43079">
      <w:r>
        <w:separator/>
      </w:r>
    </w:p>
  </w:endnote>
  <w:endnote w:type="continuationSeparator" w:id="0">
    <w:p w14:paraId="5D466954" w14:textId="77777777" w:rsidR="006C3390" w:rsidRDefault="00D43079">
      <w:r>
        <w:continuationSeparator/>
      </w:r>
    </w:p>
  </w:endnote>
  <w:endnote w:type="continuationNotice" w:id="1">
    <w:p w14:paraId="4C96E9C2" w14:textId="77777777" w:rsidR="006C3390" w:rsidRDefault="006C3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3CDE" w14:textId="77777777" w:rsidR="006C3390" w:rsidRDefault="00D43079">
      <w:r>
        <w:separator/>
      </w:r>
    </w:p>
  </w:footnote>
  <w:footnote w:type="continuationSeparator" w:id="0">
    <w:p w14:paraId="6F35B169" w14:textId="77777777" w:rsidR="006C3390" w:rsidRDefault="00D43079">
      <w:r>
        <w:continuationSeparator/>
      </w:r>
    </w:p>
  </w:footnote>
  <w:footnote w:type="continuationNotice" w:id="1">
    <w:p w14:paraId="3930F092" w14:textId="77777777" w:rsidR="006C3390" w:rsidRDefault="006C33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4EA"/>
    <w:multiLevelType w:val="hybridMultilevel"/>
    <w:tmpl w:val="9482C738"/>
    <w:lvl w:ilvl="0" w:tplc="67DE0F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6F7"/>
    <w:multiLevelType w:val="multilevel"/>
    <w:tmpl w:val="4A3E98A4"/>
    <w:styleLink w:val="List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abstractNum w:abstractNumId="2" w15:restartNumberingAfterBreak="0">
    <w:nsid w:val="07B013CC"/>
    <w:multiLevelType w:val="multilevel"/>
    <w:tmpl w:val="B554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7445"/>
    <w:multiLevelType w:val="hybridMultilevel"/>
    <w:tmpl w:val="A746BD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C06C6"/>
    <w:multiLevelType w:val="hybridMultilevel"/>
    <w:tmpl w:val="303E49AE"/>
    <w:lvl w:ilvl="0" w:tplc="10562D02">
      <w:start w:val="1"/>
      <w:numFmt w:val="decimal"/>
      <w:pStyle w:val="Formtovn"/>
      <w:lvlText w:val="%1."/>
      <w:lvlJc w:val="left"/>
      <w:pPr>
        <w:ind w:left="2345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DE7145"/>
    <w:multiLevelType w:val="multilevel"/>
    <w:tmpl w:val="21B0B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6E271A"/>
    <w:multiLevelType w:val="hybridMultilevel"/>
    <w:tmpl w:val="FD901B60"/>
    <w:lvl w:ilvl="0" w:tplc="B650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7680D"/>
    <w:multiLevelType w:val="multilevel"/>
    <w:tmpl w:val="B5B2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F44B71"/>
    <w:multiLevelType w:val="multilevel"/>
    <w:tmpl w:val="DB5839CA"/>
    <w:styleLink w:val="Seznam31"/>
    <w:lvl w:ilvl="0">
      <w:numFmt w:val="bullet"/>
      <w:lvlText w:val="-"/>
      <w:lvlJc w:val="left"/>
      <w:pPr>
        <w:tabs>
          <w:tab w:val="num" w:pos="720"/>
        </w:tabs>
        <w:ind w:left="720" w:hanging="153"/>
      </w:pPr>
      <w:rPr>
        <w:color w:val="000000"/>
        <w:position w:val="0"/>
        <w:sz w:val="16"/>
        <w:szCs w:val="16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9" w15:restartNumberingAfterBreak="0">
    <w:nsid w:val="1EA0192D"/>
    <w:multiLevelType w:val="multilevel"/>
    <w:tmpl w:val="0E2C2F80"/>
    <w:styleLink w:val="List1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</w:abstractNum>
  <w:abstractNum w:abstractNumId="10" w15:restartNumberingAfterBreak="0">
    <w:nsid w:val="21416904"/>
    <w:multiLevelType w:val="multilevel"/>
    <w:tmpl w:val="95F6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0563EA"/>
    <w:multiLevelType w:val="multilevel"/>
    <w:tmpl w:val="A2B0C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36381"/>
    <w:multiLevelType w:val="multilevel"/>
    <w:tmpl w:val="2FE48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8E55C1"/>
    <w:multiLevelType w:val="multilevel"/>
    <w:tmpl w:val="AFB2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9C027F"/>
    <w:multiLevelType w:val="multilevel"/>
    <w:tmpl w:val="572EE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CC234C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7" w15:restartNumberingAfterBreak="0">
    <w:nsid w:val="369660FA"/>
    <w:multiLevelType w:val="multilevel"/>
    <w:tmpl w:val="58E4BCBA"/>
    <w:styleLink w:val="List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8" w15:restartNumberingAfterBreak="0">
    <w:nsid w:val="3AB278CF"/>
    <w:multiLevelType w:val="multilevel"/>
    <w:tmpl w:val="BD1E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FE67F9"/>
    <w:multiLevelType w:val="multilevel"/>
    <w:tmpl w:val="5D5ABFA0"/>
    <w:styleLink w:val="List15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0" w15:restartNumberingAfterBreak="0">
    <w:nsid w:val="3CB22A01"/>
    <w:multiLevelType w:val="multilevel"/>
    <w:tmpl w:val="A914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345C13"/>
    <w:multiLevelType w:val="multilevel"/>
    <w:tmpl w:val="64F45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C00273"/>
    <w:multiLevelType w:val="multilevel"/>
    <w:tmpl w:val="2E6EB2B4"/>
    <w:styleLink w:val="List16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3" w15:restartNumberingAfterBreak="0">
    <w:nsid w:val="43E86029"/>
    <w:multiLevelType w:val="multilevel"/>
    <w:tmpl w:val="352E72E4"/>
    <w:styleLink w:val="Seznam2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4" w15:restartNumberingAfterBreak="0">
    <w:nsid w:val="45286118"/>
    <w:multiLevelType w:val="multilevel"/>
    <w:tmpl w:val="D25E1464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SSOdstavec"/>
      <w:lvlText w:val="%2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F230F9"/>
    <w:multiLevelType w:val="hybridMultilevel"/>
    <w:tmpl w:val="DF0E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2D0B"/>
    <w:multiLevelType w:val="multilevel"/>
    <w:tmpl w:val="B9569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1723BD"/>
    <w:multiLevelType w:val="multilevel"/>
    <w:tmpl w:val="75DAB92A"/>
    <w:styleLink w:val="Sezna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8" w15:restartNumberingAfterBreak="0">
    <w:nsid w:val="4B013CEF"/>
    <w:multiLevelType w:val="hybridMultilevel"/>
    <w:tmpl w:val="4A7CF5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0E0B8A"/>
    <w:multiLevelType w:val="multilevel"/>
    <w:tmpl w:val="48D2F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0DC4679"/>
    <w:multiLevelType w:val="multilevel"/>
    <w:tmpl w:val="7E3AE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2067C5E"/>
    <w:multiLevelType w:val="multilevel"/>
    <w:tmpl w:val="DC1E13A6"/>
    <w:styleLink w:val="List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524E47EB"/>
    <w:multiLevelType w:val="multilevel"/>
    <w:tmpl w:val="2FEAA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7865B3"/>
    <w:multiLevelType w:val="multilevel"/>
    <w:tmpl w:val="9EAE28F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34" w15:restartNumberingAfterBreak="0">
    <w:nsid w:val="54353B36"/>
    <w:multiLevelType w:val="multilevel"/>
    <w:tmpl w:val="703A0238"/>
    <w:styleLink w:val="List1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818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5" w15:restartNumberingAfterBreak="0">
    <w:nsid w:val="544D4C79"/>
    <w:multiLevelType w:val="hybridMultilevel"/>
    <w:tmpl w:val="C5303C1A"/>
    <w:lvl w:ilvl="0" w:tplc="88941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33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5560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1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27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E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A8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3626C5"/>
    <w:multiLevelType w:val="multilevel"/>
    <w:tmpl w:val="356E49A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7" w15:restartNumberingAfterBreak="0">
    <w:nsid w:val="5D5E2E1B"/>
    <w:multiLevelType w:val="hybridMultilevel"/>
    <w:tmpl w:val="B30C627E"/>
    <w:lvl w:ilvl="0" w:tplc="FF40FAC8">
      <w:start w:val="1"/>
      <w:numFmt w:val="decimal"/>
      <w:lvlText w:val="%1."/>
      <w:lvlJc w:val="left"/>
      <w:pPr>
        <w:ind w:left="454" w:hanging="94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06CB3"/>
    <w:multiLevelType w:val="multilevel"/>
    <w:tmpl w:val="ABDE0E7E"/>
    <w:styleLink w:val="List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6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9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0" w15:restartNumberingAfterBreak="0">
    <w:nsid w:val="6FA37E44"/>
    <w:multiLevelType w:val="multilevel"/>
    <w:tmpl w:val="8E2E0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2" w15:restartNumberingAfterBreak="0">
    <w:nsid w:val="7B7C22B1"/>
    <w:multiLevelType w:val="multilevel"/>
    <w:tmpl w:val="416A1074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num w:numId="1">
    <w:abstractNumId w:val="33"/>
  </w:num>
  <w:num w:numId="2">
    <w:abstractNumId w:val="9"/>
  </w:num>
  <w:num w:numId="3">
    <w:abstractNumId w:val="8"/>
  </w:num>
  <w:num w:numId="4">
    <w:abstractNumId w:val="27"/>
  </w:num>
  <w:num w:numId="5">
    <w:abstractNumId w:val="36"/>
  </w:num>
  <w:num w:numId="6">
    <w:abstractNumId w:val="38"/>
  </w:num>
  <w:num w:numId="7">
    <w:abstractNumId w:val="16"/>
  </w:num>
  <w:num w:numId="8">
    <w:abstractNumId w:val="41"/>
  </w:num>
  <w:num w:numId="9">
    <w:abstractNumId w:val="31"/>
  </w:num>
  <w:num w:numId="10">
    <w:abstractNumId w:val="34"/>
  </w:num>
  <w:num w:numId="11">
    <w:abstractNumId w:val="42"/>
  </w:num>
  <w:num w:numId="12">
    <w:abstractNumId w:val="17"/>
  </w:num>
  <w:num w:numId="13">
    <w:abstractNumId w:val="22"/>
  </w:num>
  <w:num w:numId="14">
    <w:abstractNumId w:val="35"/>
  </w:num>
  <w:num w:numId="15">
    <w:abstractNumId w:val="19"/>
  </w:num>
  <w:num w:numId="16">
    <w:abstractNumId w:val="6"/>
  </w:num>
  <w:num w:numId="17">
    <w:abstractNumId w:val="24"/>
  </w:num>
  <w:num w:numId="18">
    <w:abstractNumId w:val="23"/>
  </w:num>
  <w:num w:numId="19">
    <w:abstractNumId w:val="25"/>
  </w:num>
  <w:num w:numId="20">
    <w:abstractNumId w:val="39"/>
  </w:num>
  <w:num w:numId="21">
    <w:abstractNumId w:val="37"/>
  </w:num>
  <w:num w:numId="22">
    <w:abstractNumId w:val="1"/>
  </w:num>
  <w:num w:numId="23">
    <w:abstractNumId w:val="28"/>
  </w:num>
  <w:num w:numId="24">
    <w:abstractNumId w:val="4"/>
  </w:num>
  <w:num w:numId="25">
    <w:abstractNumId w:val="0"/>
  </w:num>
  <w:num w:numId="26">
    <w:abstractNumId w:val="15"/>
  </w:num>
  <w:num w:numId="27">
    <w:abstractNumId w:val="30"/>
  </w:num>
  <w:num w:numId="28">
    <w:abstractNumId w:val="40"/>
  </w:num>
  <w:num w:numId="29">
    <w:abstractNumId w:val="12"/>
  </w:num>
  <w:num w:numId="30">
    <w:abstractNumId w:val="10"/>
  </w:num>
  <w:num w:numId="31">
    <w:abstractNumId w:val="18"/>
  </w:num>
  <w:num w:numId="32">
    <w:abstractNumId w:val="14"/>
  </w:num>
  <w:num w:numId="33">
    <w:abstractNumId w:val="29"/>
  </w:num>
  <w:num w:numId="34">
    <w:abstractNumId w:val="20"/>
  </w:num>
  <w:num w:numId="35">
    <w:abstractNumId w:val="11"/>
  </w:num>
  <w:num w:numId="36">
    <w:abstractNumId w:val="7"/>
  </w:num>
  <w:num w:numId="37">
    <w:abstractNumId w:val="32"/>
  </w:num>
  <w:num w:numId="38">
    <w:abstractNumId w:val="21"/>
  </w:num>
  <w:num w:numId="39">
    <w:abstractNumId w:val="13"/>
  </w:num>
  <w:num w:numId="40">
    <w:abstractNumId w:val="5"/>
  </w:num>
  <w:num w:numId="41">
    <w:abstractNumId w:val="26"/>
  </w:num>
  <w:num w:numId="42">
    <w:abstractNumId w:val="2"/>
  </w:num>
  <w:num w:numId="43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90"/>
    <w:rsid w:val="006C3390"/>
    <w:rsid w:val="00D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7DF8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next w:val="Normln"/>
    <w:link w:val="Nadpis1Char"/>
    <w:pPr>
      <w:keepNext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2">
    <w:name w:val="Style2"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1"/>
      </w:numPr>
    </w:pPr>
  </w:style>
  <w:style w:type="numbering" w:customStyle="1" w:styleId="Importovanstyl1">
    <w:name w:val="Importovaný styl 1"/>
  </w:style>
  <w:style w:type="paragraph" w:customStyle="1" w:styleId="Styl1">
    <w:name w:val="Styl1"/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18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3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20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4"/>
      </w:numPr>
    </w:pPr>
  </w:style>
  <w:style w:type="numbering" w:customStyle="1" w:styleId="Importovanstyl6">
    <w:name w:val="Importovaný styl 6"/>
  </w:style>
  <w:style w:type="numbering" w:customStyle="1" w:styleId="List6">
    <w:name w:val="List 6"/>
    <w:basedOn w:val="Importovanstyl6"/>
    <w:pPr>
      <w:numPr>
        <w:numId w:val="5"/>
      </w:numPr>
    </w:pPr>
  </w:style>
  <w:style w:type="numbering" w:customStyle="1" w:styleId="List7">
    <w:name w:val="List 7"/>
    <w:basedOn w:val="Importovanstyl6"/>
    <w:pPr>
      <w:numPr>
        <w:numId w:val="6"/>
      </w:numPr>
    </w:pPr>
  </w:style>
  <w:style w:type="numbering" w:customStyle="1" w:styleId="List8">
    <w:name w:val="List 8"/>
    <w:basedOn w:val="Importovanstyl7"/>
    <w:pPr>
      <w:numPr>
        <w:numId w:val="7"/>
      </w:numPr>
    </w:pPr>
  </w:style>
  <w:style w:type="numbering" w:customStyle="1" w:styleId="Importovanstyl7">
    <w:name w:val="Importovaný styl 7"/>
  </w:style>
  <w:style w:type="numbering" w:customStyle="1" w:styleId="List9">
    <w:name w:val="List 9"/>
    <w:basedOn w:val="Importovanstyl7"/>
    <w:pPr>
      <w:numPr>
        <w:numId w:val="8"/>
      </w:numPr>
    </w:pPr>
  </w:style>
  <w:style w:type="numbering" w:customStyle="1" w:styleId="List10">
    <w:name w:val="List 10"/>
    <w:basedOn w:val="Importovanstyl8"/>
    <w:pPr>
      <w:numPr>
        <w:numId w:val="9"/>
      </w:numPr>
    </w:pPr>
  </w:style>
  <w:style w:type="numbering" w:customStyle="1" w:styleId="Importovanstyl8">
    <w:name w:val="Importovaný styl 8"/>
  </w:style>
  <w:style w:type="numbering" w:customStyle="1" w:styleId="List11">
    <w:name w:val="List 11"/>
    <w:basedOn w:val="Importovanstyl9"/>
    <w:pPr>
      <w:numPr>
        <w:numId w:val="22"/>
      </w:numPr>
    </w:pPr>
  </w:style>
  <w:style w:type="numbering" w:customStyle="1" w:styleId="Importovanstyl9">
    <w:name w:val="Importovaný styl 9"/>
  </w:style>
  <w:style w:type="paragraph" w:styleId="Zkladntext">
    <w:name w:val="Body Text"/>
    <w:pPr>
      <w:spacing w:after="120"/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numbering" w:customStyle="1" w:styleId="List12">
    <w:name w:val="List 12"/>
    <w:basedOn w:val="Importovanstyl5"/>
    <w:pPr>
      <w:numPr>
        <w:numId w:val="10"/>
      </w:numPr>
    </w:pPr>
  </w:style>
  <w:style w:type="numbering" w:customStyle="1" w:styleId="List13">
    <w:name w:val="List 13"/>
    <w:basedOn w:val="Importovanstyl9"/>
    <w:pPr>
      <w:numPr>
        <w:numId w:val="11"/>
      </w:numPr>
    </w:pPr>
  </w:style>
  <w:style w:type="numbering" w:customStyle="1" w:styleId="List14">
    <w:name w:val="List 14"/>
    <w:basedOn w:val="Importovanstyl10"/>
    <w:pPr>
      <w:numPr>
        <w:numId w:val="12"/>
      </w:numPr>
    </w:pPr>
  </w:style>
  <w:style w:type="numbering" w:customStyle="1" w:styleId="Importovanstyl10">
    <w:name w:val="Importovaný styl 10"/>
  </w:style>
  <w:style w:type="paragraph" w:customStyle="1" w:styleId="SBSSmlouva">
    <w:name w:val="SBS Smlouva"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15">
    <w:name w:val="List 15"/>
    <w:basedOn w:val="Importovanstyl12"/>
    <w:pPr>
      <w:numPr>
        <w:numId w:val="15"/>
      </w:numPr>
    </w:pPr>
  </w:style>
  <w:style w:type="numbering" w:customStyle="1" w:styleId="Importovanstyl12">
    <w:name w:val="Importovaný styl 12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648BCB"/>
      <w:sz w:val="20"/>
      <w:szCs w:val="20"/>
      <w:u w:val="single" w:color="648BCB"/>
    </w:rPr>
  </w:style>
  <w:style w:type="numbering" w:customStyle="1" w:styleId="List16">
    <w:name w:val="List 16"/>
    <w:basedOn w:val="Importovanstyl12"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ourier New" w:eastAsia="Courier New" w:hAnsi="Courier New" w:cs="Courier New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ourier New" w:eastAsia="Courier New" w:hAnsi="Courier New" w:cs="Courier New"/>
      <w:b/>
      <w:bCs/>
      <w:color w:val="000000"/>
      <w:u w:color="000000"/>
    </w:rPr>
  </w:style>
  <w:style w:type="paragraph" w:styleId="Bezmezer">
    <w:name w:val="No Spacing"/>
    <w:uiPriority w:val="1"/>
    <w:qFormat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Revize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VZP2-odstavec">
    <w:name w:val="VZP 2 - odstavec"/>
    <w:basedOn w:val="Zkladntext"/>
    <w:link w:val="VZP2-odstavecChar"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360"/>
      <w:jc w:val="both"/>
    </w:pPr>
    <w:rPr>
      <w:rFonts w:ascii="Times New Roman" w:eastAsia="MS Mincho" w:hAnsi="Times New Roman" w:cs="Times New Roman"/>
      <w:color w:val="auto"/>
      <w:sz w:val="24"/>
      <w:szCs w:val="24"/>
      <w:bdr w:val="none" w:sz="0" w:space="0" w:color="auto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Pr>
      <w:rFonts w:eastAsia="MS Mincho"/>
      <w:sz w:val="24"/>
      <w:szCs w:val="24"/>
      <w:bdr w:val="none" w:sz="0" w:space="0" w:color="auto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SSlnek">
    <w:name w:val="SS_Článek"/>
    <w:basedOn w:val="Normln"/>
    <w:next w:val="Normln"/>
    <w:qFormat/>
    <w:pPr>
      <w:keepNext/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jc w:val="center"/>
    </w:pPr>
    <w:rPr>
      <w:rFonts w:ascii="Verdana" w:eastAsia="Calibri" w:hAnsi="Verdana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SOdstavec">
    <w:name w:val="SS_Odstavec"/>
    <w:basedOn w:val="Normln"/>
    <w:qFormat/>
    <w:pPr>
      <w:numPr>
        <w:ilvl w:val="1"/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SSBod">
    <w:name w:val="SS_Bod"/>
    <w:basedOn w:val="Normln"/>
    <w:qFormat/>
    <w:pPr>
      <w:keepLines/>
      <w:numPr>
        <w:ilvl w:val="2"/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paragraph" w:customStyle="1" w:styleId="SSPsmeno">
    <w:name w:val="SS_Písmeno"/>
    <w:basedOn w:val="Normln"/>
    <w:qFormat/>
    <w:pPr>
      <w:numPr>
        <w:ilvl w:val="3"/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</w:tabs>
      <w:spacing w:before="6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character" w:customStyle="1" w:styleId="Nadpis1Char">
    <w:name w:val="Nadpis 1 Char"/>
    <w:basedOn w:val="Standardnpsmoodstavce"/>
    <w:link w:val="Nadpis1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character" w:styleId="Zdraznn">
    <w:name w:val="Emphasis"/>
    <w:basedOn w:val="Standardnpsmoodstavce"/>
    <w:uiPriority w:val="20"/>
    <w:qFormat/>
    <w:rPr>
      <w:b/>
      <w:bCs/>
      <w:i w:val="0"/>
      <w:iCs w:val="0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Článek"/>
    <w:basedOn w:val="Normln"/>
    <w:next w:val="Normln"/>
    <w:link w:val="NzevChar"/>
    <w:autoRedefine/>
    <w:uiPriority w:val="1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contextualSpacing/>
      <w:jc w:val="center"/>
    </w:pPr>
    <w:rPr>
      <w:rFonts w:ascii="Arial" w:eastAsia="Times New Roman" w:hAnsi="Arial" w:cs="Arial"/>
      <w:b/>
      <w:color w:val="auto"/>
      <w:spacing w:val="5"/>
      <w:kern w:val="28"/>
      <w:sz w:val="20"/>
      <w:szCs w:val="20"/>
      <w:bdr w:val="none" w:sz="0" w:space="0" w:color="auto"/>
    </w:rPr>
  </w:style>
  <w:style w:type="character" w:customStyle="1" w:styleId="NzevChar">
    <w:name w:val="Název Char"/>
    <w:aliases w:val="Článek Char"/>
    <w:basedOn w:val="Standardnpsmoodstavce"/>
    <w:link w:val="Nzev"/>
    <w:uiPriority w:val="10"/>
    <w:rPr>
      <w:rFonts w:ascii="Arial" w:eastAsia="Times New Roman" w:hAnsi="Arial" w:cs="Arial"/>
      <w:b/>
      <w:spacing w:val="5"/>
      <w:kern w:val="28"/>
      <w:u w:color="000000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Formtovn">
    <w:name w:val="Formátování"/>
    <w:basedOn w:val="Normln"/>
    <w:link w:val="FormtovnChar"/>
    <w:pPr>
      <w:widowControl w:val="0"/>
      <w:numPr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357" w:hanging="357"/>
      <w:jc w:val="both"/>
    </w:pPr>
    <w:rPr>
      <w:rFonts w:ascii="Arial" w:hAnsi="Arial" w:cs="Arial"/>
      <w:sz w:val="20"/>
      <w:szCs w:val="20"/>
    </w:rPr>
  </w:style>
  <w:style w:type="paragraph" w:customStyle="1" w:styleId="Formtovno">
    <w:name w:val="Formátováno"/>
    <w:basedOn w:val="Formtovn"/>
    <w:link w:val="FormtovnoChar"/>
    <w:qFormat/>
  </w:style>
  <w:style w:type="character" w:customStyle="1" w:styleId="FormtovnChar">
    <w:name w:val="Formátování Char"/>
    <w:basedOn w:val="Standardnpsmoodstavce"/>
    <w:link w:val="Formtovn"/>
    <w:rPr>
      <w:rFonts w:ascii="Arial" w:eastAsia="Courier New" w:hAnsi="Arial" w:cs="Arial"/>
      <w:color w:val="000000"/>
      <w:u w:color="000000"/>
    </w:rPr>
  </w:style>
  <w:style w:type="character" w:customStyle="1" w:styleId="FormtovnoChar">
    <w:name w:val="Formátováno Char"/>
    <w:basedOn w:val="FormtovnChar"/>
    <w:link w:val="Formtovno"/>
    <w:rPr>
      <w:rFonts w:ascii="Arial" w:eastAsia="Courier New" w:hAnsi="Arial" w:cs="Arial"/>
      <w:color w:val="000000"/>
      <w:u w:color="000000"/>
    </w:rPr>
  </w:style>
  <w:style w:type="numbering" w:customStyle="1" w:styleId="Bezseznamu1">
    <w:name w:val="Bez seznamu1"/>
    <w:next w:val="Bezseznamu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vz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Chromčák Michael Ing. Bc. (VZP ČR Ústředí)</DisplayName>
        <AccountId>11916</AccountId>
        <AccountType/>
      </UserInfo>
      <UserInfo>
        <DisplayName>Bogač Jaroslav Mgr. MBA (VZP ČR Ústředí)</DisplayName>
        <AccountId>778</AccountId>
        <AccountType/>
      </UserInfo>
      <UserInfo>
        <DisplayName>Legát Ctibor (VZP ČR Ústředí)</DisplayName>
        <AccountId>1220</AccountId>
        <AccountType/>
      </UserInfo>
      <UserInfo>
        <DisplayName>Dolejšová Karolína Ing. (VZP ČR Regionální pobočka Ústí nad Labem)</DisplayName>
        <AccountId>12062</AccountId>
        <AccountType/>
      </UserInfo>
    </SharedWithUsers>
    <VZP_WorkflowHistoryBoolean xmlns="5386a7db-36dc-47e8-aacb-0d5051febeea">true</VZP_WorkflowHistoryBoolean>
  </documentManagement>
</p:properties>
</file>

<file path=customXml/itemProps1.xml><?xml version="1.0" encoding="utf-8"?>
<ds:datastoreItem xmlns:ds="http://schemas.openxmlformats.org/officeDocument/2006/customXml" ds:itemID="{2AE3F880-DB3B-4585-835E-4A79D55C9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DC148-FC3D-4EA6-99EC-9AB4F8F61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83B0D-B3B1-40E5-907B-9D38258D5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8E1CC-15EE-40B6-B030-3CDD771CA4E3}">
  <ds:schemaRefs>
    <ds:schemaRef ds:uri="http://schemas.microsoft.com/office/2006/metadata/properties"/>
    <ds:schemaRef ds:uri="http://schemas.microsoft.com/office/infopath/2007/PartnerControls"/>
    <ds:schemaRef ds:uri="189c7478-f36e-4d06-b026-5479ab3e2b44"/>
    <ds:schemaRef ds:uri="5386a7db-36dc-47e8-aacb-0d5051feb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4547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2025-12-22T10:10:00Z</dcterms:created>
  <dcterms:modified xsi:type="dcterms:W3CDTF">2025-12-22T10:10:00Z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