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5920"/>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0C28565F" w:rsidR="004175CC" w:rsidRPr="00101730" w:rsidRDefault="003237E5" w:rsidP="004175CC">
            <w:pPr>
              <w:spacing w:after="0" w:line="240" w:lineRule="atLeast"/>
              <w:jc w:val="both"/>
              <w:rPr>
                <w:rFonts w:cs="Arial"/>
                <w:color w:val="000000"/>
                <w:sz w:val="22"/>
                <w:szCs w:val="22"/>
              </w:rPr>
            </w:pPr>
            <w:r>
              <w:rPr>
                <w:rFonts w:cs="Arial"/>
                <w:color w:val="000000"/>
                <w:sz w:val="22"/>
                <w:szCs w:val="22"/>
              </w:rPr>
              <w:t>xxxxxxxxxxxxx</w:t>
            </w:r>
            <w:r w:rsidR="004175CC" w:rsidRPr="00101730">
              <w:rPr>
                <w:rFonts w:cs="Arial"/>
                <w:color w:val="000000"/>
                <w:sz w:val="22"/>
                <w:szCs w:val="22"/>
              </w:rPr>
              <w:t>,</w:t>
            </w:r>
          </w:p>
          <w:p w14:paraId="197F83C6" w14:textId="5E3849AC"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3237E5">
              <w:rPr>
                <w:rFonts w:cs="Arial"/>
                <w:color w:val="000000"/>
                <w:sz w:val="22"/>
                <w:szCs w:val="22"/>
              </w:rPr>
              <w:t>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767AF7AB" w:rsidR="0044185C" w:rsidRPr="00101730" w:rsidRDefault="00656EC9" w:rsidP="0044185C">
      <w:pPr>
        <w:spacing w:line="240" w:lineRule="atLeast"/>
        <w:jc w:val="both"/>
        <w:rPr>
          <w:rFonts w:cs="Arial"/>
          <w:b/>
          <w:bCs/>
          <w:color w:val="0066CC"/>
          <w:sz w:val="22"/>
          <w:szCs w:val="22"/>
          <w:highlight w:val="yellow"/>
        </w:rPr>
      </w:pPr>
      <w:r w:rsidRPr="00656EC9">
        <w:rPr>
          <w:rFonts w:cs="Arial"/>
          <w:b/>
          <w:bCs/>
          <w:sz w:val="22"/>
          <w:szCs w:val="22"/>
        </w:rPr>
        <w:t>Ing. Albert Kymla</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5893"/>
      </w:tblGrid>
      <w:tr w:rsidR="004175CC" w:rsidRPr="00101730" w14:paraId="5CA2ACDC" w14:textId="77777777" w:rsidTr="00656EC9">
        <w:tc>
          <w:tcPr>
            <w:tcW w:w="3467" w:type="dxa"/>
          </w:tcPr>
          <w:p w14:paraId="556494EC" w14:textId="4B5758E0"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5893" w:type="dxa"/>
          </w:tcPr>
          <w:p w14:paraId="0EB1F8CE" w14:textId="078238A8" w:rsidR="0085027B" w:rsidRPr="0085027B" w:rsidRDefault="00656EC9" w:rsidP="0044185C">
            <w:pPr>
              <w:spacing w:after="0" w:line="240" w:lineRule="atLeast"/>
              <w:jc w:val="both"/>
              <w:rPr>
                <w:rFonts w:cs="Arial"/>
                <w:bCs/>
                <w:sz w:val="22"/>
                <w:szCs w:val="22"/>
              </w:rPr>
            </w:pPr>
            <w:r w:rsidRPr="00656EC9">
              <w:rPr>
                <w:rFonts w:cs="Arial"/>
                <w:bCs/>
                <w:sz w:val="22"/>
                <w:szCs w:val="22"/>
              </w:rPr>
              <w:t xml:space="preserve">Nepelova 950/4, 198 00, Praha 9 </w:t>
            </w:r>
            <w:r w:rsidR="0085027B">
              <w:rPr>
                <w:rFonts w:cs="Arial"/>
                <w:bCs/>
                <w:sz w:val="22"/>
                <w:szCs w:val="22"/>
              </w:rPr>
              <w:t>–</w:t>
            </w:r>
            <w:r w:rsidRPr="00656EC9">
              <w:rPr>
                <w:rFonts w:cs="Arial"/>
                <w:bCs/>
                <w:sz w:val="22"/>
                <w:szCs w:val="22"/>
              </w:rPr>
              <w:t xml:space="preserve"> Hloubětín</w:t>
            </w:r>
          </w:p>
        </w:tc>
      </w:tr>
      <w:tr w:rsidR="0085027B" w:rsidRPr="00101730" w14:paraId="1EA1D782" w14:textId="77777777" w:rsidTr="00656EC9">
        <w:tc>
          <w:tcPr>
            <w:tcW w:w="3467" w:type="dxa"/>
          </w:tcPr>
          <w:p w14:paraId="003BEAC0" w14:textId="5F4332F8" w:rsidR="0085027B" w:rsidRPr="00101730" w:rsidRDefault="0085027B" w:rsidP="0044185C">
            <w:pPr>
              <w:spacing w:after="0" w:line="240" w:lineRule="atLeast"/>
              <w:jc w:val="both"/>
              <w:rPr>
                <w:rFonts w:cs="Arial"/>
                <w:color w:val="000000"/>
                <w:sz w:val="22"/>
                <w:szCs w:val="22"/>
              </w:rPr>
            </w:pPr>
            <w:r>
              <w:rPr>
                <w:rFonts w:cs="Arial"/>
                <w:color w:val="000000"/>
                <w:sz w:val="22"/>
                <w:szCs w:val="22"/>
              </w:rPr>
              <w:t>jednající:</w:t>
            </w:r>
          </w:p>
        </w:tc>
        <w:tc>
          <w:tcPr>
            <w:tcW w:w="5893" w:type="dxa"/>
          </w:tcPr>
          <w:p w14:paraId="15A96559" w14:textId="3818FC99" w:rsidR="0085027B" w:rsidRPr="00656EC9" w:rsidRDefault="0085027B" w:rsidP="0044185C">
            <w:pPr>
              <w:spacing w:after="0" w:line="240" w:lineRule="atLeast"/>
              <w:jc w:val="both"/>
              <w:rPr>
                <w:rFonts w:cs="Arial"/>
                <w:bCs/>
                <w:sz w:val="22"/>
                <w:szCs w:val="22"/>
              </w:rPr>
            </w:pPr>
            <w:r>
              <w:rPr>
                <w:rFonts w:cs="Arial"/>
                <w:bCs/>
                <w:sz w:val="22"/>
                <w:szCs w:val="22"/>
              </w:rPr>
              <w:t>Ing. Albert Kymla, podnikatel</w:t>
            </w:r>
          </w:p>
        </w:tc>
      </w:tr>
      <w:tr w:rsidR="004175CC" w:rsidRPr="00101730" w14:paraId="52F50317" w14:textId="77777777" w:rsidTr="00656EC9">
        <w:tc>
          <w:tcPr>
            <w:tcW w:w="3467"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5893" w:type="dxa"/>
          </w:tcPr>
          <w:p w14:paraId="450103A1" w14:textId="0EA35659" w:rsidR="004175CC" w:rsidRPr="00101730" w:rsidRDefault="00656EC9" w:rsidP="0044185C">
            <w:pPr>
              <w:spacing w:after="0" w:line="240" w:lineRule="atLeast"/>
              <w:jc w:val="both"/>
              <w:rPr>
                <w:rFonts w:cs="Arial"/>
                <w:color w:val="000000"/>
                <w:sz w:val="22"/>
                <w:szCs w:val="22"/>
                <w:highlight w:val="yellow"/>
              </w:rPr>
            </w:pPr>
            <w:r w:rsidRPr="00656EC9">
              <w:rPr>
                <w:rFonts w:cs="Arial"/>
                <w:bCs/>
                <w:sz w:val="22"/>
                <w:szCs w:val="22"/>
              </w:rPr>
              <w:t>07508204</w:t>
            </w:r>
          </w:p>
        </w:tc>
      </w:tr>
      <w:tr w:rsidR="004175CC" w:rsidRPr="00101730" w14:paraId="3018ABB7" w14:textId="77777777" w:rsidTr="00656EC9">
        <w:tc>
          <w:tcPr>
            <w:tcW w:w="3467"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5893" w:type="dxa"/>
          </w:tcPr>
          <w:p w14:paraId="1F73949A" w14:textId="4AA60962" w:rsidR="004175CC" w:rsidRPr="00101730" w:rsidRDefault="00656EC9" w:rsidP="0044185C">
            <w:pPr>
              <w:spacing w:after="0" w:line="240" w:lineRule="atLeast"/>
              <w:jc w:val="both"/>
              <w:rPr>
                <w:rFonts w:cs="Arial"/>
                <w:color w:val="000000"/>
                <w:sz w:val="22"/>
                <w:szCs w:val="22"/>
                <w:highlight w:val="yellow"/>
              </w:rPr>
            </w:pPr>
            <w:r w:rsidRPr="00656EC9">
              <w:rPr>
                <w:rFonts w:cs="Arial"/>
                <w:bCs/>
                <w:sz w:val="22"/>
                <w:szCs w:val="22"/>
              </w:rPr>
              <w:t>CZ8203030000</w:t>
            </w:r>
          </w:p>
        </w:tc>
      </w:tr>
      <w:tr w:rsidR="004175CC" w:rsidRPr="00101730" w14:paraId="30C12DE9" w14:textId="77777777" w:rsidTr="00656EC9">
        <w:tc>
          <w:tcPr>
            <w:tcW w:w="3467"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5893" w:type="dxa"/>
          </w:tcPr>
          <w:p w14:paraId="0229078D" w14:textId="336AADA7" w:rsidR="004175CC" w:rsidRPr="00101730" w:rsidRDefault="003237E5" w:rsidP="0044185C">
            <w:pPr>
              <w:spacing w:after="0" w:line="240" w:lineRule="atLeast"/>
              <w:jc w:val="both"/>
              <w:rPr>
                <w:rFonts w:cs="Arial"/>
                <w:color w:val="000000"/>
                <w:sz w:val="22"/>
                <w:szCs w:val="22"/>
                <w:highlight w:val="yellow"/>
              </w:rPr>
            </w:pPr>
            <w:r>
              <w:rPr>
                <w:rFonts w:cs="Arial"/>
                <w:color w:val="000000"/>
                <w:sz w:val="22"/>
                <w:szCs w:val="22"/>
              </w:rPr>
              <w:t>xxxxxxxxxxxxx</w:t>
            </w:r>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7B135C19" w14:textId="48D75655"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3237E5">
              <w:rPr>
                <w:rFonts w:cs="Arial"/>
                <w:color w:val="000000"/>
                <w:sz w:val="22"/>
                <w:szCs w:val="22"/>
              </w:rPr>
              <w:t>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Default="00477132" w:rsidP="0044185C">
      <w:pPr>
        <w:jc w:val="both"/>
        <w:rPr>
          <w:rFonts w:cs="Arial"/>
          <w:color w:val="000000"/>
          <w:sz w:val="22"/>
          <w:szCs w:val="22"/>
        </w:rPr>
      </w:pPr>
    </w:p>
    <w:p w14:paraId="7F0F5C78" w14:textId="77777777" w:rsidR="003D56A8" w:rsidRDefault="003D56A8" w:rsidP="0044185C">
      <w:pPr>
        <w:jc w:val="both"/>
        <w:rPr>
          <w:rFonts w:cs="Arial"/>
          <w:color w:val="000000"/>
          <w:sz w:val="22"/>
          <w:szCs w:val="22"/>
        </w:rPr>
      </w:pPr>
    </w:p>
    <w:p w14:paraId="4A2BAB91" w14:textId="77777777" w:rsidR="003D56A8" w:rsidRPr="00101730" w:rsidRDefault="003D56A8"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7381CD39"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0D1E78" w:rsidRPr="000D1E78">
        <w:rPr>
          <w:rFonts w:eastAsia="Times New Roman" w:cs="Arial"/>
          <w:b/>
          <w:color w:val="000000"/>
          <w:sz w:val="22"/>
          <w:szCs w:val="22"/>
          <w:lang w:eastAsia="cs-CZ" w:bidi="ar-SA"/>
        </w:rPr>
        <w:t xml:space="preserve">FSv </w:t>
      </w:r>
      <w:r w:rsidR="001C2A08">
        <w:rPr>
          <w:rFonts w:eastAsia="Times New Roman" w:cs="Arial"/>
          <w:b/>
          <w:color w:val="000000"/>
          <w:sz w:val="22"/>
          <w:szCs w:val="22"/>
          <w:lang w:eastAsia="cs-CZ" w:bidi="ar-SA"/>
        </w:rPr>
        <w:t>–</w:t>
      </w:r>
      <w:r w:rsidR="000D1E78" w:rsidRPr="000D1E78">
        <w:rPr>
          <w:rFonts w:eastAsia="Times New Roman" w:cs="Arial"/>
          <w:b/>
          <w:color w:val="000000"/>
          <w:sz w:val="22"/>
          <w:szCs w:val="22"/>
          <w:lang w:eastAsia="cs-CZ" w:bidi="ar-SA"/>
        </w:rPr>
        <w:t xml:space="preserve"> </w:t>
      </w:r>
      <w:r w:rsidR="001C2A08">
        <w:rPr>
          <w:rFonts w:eastAsia="Times New Roman" w:cs="Arial"/>
          <w:b/>
          <w:color w:val="000000"/>
          <w:sz w:val="22"/>
          <w:szCs w:val="22"/>
          <w:lang w:eastAsia="cs-CZ" w:bidi="ar-SA"/>
        </w:rPr>
        <w:t>Nákup baterií</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439230EB"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1C2A08">
        <w:rPr>
          <w:rFonts w:eastAsia="Times New Roman" w:cs="Arial"/>
          <w:color w:val="000000"/>
          <w:sz w:val="22"/>
          <w:szCs w:val="22"/>
          <w:lang w:eastAsia="cs-CZ" w:bidi="ar-SA"/>
        </w:rPr>
        <w:t xml:space="preserve"> 640k</w:t>
      </w:r>
      <w:r w:rsidR="00C37DD9">
        <w:rPr>
          <w:rFonts w:eastAsia="Times New Roman" w:cs="Arial"/>
          <w:color w:val="000000"/>
          <w:sz w:val="22"/>
          <w:szCs w:val="22"/>
          <w:lang w:eastAsia="cs-CZ" w:bidi="ar-SA"/>
        </w:rPr>
        <w:t>s</w:t>
      </w:r>
      <w:r w:rsidR="001C2A08">
        <w:rPr>
          <w:rFonts w:eastAsia="Times New Roman" w:cs="Arial"/>
          <w:color w:val="000000"/>
          <w:sz w:val="22"/>
          <w:szCs w:val="22"/>
          <w:lang w:eastAsia="cs-CZ" w:bidi="ar-SA"/>
        </w:rPr>
        <w:t xml:space="preserve"> akumulátorů 12V9Ah  pro UPS systémy jakož ekologicky zlikvidovat stávající akumulátory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64C5C30C" w:rsidR="004175CC" w:rsidRPr="001C2A08" w:rsidRDefault="001C2A08" w:rsidP="00D14487">
            <w:pPr>
              <w:spacing w:after="0" w:line="240" w:lineRule="atLeast"/>
              <w:jc w:val="both"/>
              <w:rPr>
                <w:rFonts w:cs="Arial"/>
                <w:color w:val="000000"/>
                <w:sz w:val="22"/>
                <w:szCs w:val="22"/>
              </w:rPr>
            </w:pPr>
            <w:r w:rsidRPr="001C2A08">
              <w:rPr>
                <w:rFonts w:cs="Arial"/>
                <w:bCs/>
                <w:sz w:val="22"/>
                <w:szCs w:val="22"/>
              </w:rPr>
              <w:t>700 000,-</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11ADE9FE" w:rsidR="004175CC" w:rsidRPr="001C2A08" w:rsidRDefault="001C2A08" w:rsidP="00D14487">
            <w:pPr>
              <w:spacing w:after="0" w:line="240" w:lineRule="atLeast"/>
              <w:jc w:val="both"/>
              <w:rPr>
                <w:rFonts w:cs="Arial"/>
                <w:color w:val="000000"/>
                <w:sz w:val="22"/>
                <w:szCs w:val="22"/>
              </w:rPr>
            </w:pPr>
            <w:r w:rsidRPr="001C2A08">
              <w:rPr>
                <w:rFonts w:cs="Arial"/>
                <w:bCs/>
                <w:sz w:val="22"/>
                <w:szCs w:val="22"/>
              </w:rPr>
              <w:t>147 000,-</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41EE754D" w:rsidR="004175CC" w:rsidRPr="001C2A08" w:rsidRDefault="001C2A08" w:rsidP="00D14487">
            <w:pPr>
              <w:spacing w:after="0" w:line="240" w:lineRule="atLeast"/>
              <w:jc w:val="both"/>
              <w:rPr>
                <w:rFonts w:cs="Arial"/>
                <w:color w:val="000000"/>
                <w:sz w:val="22"/>
                <w:szCs w:val="22"/>
              </w:rPr>
            </w:pPr>
            <w:r w:rsidRPr="001C2A08">
              <w:rPr>
                <w:rFonts w:cs="Arial"/>
                <w:bCs/>
                <w:sz w:val="22"/>
                <w:szCs w:val="22"/>
              </w:rPr>
              <w:t>847 000,-</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291768C9"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 xml:space="preserve">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021BB1F4"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w:t>
      </w:r>
      <w:r w:rsidRPr="00101730">
        <w:rPr>
          <w:rFonts w:cs="Arial"/>
          <w:color w:val="000000"/>
          <w:sz w:val="22"/>
          <w:szCs w:val="22"/>
        </w:rPr>
        <w:lastRenderedPageBreak/>
        <w:t>vrátit. Nová lhůta splatnosti po každém vrácení daňového dokladu počíná běžet vždy dnem doručení opraveného daňového dokladu FSv ČVUT.</w:t>
      </w:r>
    </w:p>
    <w:p w14:paraId="169A010D" w14:textId="4E85DF23"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3237E5">
        <w:rPr>
          <w:rFonts w:cs="Arial"/>
          <w:color w:val="000000"/>
          <w:sz w:val="22"/>
          <w:szCs w:val="22"/>
        </w:rPr>
        <w:t>xxxxxxxxxxxxx</w:t>
      </w:r>
      <w:r w:rsidR="001C2A08">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3237E5">
        <w:rPr>
          <w:rFonts w:cs="Arial"/>
          <w:color w:val="000000"/>
          <w:sz w:val="22"/>
          <w:szCs w:val="22"/>
        </w:rPr>
        <w:t>xxxxxxxxxxxxx</w:t>
      </w:r>
      <w:r w:rsidR="001C2A08">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0CF59829"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652444">
        <w:rPr>
          <w:rFonts w:cs="Arial"/>
          <w:bCs/>
          <w:sz w:val="22"/>
          <w:szCs w:val="22"/>
        </w:rPr>
        <w:t>6 týdnů</w:t>
      </w:r>
      <w:r w:rsidR="00140EFD">
        <w:rPr>
          <w:rFonts w:cs="Arial"/>
          <w:bCs/>
          <w:sz w:val="22"/>
          <w:szCs w:val="22"/>
        </w:rPr>
        <w:t xml:space="preserve">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5748EA6D" w14:textId="29867A43" w:rsidR="0044185C" w:rsidRPr="00DD7C7F" w:rsidRDefault="0044185C" w:rsidP="00DD7C7F">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lastRenderedPageBreak/>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00B5C939" w:rsidR="0044185C" w:rsidRPr="00AC395B" w:rsidRDefault="0044185C" w:rsidP="00AC395B">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3237E5">
        <w:rPr>
          <w:rFonts w:cs="Arial"/>
          <w:color w:val="000000"/>
          <w:sz w:val="22"/>
          <w:szCs w:val="22"/>
        </w:rPr>
        <w:t>xxxxxxxxxxxxx</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6A99242F"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5201CAB9" w14:textId="793144E6" w:rsidR="00B50A2D" w:rsidRPr="00B50A2D" w:rsidRDefault="0044185C" w:rsidP="0044185C">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r w:rsidR="00B50A2D">
        <w:rPr>
          <w:rFonts w:cs="Arial"/>
          <w:color w:val="000000"/>
          <w:sz w:val="22"/>
          <w:szCs w:val="22"/>
        </w:rPr>
        <w:t>.</w:t>
      </w:r>
    </w:p>
    <w:p w14:paraId="69ED5B52" w14:textId="77777777" w:rsidR="0044185C" w:rsidRDefault="0044185C" w:rsidP="0044185C">
      <w:pPr>
        <w:jc w:val="both"/>
        <w:rPr>
          <w:rFonts w:cs="Arial"/>
          <w:color w:val="000000"/>
          <w:sz w:val="22"/>
          <w:szCs w:val="22"/>
        </w:rPr>
      </w:pPr>
    </w:p>
    <w:p w14:paraId="3FCAA10F" w14:textId="77777777" w:rsidR="00DD7C7F" w:rsidRDefault="00DD7C7F" w:rsidP="0044185C">
      <w:pPr>
        <w:jc w:val="both"/>
        <w:rPr>
          <w:rFonts w:cs="Arial"/>
          <w:color w:val="000000"/>
          <w:sz w:val="22"/>
          <w:szCs w:val="22"/>
        </w:rPr>
      </w:pPr>
    </w:p>
    <w:p w14:paraId="787686A0" w14:textId="77777777" w:rsidR="00DD7C7F" w:rsidRDefault="00DD7C7F" w:rsidP="0044185C">
      <w:pPr>
        <w:jc w:val="both"/>
        <w:rPr>
          <w:rFonts w:cs="Arial"/>
          <w:color w:val="000000"/>
          <w:sz w:val="22"/>
          <w:szCs w:val="22"/>
        </w:rPr>
      </w:pPr>
    </w:p>
    <w:p w14:paraId="027F48D7" w14:textId="77777777" w:rsidR="00DD7C7F" w:rsidRDefault="00DD7C7F" w:rsidP="0044185C">
      <w:pPr>
        <w:jc w:val="both"/>
        <w:rPr>
          <w:rFonts w:cs="Arial"/>
          <w:color w:val="000000"/>
          <w:sz w:val="22"/>
          <w:szCs w:val="22"/>
        </w:rPr>
      </w:pPr>
    </w:p>
    <w:p w14:paraId="4906E87B" w14:textId="77777777" w:rsidR="00DD7C7F" w:rsidRDefault="00DD7C7F" w:rsidP="0044185C">
      <w:pPr>
        <w:jc w:val="both"/>
        <w:rPr>
          <w:rFonts w:cs="Arial"/>
          <w:color w:val="000000"/>
          <w:sz w:val="22"/>
          <w:szCs w:val="22"/>
        </w:rPr>
      </w:pPr>
    </w:p>
    <w:p w14:paraId="1F72726B" w14:textId="77777777" w:rsidR="00DD7C7F" w:rsidRPr="00101730" w:rsidRDefault="00DD7C7F"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5AE8FC54"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85027B">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622D060D" w:rsidR="0044185C" w:rsidRPr="00101730" w:rsidRDefault="0044185C" w:rsidP="00D11B58">
            <w:pPr>
              <w:jc w:val="both"/>
              <w:rPr>
                <w:rFonts w:cs="Arial"/>
                <w:color w:val="000000"/>
                <w:sz w:val="22"/>
                <w:szCs w:val="22"/>
              </w:rPr>
            </w:pPr>
            <w:r w:rsidRPr="00101730">
              <w:rPr>
                <w:rFonts w:cs="Arial"/>
                <w:sz w:val="22"/>
                <w:szCs w:val="22"/>
              </w:rPr>
              <w:lastRenderedPageBreak/>
              <w:t>V </w:t>
            </w:r>
            <w:r w:rsidR="0085027B">
              <w:rPr>
                <w:rFonts w:cs="Arial"/>
                <w:sz w:val="22"/>
                <w:szCs w:val="22"/>
              </w:rPr>
              <w:t>Praze</w:t>
            </w:r>
            <w:r w:rsidRPr="00101730">
              <w:rPr>
                <w:rFonts w:cs="Arial"/>
                <w:sz w:val="22"/>
                <w:szCs w:val="22"/>
              </w:rPr>
              <w:t xml:space="preserve"> dne</w:t>
            </w:r>
            <w:r w:rsidR="0085027B">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6E53965F" w:rsidR="0044185C" w:rsidRPr="00101730" w:rsidRDefault="0085027B" w:rsidP="00214B7A">
            <w:pPr>
              <w:spacing w:after="0" w:line="240" w:lineRule="atLeast"/>
              <w:jc w:val="center"/>
              <w:rPr>
                <w:rFonts w:cs="Arial"/>
                <w:color w:val="000000"/>
                <w:sz w:val="22"/>
                <w:szCs w:val="22"/>
              </w:rPr>
            </w:pPr>
            <w:r>
              <w:rPr>
                <w:rFonts w:cs="Arial"/>
                <w:color w:val="000000"/>
                <w:sz w:val="22"/>
                <w:szCs w:val="22"/>
              </w:rPr>
              <w:t>Ing. Albert Kymla</w:t>
            </w:r>
          </w:p>
          <w:p w14:paraId="414C801E" w14:textId="416CFA2D" w:rsidR="0044185C" w:rsidRPr="00101730" w:rsidRDefault="0085027B" w:rsidP="00214B7A">
            <w:pPr>
              <w:spacing w:after="0" w:line="240" w:lineRule="atLeast"/>
              <w:jc w:val="center"/>
              <w:rPr>
                <w:rFonts w:cs="Arial"/>
                <w:color w:val="000000"/>
                <w:sz w:val="22"/>
                <w:szCs w:val="22"/>
              </w:rPr>
            </w:pPr>
            <w:r>
              <w:rPr>
                <w:rFonts w:cs="Arial"/>
                <w:color w:val="000000"/>
                <w:sz w:val="22"/>
                <w:szCs w:val="22"/>
              </w:rPr>
              <w:t>podnikatel</w:t>
            </w:r>
          </w:p>
        </w:tc>
      </w:tr>
    </w:tbl>
    <w:p w14:paraId="3BF3EBB8" w14:textId="2DFB372F" w:rsidR="00A274C5" w:rsidRPr="00B50A2D" w:rsidRDefault="00A274C5" w:rsidP="00B50A2D">
      <w:pPr>
        <w:spacing w:line="240" w:lineRule="atLeast"/>
        <w:rPr>
          <w:rFonts w:cs="Arial"/>
        </w:rPr>
      </w:pPr>
    </w:p>
    <w:sectPr w:rsidR="00A274C5" w:rsidRPr="00B50A2D"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4894423" w:rsidR="00D11B58" w:rsidRDefault="00D11B58"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39EBED74" w:rsidR="00477132" w:rsidRPr="001442C5" w:rsidRDefault="00D11B58" w:rsidP="009E518E">
    <w:pPr>
      <w:pStyle w:val="Zhlav"/>
      <w:jc w:val="right"/>
    </w:pPr>
    <w:r>
      <w:t xml:space="preserve">Číslo smlouvy: </w:t>
    </w:r>
    <w:r w:rsidR="009C215D">
      <w:t>1125000871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2"/>
  </w:num>
  <w:num w:numId="23" w16cid:durableId="83036111">
    <w:abstractNumId w:val="43"/>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1"/>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4"/>
  </w:num>
  <w:num w:numId="44" w16cid:durableId="1233925082">
    <w:abstractNumId w:val="38"/>
  </w:num>
  <w:num w:numId="45" w16cid:durableId="1256086777">
    <w:abstractNumId w:val="0"/>
  </w:num>
  <w:num w:numId="46" w16cid:durableId="457333479">
    <w:abstractNumId w:val="4"/>
  </w:num>
  <w:num w:numId="47" w16cid:durableId="59502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0822"/>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2A08"/>
    <w:rsid w:val="001C4E98"/>
    <w:rsid w:val="001D6EFA"/>
    <w:rsid w:val="001E6A87"/>
    <w:rsid w:val="00214B7A"/>
    <w:rsid w:val="002222BF"/>
    <w:rsid w:val="00224018"/>
    <w:rsid w:val="0022682C"/>
    <w:rsid w:val="00247379"/>
    <w:rsid w:val="00287FCC"/>
    <w:rsid w:val="00297CB8"/>
    <w:rsid w:val="002C5F00"/>
    <w:rsid w:val="002E6870"/>
    <w:rsid w:val="002F166B"/>
    <w:rsid w:val="002F40A4"/>
    <w:rsid w:val="003237E5"/>
    <w:rsid w:val="00346C1A"/>
    <w:rsid w:val="00361595"/>
    <w:rsid w:val="00362CEF"/>
    <w:rsid w:val="00365638"/>
    <w:rsid w:val="003703A2"/>
    <w:rsid w:val="003829EA"/>
    <w:rsid w:val="00385540"/>
    <w:rsid w:val="003878D5"/>
    <w:rsid w:val="00387CAD"/>
    <w:rsid w:val="003A768B"/>
    <w:rsid w:val="003B3C44"/>
    <w:rsid w:val="003D3B62"/>
    <w:rsid w:val="003D56A8"/>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3283D"/>
    <w:rsid w:val="0053518B"/>
    <w:rsid w:val="00547DC5"/>
    <w:rsid w:val="00566042"/>
    <w:rsid w:val="0058340F"/>
    <w:rsid w:val="005846C0"/>
    <w:rsid w:val="00587AAC"/>
    <w:rsid w:val="005A5B6F"/>
    <w:rsid w:val="005A6219"/>
    <w:rsid w:val="005C5BE6"/>
    <w:rsid w:val="005C7781"/>
    <w:rsid w:val="005D5122"/>
    <w:rsid w:val="005E7081"/>
    <w:rsid w:val="005E759D"/>
    <w:rsid w:val="00600BF9"/>
    <w:rsid w:val="00601112"/>
    <w:rsid w:val="00643D86"/>
    <w:rsid w:val="00651AF8"/>
    <w:rsid w:val="00652444"/>
    <w:rsid w:val="00654FEF"/>
    <w:rsid w:val="00656EC9"/>
    <w:rsid w:val="006631FD"/>
    <w:rsid w:val="00671B50"/>
    <w:rsid w:val="00686375"/>
    <w:rsid w:val="00692D7D"/>
    <w:rsid w:val="00697974"/>
    <w:rsid w:val="006A1BE4"/>
    <w:rsid w:val="006B3FB7"/>
    <w:rsid w:val="006C2FDE"/>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5027B"/>
    <w:rsid w:val="008620BF"/>
    <w:rsid w:val="00862247"/>
    <w:rsid w:val="00892FF3"/>
    <w:rsid w:val="008D303D"/>
    <w:rsid w:val="008D4B2A"/>
    <w:rsid w:val="008D774D"/>
    <w:rsid w:val="008F06DE"/>
    <w:rsid w:val="008F0AD7"/>
    <w:rsid w:val="009039B5"/>
    <w:rsid w:val="00903B41"/>
    <w:rsid w:val="009236DB"/>
    <w:rsid w:val="00925272"/>
    <w:rsid w:val="00931CC4"/>
    <w:rsid w:val="00941856"/>
    <w:rsid w:val="00943AD5"/>
    <w:rsid w:val="00944CD8"/>
    <w:rsid w:val="00945AED"/>
    <w:rsid w:val="00947AAD"/>
    <w:rsid w:val="009566D3"/>
    <w:rsid w:val="00965B04"/>
    <w:rsid w:val="0098494F"/>
    <w:rsid w:val="00992EFE"/>
    <w:rsid w:val="009938B2"/>
    <w:rsid w:val="00997E73"/>
    <w:rsid w:val="009A04F0"/>
    <w:rsid w:val="009C215D"/>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2FB1"/>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C395B"/>
    <w:rsid w:val="00AF1961"/>
    <w:rsid w:val="00AF37FE"/>
    <w:rsid w:val="00B047DE"/>
    <w:rsid w:val="00B41CE7"/>
    <w:rsid w:val="00B50A2D"/>
    <w:rsid w:val="00B53A01"/>
    <w:rsid w:val="00B56B94"/>
    <w:rsid w:val="00B62D10"/>
    <w:rsid w:val="00B9046E"/>
    <w:rsid w:val="00BA2EDC"/>
    <w:rsid w:val="00BB3D53"/>
    <w:rsid w:val="00BC518B"/>
    <w:rsid w:val="00BC7921"/>
    <w:rsid w:val="00BD26E3"/>
    <w:rsid w:val="00BD713C"/>
    <w:rsid w:val="00BE3A4A"/>
    <w:rsid w:val="00BE3F5B"/>
    <w:rsid w:val="00C009EB"/>
    <w:rsid w:val="00C352B5"/>
    <w:rsid w:val="00C379A4"/>
    <w:rsid w:val="00C37DD9"/>
    <w:rsid w:val="00C5512C"/>
    <w:rsid w:val="00C566D5"/>
    <w:rsid w:val="00C65816"/>
    <w:rsid w:val="00C73158"/>
    <w:rsid w:val="00C809F0"/>
    <w:rsid w:val="00C91CEA"/>
    <w:rsid w:val="00CA52C1"/>
    <w:rsid w:val="00CD06A7"/>
    <w:rsid w:val="00CD47F8"/>
    <w:rsid w:val="00CE6DA7"/>
    <w:rsid w:val="00CF78C3"/>
    <w:rsid w:val="00D10511"/>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9442E"/>
    <w:rsid w:val="00DA704A"/>
    <w:rsid w:val="00DC662C"/>
    <w:rsid w:val="00DD09B6"/>
    <w:rsid w:val="00DD6343"/>
    <w:rsid w:val="00DD7C7F"/>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A1365"/>
    <w:rsid w:val="00EA5316"/>
    <w:rsid w:val="00EA70D6"/>
    <w:rsid w:val="00EB66DF"/>
    <w:rsid w:val="00EC0FD6"/>
    <w:rsid w:val="00EC2A8D"/>
    <w:rsid w:val="00EE7D21"/>
    <w:rsid w:val="00EF3AFA"/>
    <w:rsid w:val="00F107B0"/>
    <w:rsid w:val="00F11829"/>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1920</Words>
  <Characters>11332</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13226</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53</cp:revision>
  <cp:lastPrinted>2025-12-16T13:02:00Z</cp:lastPrinted>
  <dcterms:created xsi:type="dcterms:W3CDTF">2024-01-16T15:35:00Z</dcterms:created>
  <dcterms:modified xsi:type="dcterms:W3CDTF">2025-12-17T06:05:00Z</dcterms:modified>
  <dc:language>en-US</dc:language>
</cp:coreProperties>
</file>