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8E95" w14:textId="07DA20C0" w:rsidR="005B47FE" w:rsidRPr="004A6BA2" w:rsidRDefault="00B252C2" w:rsidP="005B47FE">
      <w:pPr>
        <w:widowControl w:val="0"/>
        <w:rPr>
          <w:rFonts w:ascii="Gill Sans MT" w:hAnsi="Gill Sans MT"/>
          <w:sz w:val="22"/>
          <w:szCs w:val="22"/>
        </w:rPr>
      </w:pPr>
      <w:r w:rsidRPr="004A6BA2">
        <w:rPr>
          <w:rFonts w:ascii="Gill Sans MT" w:hAnsi="Gill Sans MT"/>
          <w:b/>
          <w:sz w:val="22"/>
          <w:szCs w:val="22"/>
        </w:rPr>
        <w:t xml:space="preserve">Příloha </w:t>
      </w:r>
      <w:proofErr w:type="gramStart"/>
      <w:r w:rsidRPr="004A6BA2">
        <w:rPr>
          <w:rFonts w:ascii="Gill Sans MT" w:hAnsi="Gill Sans MT"/>
          <w:b/>
          <w:sz w:val="22"/>
          <w:szCs w:val="22"/>
        </w:rPr>
        <w:t>B</w:t>
      </w:r>
      <w:r w:rsidR="005B47FE">
        <w:rPr>
          <w:rFonts w:ascii="Gill Sans MT" w:hAnsi="Gill Sans MT"/>
          <w:b/>
          <w:sz w:val="22"/>
          <w:szCs w:val="22"/>
        </w:rPr>
        <w:t xml:space="preserve"> - </w:t>
      </w:r>
      <w:r w:rsidR="005B47FE" w:rsidRPr="004A6BA2">
        <w:rPr>
          <w:rFonts w:ascii="Gill Sans MT" w:hAnsi="Gill Sans MT"/>
          <w:b/>
          <w:sz w:val="22"/>
          <w:szCs w:val="22"/>
        </w:rPr>
        <w:t>Cena</w:t>
      </w:r>
      <w:proofErr w:type="gramEnd"/>
      <w:r w:rsidR="005B47FE" w:rsidRPr="004A6BA2">
        <w:rPr>
          <w:rFonts w:ascii="Gill Sans MT" w:hAnsi="Gill Sans MT"/>
          <w:b/>
          <w:sz w:val="22"/>
          <w:szCs w:val="22"/>
        </w:rPr>
        <w:t xml:space="preserve"> ostatních služeb dodávky plynu</w:t>
      </w:r>
      <w:r w:rsidR="009F0411">
        <w:rPr>
          <w:rFonts w:ascii="Gill Sans MT" w:hAnsi="Gill Sans MT"/>
          <w:b/>
          <w:sz w:val="22"/>
          <w:szCs w:val="22"/>
        </w:rPr>
        <w:t xml:space="preserve"> </w:t>
      </w:r>
      <w:bookmarkStart w:id="0" w:name="_Hlk167973480"/>
      <w:r w:rsidR="009F0411">
        <w:rPr>
          <w:rFonts w:ascii="Gill Sans MT" w:hAnsi="Gill Sans MT"/>
          <w:b/>
          <w:sz w:val="22"/>
          <w:szCs w:val="22"/>
        </w:rPr>
        <w:t>a způsob stanovení výše Emisních nákladů</w:t>
      </w:r>
      <w:r w:rsidR="00880458" w:rsidRPr="00880458">
        <w:rPr>
          <w:rFonts w:ascii="Gill Sans MT" w:hAnsi="Gill Sans MT"/>
          <w:b/>
          <w:sz w:val="22"/>
          <w:szCs w:val="22"/>
        </w:rPr>
        <w:t xml:space="preserve"> </w:t>
      </w:r>
      <w:r w:rsidR="00880458">
        <w:rPr>
          <w:rFonts w:ascii="Gill Sans MT" w:hAnsi="Gill Sans MT"/>
          <w:b/>
          <w:sz w:val="22"/>
          <w:szCs w:val="22"/>
        </w:rPr>
        <w:t>na plnění Emisní povinnosti</w:t>
      </w:r>
    </w:p>
    <w:bookmarkEnd w:id="0"/>
    <w:p w14:paraId="54CAAC97" w14:textId="77777777" w:rsidR="00BD6BAE" w:rsidRPr="004A6BA2" w:rsidRDefault="00BD6BAE" w:rsidP="00BD6BAE">
      <w:pPr>
        <w:rPr>
          <w:rFonts w:ascii="Gill Sans MT" w:hAnsi="Gill Sans MT"/>
          <w:sz w:val="22"/>
          <w:szCs w:val="22"/>
        </w:rPr>
      </w:pPr>
    </w:p>
    <w:p w14:paraId="7E4BFB1D" w14:textId="77777777" w:rsidR="00AE3B79" w:rsidRPr="004A6BA2" w:rsidRDefault="00AE3B79" w:rsidP="00BD6BAE">
      <w:pPr>
        <w:widowControl w:val="0"/>
        <w:jc w:val="both"/>
        <w:rPr>
          <w:rFonts w:ascii="Gill Sans MT" w:hAnsi="Gill Sans MT"/>
          <w:sz w:val="22"/>
          <w:szCs w:val="22"/>
        </w:rPr>
      </w:pPr>
    </w:p>
    <w:p w14:paraId="15B378EA" w14:textId="77777777" w:rsidR="00633E64" w:rsidRDefault="00633E64" w:rsidP="00666C75">
      <w:pPr>
        <w:widowControl w:val="0"/>
        <w:jc w:val="center"/>
        <w:rPr>
          <w:rFonts w:ascii="Gill Sans MT" w:hAnsi="Gill Sans MT"/>
          <w:b/>
          <w:sz w:val="22"/>
          <w:szCs w:val="22"/>
        </w:rPr>
      </w:pPr>
    </w:p>
    <w:p w14:paraId="213260AF" w14:textId="11DCC450" w:rsidR="00666C75" w:rsidRPr="00B97F60" w:rsidRDefault="00622428" w:rsidP="00B97F60">
      <w:pPr>
        <w:widowControl w:val="0"/>
        <w:ind w:left="360"/>
        <w:jc w:val="center"/>
        <w:rPr>
          <w:rFonts w:ascii="Gill Sans MT" w:hAnsi="Gill Sans MT"/>
          <w:sz w:val="22"/>
          <w:szCs w:val="22"/>
        </w:rPr>
      </w:pPr>
      <w:r w:rsidRPr="00B97F60">
        <w:rPr>
          <w:rFonts w:ascii="Gill Sans MT" w:hAnsi="Gill Sans MT"/>
          <w:b/>
          <w:sz w:val="22"/>
          <w:szCs w:val="22"/>
        </w:rPr>
        <w:t>Cen</w:t>
      </w:r>
      <w:r w:rsidR="00AE3B79" w:rsidRPr="00B97F60">
        <w:rPr>
          <w:rFonts w:ascii="Gill Sans MT" w:hAnsi="Gill Sans MT"/>
          <w:b/>
          <w:sz w:val="22"/>
          <w:szCs w:val="22"/>
        </w:rPr>
        <w:t>a</w:t>
      </w:r>
      <w:r w:rsidRPr="00B97F60">
        <w:rPr>
          <w:rFonts w:ascii="Gill Sans MT" w:hAnsi="Gill Sans MT"/>
          <w:b/>
          <w:sz w:val="22"/>
          <w:szCs w:val="22"/>
        </w:rPr>
        <w:t xml:space="preserve"> ostatní</w:t>
      </w:r>
      <w:r w:rsidR="00DD0118" w:rsidRPr="00B97F60">
        <w:rPr>
          <w:rFonts w:ascii="Gill Sans MT" w:hAnsi="Gill Sans MT"/>
          <w:b/>
          <w:sz w:val="22"/>
          <w:szCs w:val="22"/>
        </w:rPr>
        <w:t>ch</w:t>
      </w:r>
      <w:r w:rsidRPr="00B97F60">
        <w:rPr>
          <w:rFonts w:ascii="Gill Sans MT" w:hAnsi="Gill Sans MT"/>
          <w:b/>
          <w:sz w:val="22"/>
          <w:szCs w:val="22"/>
        </w:rPr>
        <w:t xml:space="preserve"> služ</w:t>
      </w:r>
      <w:r w:rsidR="00DD0118" w:rsidRPr="00B97F60">
        <w:rPr>
          <w:rFonts w:ascii="Gill Sans MT" w:hAnsi="Gill Sans MT"/>
          <w:b/>
          <w:sz w:val="22"/>
          <w:szCs w:val="22"/>
        </w:rPr>
        <w:t>e</w:t>
      </w:r>
      <w:r w:rsidRPr="00B97F60">
        <w:rPr>
          <w:rFonts w:ascii="Gill Sans MT" w:hAnsi="Gill Sans MT"/>
          <w:b/>
          <w:sz w:val="22"/>
          <w:szCs w:val="22"/>
        </w:rPr>
        <w:t>b dodávky</w:t>
      </w:r>
      <w:r w:rsidR="00DD0118" w:rsidRPr="00B97F60">
        <w:rPr>
          <w:rFonts w:ascii="Gill Sans MT" w:hAnsi="Gill Sans MT"/>
          <w:b/>
          <w:sz w:val="22"/>
          <w:szCs w:val="22"/>
        </w:rPr>
        <w:t xml:space="preserve"> plynu</w:t>
      </w:r>
    </w:p>
    <w:p w14:paraId="24B3CB7A" w14:textId="77777777" w:rsidR="00666C75" w:rsidRPr="004A6BA2" w:rsidRDefault="00666C75" w:rsidP="00BD6BAE">
      <w:pPr>
        <w:widowControl w:val="0"/>
        <w:jc w:val="both"/>
        <w:rPr>
          <w:rFonts w:ascii="Gill Sans MT" w:hAnsi="Gill Sans MT"/>
          <w:sz w:val="22"/>
          <w:szCs w:val="22"/>
        </w:rPr>
      </w:pPr>
    </w:p>
    <w:p w14:paraId="2091E01D" w14:textId="35A4C62E" w:rsidR="0025216D" w:rsidRPr="00BD1C03" w:rsidRDefault="009037BC" w:rsidP="00BD1C03">
      <w:pPr>
        <w:pStyle w:val="Odstavecseseznamem"/>
        <w:widowControl w:val="0"/>
        <w:numPr>
          <w:ilvl w:val="0"/>
          <w:numId w:val="22"/>
        </w:numPr>
        <w:jc w:val="both"/>
        <w:rPr>
          <w:rFonts w:ascii="Gill Sans MT" w:hAnsi="Gill Sans MT"/>
          <w:sz w:val="22"/>
          <w:szCs w:val="22"/>
        </w:rPr>
      </w:pPr>
      <w:r w:rsidRPr="00BD1C03">
        <w:rPr>
          <w:rFonts w:ascii="Gill Sans MT" w:hAnsi="Gill Sans MT"/>
          <w:sz w:val="22"/>
          <w:szCs w:val="22"/>
        </w:rPr>
        <w:t>Cena ostatních služeb dodávky plynu</w:t>
      </w:r>
      <w:r w:rsidRPr="00BD1C03" w:rsidDel="00F57273">
        <w:rPr>
          <w:rFonts w:ascii="Gill Sans MT" w:hAnsi="Gill Sans MT"/>
          <w:sz w:val="22"/>
          <w:szCs w:val="22"/>
        </w:rPr>
        <w:t xml:space="preserve"> </w:t>
      </w:r>
      <w:r w:rsidRPr="00BD1C03">
        <w:rPr>
          <w:rFonts w:ascii="Gill Sans MT" w:hAnsi="Gill Sans MT"/>
          <w:sz w:val="22"/>
          <w:szCs w:val="22"/>
        </w:rPr>
        <w:t>je p</w:t>
      </w:r>
      <w:r w:rsidR="0025216D" w:rsidRPr="00BD1C03">
        <w:rPr>
          <w:rFonts w:ascii="Gill Sans MT" w:hAnsi="Gill Sans MT"/>
          <w:sz w:val="22"/>
          <w:szCs w:val="22"/>
        </w:rPr>
        <w:t>ro ob</w:t>
      </w:r>
      <w:r w:rsidR="00363BFB" w:rsidRPr="00BD1C03">
        <w:rPr>
          <w:rFonts w:ascii="Gill Sans MT" w:hAnsi="Gill Sans MT"/>
          <w:sz w:val="22"/>
          <w:szCs w:val="22"/>
        </w:rPr>
        <w:t xml:space="preserve">dobí </w:t>
      </w:r>
      <w:r w:rsidR="00585790" w:rsidRPr="00BD1C03">
        <w:rPr>
          <w:rFonts w:ascii="Gill Sans MT" w:hAnsi="Gill Sans MT"/>
          <w:sz w:val="22"/>
          <w:szCs w:val="22"/>
        </w:rPr>
        <w:t xml:space="preserve">od </w:t>
      </w:r>
      <w:r w:rsidR="00BD1C03" w:rsidRPr="00BD1C03">
        <w:rPr>
          <w:rFonts w:ascii="Gill Sans MT" w:hAnsi="Gill Sans MT"/>
          <w:sz w:val="22"/>
          <w:szCs w:val="22"/>
        </w:rPr>
        <w:t>26</w:t>
      </w:r>
      <w:r w:rsidR="00683FC1" w:rsidRPr="00BD1C03">
        <w:rPr>
          <w:rFonts w:ascii="Gill Sans MT" w:hAnsi="Gill Sans MT"/>
          <w:sz w:val="22"/>
          <w:szCs w:val="22"/>
        </w:rPr>
        <w:t xml:space="preserve">. </w:t>
      </w:r>
      <w:r w:rsidR="00BD1C03" w:rsidRPr="00BD1C03">
        <w:rPr>
          <w:rFonts w:ascii="Gill Sans MT" w:hAnsi="Gill Sans MT"/>
          <w:sz w:val="22"/>
          <w:szCs w:val="22"/>
        </w:rPr>
        <w:t>4</w:t>
      </w:r>
      <w:r w:rsidR="00945AA9" w:rsidRPr="00BD1C03">
        <w:rPr>
          <w:rFonts w:ascii="Gill Sans MT" w:hAnsi="Gill Sans MT"/>
          <w:sz w:val="22"/>
          <w:szCs w:val="22"/>
        </w:rPr>
        <w:t xml:space="preserve">. </w:t>
      </w:r>
      <w:r w:rsidR="00683FC1" w:rsidRPr="00BD1C03">
        <w:rPr>
          <w:rFonts w:ascii="Gill Sans MT" w:hAnsi="Gill Sans MT"/>
          <w:sz w:val="22"/>
          <w:szCs w:val="22"/>
        </w:rPr>
        <w:t>202</w:t>
      </w:r>
      <w:r w:rsidR="00BD1C03" w:rsidRPr="00BD1C03">
        <w:rPr>
          <w:rFonts w:ascii="Gill Sans MT" w:hAnsi="Gill Sans MT"/>
          <w:sz w:val="22"/>
          <w:szCs w:val="22"/>
        </w:rPr>
        <w:t>5</w:t>
      </w:r>
      <w:r w:rsidR="00945AA9" w:rsidRPr="00BD1C03">
        <w:rPr>
          <w:rFonts w:ascii="Gill Sans MT" w:hAnsi="Gill Sans MT"/>
          <w:sz w:val="22"/>
          <w:szCs w:val="22"/>
        </w:rPr>
        <w:t xml:space="preserve"> do 31. 12. 202</w:t>
      </w:r>
      <w:r w:rsidR="00BD1C03" w:rsidRPr="00BD1C03">
        <w:rPr>
          <w:rFonts w:ascii="Gill Sans MT" w:hAnsi="Gill Sans MT"/>
          <w:sz w:val="22"/>
          <w:szCs w:val="22"/>
        </w:rPr>
        <w:t>6</w:t>
      </w:r>
      <w:r w:rsidR="00A447C7" w:rsidRPr="00BD1C03">
        <w:rPr>
          <w:rFonts w:ascii="Gill Sans MT" w:hAnsi="Gill Sans MT"/>
          <w:sz w:val="22"/>
          <w:szCs w:val="22"/>
        </w:rPr>
        <w:t>.</w:t>
      </w:r>
      <w:r w:rsidR="00683FC1" w:rsidRPr="00BD1C03">
        <w:rPr>
          <w:rFonts w:ascii="Gill Sans MT" w:hAnsi="Gill Sans MT"/>
          <w:sz w:val="22"/>
          <w:szCs w:val="22"/>
        </w:rPr>
        <w:t xml:space="preserve"> </w:t>
      </w:r>
      <w:r w:rsidR="00F57273" w:rsidRPr="00BD1C03">
        <w:rPr>
          <w:rFonts w:ascii="Gill Sans MT" w:hAnsi="Gill Sans MT"/>
          <w:sz w:val="22"/>
          <w:szCs w:val="22"/>
        </w:rPr>
        <w:t>(dále jen „</w:t>
      </w:r>
      <w:r w:rsidR="00F57273" w:rsidRPr="00BD1C03">
        <w:rPr>
          <w:rFonts w:ascii="Gill Sans MT" w:hAnsi="Gill Sans MT"/>
          <w:b/>
          <w:sz w:val="22"/>
          <w:szCs w:val="22"/>
        </w:rPr>
        <w:t>Cenové období</w:t>
      </w:r>
      <w:r w:rsidR="00F57273" w:rsidRPr="00BD1C03">
        <w:rPr>
          <w:rFonts w:ascii="Gill Sans MT" w:hAnsi="Gill Sans MT"/>
          <w:sz w:val="22"/>
          <w:szCs w:val="22"/>
        </w:rPr>
        <w:t xml:space="preserve">“) </w:t>
      </w:r>
      <w:r w:rsidR="0025216D" w:rsidRPr="00BD1C03">
        <w:rPr>
          <w:rFonts w:ascii="Gill Sans MT" w:hAnsi="Gill Sans MT"/>
          <w:sz w:val="22"/>
          <w:szCs w:val="22"/>
        </w:rPr>
        <w:t>stanovena jako pevná jednosložková cena</w:t>
      </w:r>
      <w:r w:rsidR="00F57273" w:rsidRPr="00BD1C03">
        <w:rPr>
          <w:rFonts w:ascii="Gill Sans MT" w:hAnsi="Gill Sans MT"/>
          <w:sz w:val="22"/>
          <w:szCs w:val="22"/>
        </w:rPr>
        <w:t xml:space="preserve"> s tím, že pro určení její výše se aplikují dále uvedené podmínky</w:t>
      </w:r>
      <w:r w:rsidR="0025216D" w:rsidRPr="00BD1C03">
        <w:rPr>
          <w:rFonts w:ascii="Gill Sans MT" w:hAnsi="Gill Sans MT"/>
          <w:sz w:val="22"/>
          <w:szCs w:val="22"/>
        </w:rPr>
        <w:t>.</w:t>
      </w:r>
    </w:p>
    <w:p w14:paraId="2A9F7504" w14:textId="77777777" w:rsidR="003D63EE" w:rsidRPr="00E129A5" w:rsidRDefault="003D63EE" w:rsidP="00E129A5">
      <w:pPr>
        <w:widowControl w:val="0"/>
        <w:jc w:val="both"/>
        <w:rPr>
          <w:rFonts w:ascii="Gill Sans MT" w:hAnsi="Gill Sans MT"/>
          <w:sz w:val="22"/>
          <w:szCs w:val="22"/>
        </w:rPr>
      </w:pPr>
    </w:p>
    <w:p w14:paraId="4FAD7DC5" w14:textId="32714A6F" w:rsidR="003D63EE" w:rsidRDefault="003D63EE" w:rsidP="003D63EE">
      <w:pPr>
        <w:widowControl w:val="0"/>
        <w:jc w:val="both"/>
        <w:rPr>
          <w:rFonts w:ascii="Gill Sans MT" w:hAnsi="Gill Sans MT"/>
          <w:sz w:val="22"/>
          <w:szCs w:val="22"/>
        </w:rPr>
      </w:pPr>
      <w:r w:rsidRPr="003D63EE">
        <w:rPr>
          <w:rFonts w:ascii="Gill Sans MT" w:hAnsi="Gill Sans MT"/>
          <w:sz w:val="22"/>
          <w:szCs w:val="22"/>
        </w:rPr>
        <w:t xml:space="preserve">Smluvní strany se dohodly na pevné komoditní ceně v Kč/MWh. Tato fixní cena zahrnuje cenu vlastní komodity zemního plynu, cenu za přepravu plynu (kapacitní i komoditní část) a službu strukturování (kapacitní i komoditní část) bez DPH. Tato cena je vyjádřena jako cena za komoditní složku ve výši </w:t>
      </w:r>
      <w:r w:rsidRPr="003D63EE">
        <w:rPr>
          <w:rFonts w:ascii="Gill Sans MT" w:hAnsi="Gill Sans MT"/>
          <w:sz w:val="22"/>
          <w:szCs w:val="22"/>
        </w:rPr>
        <w:br/>
      </w:r>
      <w:r w:rsidR="00BD1C03">
        <w:rPr>
          <w:rFonts w:ascii="Gill Sans MT" w:hAnsi="Gill Sans MT"/>
          <w:b/>
          <w:sz w:val="22"/>
          <w:szCs w:val="22"/>
        </w:rPr>
        <w:t>909</w:t>
      </w:r>
      <w:r w:rsidRPr="003D63EE">
        <w:rPr>
          <w:rFonts w:ascii="Gill Sans MT" w:hAnsi="Gill Sans MT"/>
          <w:b/>
          <w:sz w:val="22"/>
          <w:szCs w:val="22"/>
        </w:rPr>
        <w:t>,- Kč/MWh</w:t>
      </w:r>
      <w:r w:rsidRPr="003D63EE">
        <w:rPr>
          <w:rFonts w:ascii="Gill Sans MT" w:hAnsi="Gill Sans MT"/>
          <w:b/>
          <w:bCs/>
          <w:sz w:val="22"/>
          <w:szCs w:val="22"/>
        </w:rPr>
        <w:t>.</w:t>
      </w:r>
      <w:r w:rsidRPr="003D63EE">
        <w:rPr>
          <w:rFonts w:ascii="Gill Sans MT" w:hAnsi="Gill Sans MT"/>
          <w:sz w:val="22"/>
          <w:szCs w:val="22"/>
        </w:rPr>
        <w:t xml:space="preserve"> Cena neobsahuje daň ze zemního plynu, ostatní daně a poplatky, nezahrnuje regulované platby za distribuci, platby operátora trhu s plynem a obdobné poplatky, které je Obchodník oprávněn k ceně připočítat v souladu se Smlouvou a obecně závaznými právními předpisy.</w:t>
      </w:r>
    </w:p>
    <w:p w14:paraId="49AC6418" w14:textId="77777777" w:rsidR="00BD1C03" w:rsidRPr="003D63EE" w:rsidRDefault="00BD1C03" w:rsidP="003D63EE">
      <w:pPr>
        <w:widowControl w:val="0"/>
        <w:jc w:val="both"/>
        <w:rPr>
          <w:rFonts w:ascii="Gill Sans MT" w:hAnsi="Gill Sans MT"/>
          <w:sz w:val="22"/>
          <w:szCs w:val="22"/>
        </w:rPr>
      </w:pPr>
    </w:p>
    <w:p w14:paraId="651B18BE" w14:textId="3993CACC" w:rsidR="00BD1C03" w:rsidRPr="00BD1C03" w:rsidRDefault="00BD1C03" w:rsidP="00BD1C03">
      <w:pPr>
        <w:pStyle w:val="Odstavecseseznamem"/>
        <w:widowControl w:val="0"/>
        <w:numPr>
          <w:ilvl w:val="0"/>
          <w:numId w:val="22"/>
        </w:numPr>
        <w:jc w:val="both"/>
        <w:rPr>
          <w:rFonts w:ascii="Gill Sans MT" w:hAnsi="Gill Sans MT"/>
          <w:sz w:val="22"/>
          <w:szCs w:val="22"/>
        </w:rPr>
      </w:pPr>
      <w:r w:rsidRPr="00BD1C03">
        <w:rPr>
          <w:rFonts w:ascii="Gill Sans MT" w:hAnsi="Gill Sans MT"/>
          <w:sz w:val="22"/>
          <w:szCs w:val="22"/>
        </w:rPr>
        <w:t>Cena ostatních služeb dodávky plynu</w:t>
      </w:r>
      <w:r w:rsidRPr="00BD1C03" w:rsidDel="00F57273">
        <w:rPr>
          <w:rFonts w:ascii="Gill Sans MT" w:hAnsi="Gill Sans MT"/>
          <w:sz w:val="22"/>
          <w:szCs w:val="22"/>
        </w:rPr>
        <w:t xml:space="preserve"> </w:t>
      </w:r>
      <w:r w:rsidRPr="00BD1C03">
        <w:rPr>
          <w:rFonts w:ascii="Gill Sans MT" w:hAnsi="Gill Sans MT"/>
          <w:sz w:val="22"/>
          <w:szCs w:val="22"/>
        </w:rPr>
        <w:t xml:space="preserve">je pro období od </w:t>
      </w:r>
      <w:r w:rsidRPr="00BD1C03">
        <w:rPr>
          <w:rFonts w:ascii="Gill Sans MT" w:hAnsi="Gill Sans MT"/>
          <w:sz w:val="22"/>
          <w:szCs w:val="22"/>
        </w:rPr>
        <w:t>1</w:t>
      </w:r>
      <w:r w:rsidRPr="00BD1C03">
        <w:rPr>
          <w:rFonts w:ascii="Gill Sans MT" w:hAnsi="Gill Sans MT"/>
          <w:sz w:val="22"/>
          <w:szCs w:val="22"/>
        </w:rPr>
        <w:t xml:space="preserve">. </w:t>
      </w:r>
      <w:r w:rsidRPr="00BD1C03">
        <w:rPr>
          <w:rFonts w:ascii="Gill Sans MT" w:hAnsi="Gill Sans MT"/>
          <w:sz w:val="22"/>
          <w:szCs w:val="22"/>
        </w:rPr>
        <w:t>1</w:t>
      </w:r>
      <w:r w:rsidRPr="00BD1C03">
        <w:rPr>
          <w:rFonts w:ascii="Gill Sans MT" w:hAnsi="Gill Sans MT"/>
          <w:sz w:val="22"/>
          <w:szCs w:val="22"/>
        </w:rPr>
        <w:t>. 202</w:t>
      </w:r>
      <w:r w:rsidRPr="00BD1C03">
        <w:rPr>
          <w:rFonts w:ascii="Gill Sans MT" w:hAnsi="Gill Sans MT"/>
          <w:sz w:val="22"/>
          <w:szCs w:val="22"/>
        </w:rPr>
        <w:t>7</w:t>
      </w:r>
      <w:r w:rsidRPr="00BD1C03">
        <w:rPr>
          <w:rFonts w:ascii="Gill Sans MT" w:hAnsi="Gill Sans MT"/>
          <w:sz w:val="22"/>
          <w:szCs w:val="22"/>
        </w:rPr>
        <w:t xml:space="preserve"> do 31. 12. 202</w:t>
      </w:r>
      <w:r w:rsidRPr="00BD1C03">
        <w:rPr>
          <w:rFonts w:ascii="Gill Sans MT" w:hAnsi="Gill Sans MT"/>
          <w:sz w:val="22"/>
          <w:szCs w:val="22"/>
        </w:rPr>
        <w:t>7</w:t>
      </w:r>
      <w:r w:rsidRPr="00BD1C03">
        <w:rPr>
          <w:rFonts w:ascii="Gill Sans MT" w:hAnsi="Gill Sans MT"/>
          <w:sz w:val="22"/>
          <w:szCs w:val="22"/>
        </w:rPr>
        <w:t>. (dále jen „</w:t>
      </w:r>
      <w:r w:rsidRPr="00BD1C03">
        <w:rPr>
          <w:rFonts w:ascii="Gill Sans MT" w:hAnsi="Gill Sans MT"/>
          <w:b/>
          <w:sz w:val="22"/>
          <w:szCs w:val="22"/>
        </w:rPr>
        <w:t>Cenové období</w:t>
      </w:r>
      <w:r w:rsidRPr="00BD1C03">
        <w:rPr>
          <w:rFonts w:ascii="Gill Sans MT" w:hAnsi="Gill Sans MT"/>
          <w:sz w:val="22"/>
          <w:szCs w:val="22"/>
        </w:rPr>
        <w:t>“) stanovena jako pevná jednosložková cena s tím, že pro určení její výše se aplikují dále uvedené podmínky.</w:t>
      </w:r>
    </w:p>
    <w:p w14:paraId="5B913007" w14:textId="77777777" w:rsidR="00BD1C03" w:rsidRPr="00E129A5" w:rsidRDefault="00BD1C03" w:rsidP="00BD1C03">
      <w:pPr>
        <w:widowControl w:val="0"/>
        <w:jc w:val="both"/>
        <w:rPr>
          <w:rFonts w:ascii="Gill Sans MT" w:hAnsi="Gill Sans MT"/>
          <w:sz w:val="22"/>
          <w:szCs w:val="22"/>
        </w:rPr>
      </w:pPr>
    </w:p>
    <w:p w14:paraId="6BEC51CF" w14:textId="1660F518" w:rsidR="00BD1C03" w:rsidRDefault="00BD1C03" w:rsidP="00BD1C03">
      <w:pPr>
        <w:widowControl w:val="0"/>
        <w:jc w:val="both"/>
        <w:rPr>
          <w:rFonts w:ascii="Gill Sans MT" w:hAnsi="Gill Sans MT"/>
          <w:sz w:val="22"/>
          <w:szCs w:val="22"/>
        </w:rPr>
      </w:pPr>
      <w:r w:rsidRPr="003D63EE">
        <w:rPr>
          <w:rFonts w:ascii="Gill Sans MT" w:hAnsi="Gill Sans MT"/>
          <w:sz w:val="22"/>
          <w:szCs w:val="22"/>
        </w:rPr>
        <w:t xml:space="preserve">Smluvní strany se dohodly na pevné komoditní ceně v Kč/MWh. Tato fixní cena zahrnuje cenu vlastní komodity zemního plynu, cenu za přepravu plynu (kapacitní i komoditní část) a službu strukturování (kapacitní i komoditní část) bez DPH. Tato cena je vyjádřena jako cena za komoditní složku ve výši </w:t>
      </w:r>
      <w:r w:rsidRPr="003D63EE">
        <w:rPr>
          <w:rFonts w:ascii="Gill Sans MT" w:hAnsi="Gill Sans MT"/>
          <w:sz w:val="22"/>
          <w:szCs w:val="22"/>
        </w:rPr>
        <w:br/>
      </w:r>
      <w:r>
        <w:rPr>
          <w:rFonts w:ascii="Gill Sans MT" w:hAnsi="Gill Sans MT"/>
          <w:b/>
          <w:sz w:val="22"/>
          <w:szCs w:val="22"/>
        </w:rPr>
        <w:t>785</w:t>
      </w:r>
      <w:r w:rsidRPr="003D63EE">
        <w:rPr>
          <w:rFonts w:ascii="Gill Sans MT" w:hAnsi="Gill Sans MT"/>
          <w:b/>
          <w:sz w:val="22"/>
          <w:szCs w:val="22"/>
        </w:rPr>
        <w:t>,- Kč/MWh</w:t>
      </w:r>
      <w:r w:rsidRPr="003D63EE">
        <w:rPr>
          <w:rFonts w:ascii="Gill Sans MT" w:hAnsi="Gill Sans MT"/>
          <w:b/>
          <w:bCs/>
          <w:sz w:val="22"/>
          <w:szCs w:val="22"/>
        </w:rPr>
        <w:t>.</w:t>
      </w:r>
      <w:r w:rsidRPr="003D63EE">
        <w:rPr>
          <w:rFonts w:ascii="Gill Sans MT" w:hAnsi="Gill Sans MT"/>
          <w:sz w:val="22"/>
          <w:szCs w:val="22"/>
        </w:rPr>
        <w:t xml:space="preserve"> Cena neobsahuje daň ze zemního plynu, ostatní daně a poplatky, nezahrnuje regulované platby za distribuci, platby operátora trhu s plynem a obdobné poplatky, které je Obchodník oprávněn k ceně připočítat v souladu se Smlouvou a obecně závaznými právními předpisy.</w:t>
      </w:r>
    </w:p>
    <w:p w14:paraId="673932B1" w14:textId="77777777" w:rsidR="00BD1C03" w:rsidRDefault="00BD1C03" w:rsidP="00BD1C03">
      <w:pPr>
        <w:widowControl w:val="0"/>
        <w:jc w:val="both"/>
        <w:rPr>
          <w:rFonts w:ascii="Gill Sans MT" w:hAnsi="Gill Sans MT"/>
          <w:sz w:val="22"/>
          <w:szCs w:val="22"/>
        </w:rPr>
      </w:pPr>
    </w:p>
    <w:p w14:paraId="248A4591" w14:textId="3DCC3EC3" w:rsidR="00BD1C03" w:rsidRPr="00BD1C03" w:rsidRDefault="00BD1C03" w:rsidP="00BD1C03">
      <w:pPr>
        <w:pStyle w:val="Odstavecseseznamem"/>
        <w:widowControl w:val="0"/>
        <w:numPr>
          <w:ilvl w:val="0"/>
          <w:numId w:val="22"/>
        </w:numPr>
        <w:jc w:val="both"/>
        <w:rPr>
          <w:rFonts w:ascii="Gill Sans MT" w:hAnsi="Gill Sans MT"/>
          <w:sz w:val="22"/>
          <w:szCs w:val="22"/>
        </w:rPr>
      </w:pPr>
      <w:r w:rsidRPr="00BD1C03">
        <w:rPr>
          <w:rFonts w:ascii="Gill Sans MT" w:hAnsi="Gill Sans MT"/>
          <w:sz w:val="22"/>
          <w:szCs w:val="22"/>
        </w:rPr>
        <w:t>Cena ostatních služeb dodávky plynu</w:t>
      </w:r>
      <w:r w:rsidRPr="00BD1C03" w:rsidDel="00F57273">
        <w:rPr>
          <w:rFonts w:ascii="Gill Sans MT" w:hAnsi="Gill Sans MT"/>
          <w:sz w:val="22"/>
          <w:szCs w:val="22"/>
        </w:rPr>
        <w:t xml:space="preserve"> </w:t>
      </w:r>
      <w:r w:rsidRPr="00BD1C03">
        <w:rPr>
          <w:rFonts w:ascii="Gill Sans MT" w:hAnsi="Gill Sans MT"/>
          <w:sz w:val="22"/>
          <w:szCs w:val="22"/>
        </w:rPr>
        <w:t>je pro období od 1. 1. 202</w:t>
      </w:r>
      <w:r w:rsidRPr="00BD1C03">
        <w:rPr>
          <w:rFonts w:ascii="Gill Sans MT" w:hAnsi="Gill Sans MT"/>
          <w:sz w:val="22"/>
          <w:szCs w:val="22"/>
        </w:rPr>
        <w:t>8</w:t>
      </w:r>
      <w:r w:rsidRPr="00BD1C03">
        <w:rPr>
          <w:rFonts w:ascii="Gill Sans MT" w:hAnsi="Gill Sans MT"/>
          <w:sz w:val="22"/>
          <w:szCs w:val="22"/>
        </w:rPr>
        <w:t xml:space="preserve"> do 31. 12. 202</w:t>
      </w:r>
      <w:r w:rsidRPr="00BD1C03">
        <w:rPr>
          <w:rFonts w:ascii="Gill Sans MT" w:hAnsi="Gill Sans MT"/>
          <w:sz w:val="22"/>
          <w:szCs w:val="22"/>
        </w:rPr>
        <w:t>8</w:t>
      </w:r>
      <w:r w:rsidRPr="00BD1C03">
        <w:rPr>
          <w:rFonts w:ascii="Gill Sans MT" w:hAnsi="Gill Sans MT"/>
          <w:sz w:val="22"/>
          <w:szCs w:val="22"/>
        </w:rPr>
        <w:t>. (dále jen „</w:t>
      </w:r>
      <w:r w:rsidRPr="00BD1C03">
        <w:rPr>
          <w:rFonts w:ascii="Gill Sans MT" w:hAnsi="Gill Sans MT"/>
          <w:b/>
          <w:sz w:val="22"/>
          <w:szCs w:val="22"/>
        </w:rPr>
        <w:t>Cenové období</w:t>
      </w:r>
      <w:r w:rsidRPr="00BD1C03">
        <w:rPr>
          <w:rFonts w:ascii="Gill Sans MT" w:hAnsi="Gill Sans MT"/>
          <w:sz w:val="22"/>
          <w:szCs w:val="22"/>
        </w:rPr>
        <w:t>“) stanovena jako pevná jednosložková cena s tím, že pro určení její výše se aplikují dále uvedené podmínky.</w:t>
      </w:r>
    </w:p>
    <w:p w14:paraId="679B91A8" w14:textId="77777777" w:rsidR="00BD1C03" w:rsidRPr="00E129A5" w:rsidRDefault="00BD1C03" w:rsidP="00BD1C03">
      <w:pPr>
        <w:widowControl w:val="0"/>
        <w:jc w:val="both"/>
        <w:rPr>
          <w:rFonts w:ascii="Gill Sans MT" w:hAnsi="Gill Sans MT"/>
          <w:sz w:val="22"/>
          <w:szCs w:val="22"/>
        </w:rPr>
      </w:pPr>
    </w:p>
    <w:p w14:paraId="562FCCE5" w14:textId="276C226E" w:rsidR="00BD1C03" w:rsidRDefault="00BD1C03" w:rsidP="00BD1C03">
      <w:pPr>
        <w:widowControl w:val="0"/>
        <w:jc w:val="both"/>
        <w:rPr>
          <w:rFonts w:ascii="Gill Sans MT" w:hAnsi="Gill Sans MT"/>
          <w:sz w:val="22"/>
          <w:szCs w:val="22"/>
        </w:rPr>
      </w:pPr>
      <w:r w:rsidRPr="003D63EE">
        <w:rPr>
          <w:rFonts w:ascii="Gill Sans MT" w:hAnsi="Gill Sans MT"/>
          <w:sz w:val="22"/>
          <w:szCs w:val="22"/>
        </w:rPr>
        <w:t xml:space="preserve">Smluvní strany se dohodly na pevné komoditní ceně v Kč/MWh. Tato fixní cena zahrnuje cenu vlastní komodity zemního plynu, cenu za přepravu plynu (kapacitní i komoditní část) a službu strukturování (kapacitní i komoditní část) bez DPH. Tato cena je vyjádřena jako cena za komoditní složku ve výši </w:t>
      </w:r>
      <w:r w:rsidRPr="003D63EE">
        <w:rPr>
          <w:rFonts w:ascii="Gill Sans MT" w:hAnsi="Gill Sans MT"/>
          <w:sz w:val="22"/>
          <w:szCs w:val="22"/>
        </w:rPr>
        <w:br/>
      </w:r>
      <w:r>
        <w:rPr>
          <w:rFonts w:ascii="Gill Sans MT" w:hAnsi="Gill Sans MT"/>
          <w:b/>
          <w:sz w:val="22"/>
          <w:szCs w:val="22"/>
        </w:rPr>
        <w:t>720</w:t>
      </w:r>
      <w:r w:rsidRPr="003D63EE">
        <w:rPr>
          <w:rFonts w:ascii="Gill Sans MT" w:hAnsi="Gill Sans MT"/>
          <w:b/>
          <w:sz w:val="22"/>
          <w:szCs w:val="22"/>
        </w:rPr>
        <w:t>,- Kč/MWh</w:t>
      </w:r>
      <w:r w:rsidRPr="003D63EE">
        <w:rPr>
          <w:rFonts w:ascii="Gill Sans MT" w:hAnsi="Gill Sans MT"/>
          <w:b/>
          <w:bCs/>
          <w:sz w:val="22"/>
          <w:szCs w:val="22"/>
        </w:rPr>
        <w:t>.</w:t>
      </w:r>
      <w:r w:rsidRPr="003D63EE">
        <w:rPr>
          <w:rFonts w:ascii="Gill Sans MT" w:hAnsi="Gill Sans MT"/>
          <w:sz w:val="22"/>
          <w:szCs w:val="22"/>
        </w:rPr>
        <w:t xml:space="preserve"> Cena neobsahuje daň ze zemního plynu, ostatní daně a poplatky, nezahrnuje regulované platby za distribuci, platby operátora trhu s plynem a obdobné poplatky, které je Obchodník oprávněn k ceně připočítat v souladu se Smlouvou a obecně závaznými právními předpisy.</w:t>
      </w:r>
    </w:p>
    <w:p w14:paraId="69F2D961" w14:textId="77777777" w:rsidR="00BD1C03" w:rsidRDefault="00BD1C03" w:rsidP="00BD1C03">
      <w:pPr>
        <w:widowControl w:val="0"/>
        <w:jc w:val="both"/>
        <w:rPr>
          <w:rFonts w:ascii="Gill Sans MT" w:hAnsi="Gill Sans MT"/>
          <w:sz w:val="22"/>
          <w:szCs w:val="22"/>
        </w:rPr>
      </w:pPr>
    </w:p>
    <w:p w14:paraId="0C378AC4" w14:textId="77777777" w:rsidR="00603CB8" w:rsidRPr="006A41D3" w:rsidRDefault="00603CB8" w:rsidP="003D63EE">
      <w:pPr>
        <w:widowControl w:val="0"/>
        <w:rPr>
          <w:rFonts w:ascii="Gill Sans MT" w:hAnsi="Gill Sans MT"/>
          <w:bCs/>
          <w:sz w:val="22"/>
          <w:szCs w:val="22"/>
        </w:rPr>
      </w:pPr>
    </w:p>
    <w:p w14:paraId="0A68A309" w14:textId="635A4D64" w:rsidR="002A618A" w:rsidRPr="003D63EE" w:rsidRDefault="00973CFB" w:rsidP="003D63EE">
      <w:pPr>
        <w:widowControl w:val="0"/>
        <w:jc w:val="both"/>
        <w:rPr>
          <w:rFonts w:ascii="Gill Sans MT" w:hAnsi="Gill Sans MT"/>
          <w:bCs/>
          <w:sz w:val="22"/>
          <w:szCs w:val="22"/>
        </w:rPr>
      </w:pPr>
      <w:r w:rsidRPr="003D63EE">
        <w:rPr>
          <w:rFonts w:ascii="Gill Sans MT" w:hAnsi="Gill Sans MT"/>
          <w:bCs/>
          <w:sz w:val="22"/>
          <w:szCs w:val="22"/>
        </w:rPr>
        <w:t xml:space="preserve">Bude-li dodávka plynu do odběrného místa Zákazníka v průběhu Cenového období zatížena Emisní povinností, připočte se k Ceně za dodávku plynu stanovené dle této Přílohy B po příslušné Cenové období tržní cena </w:t>
      </w:r>
      <w:r w:rsidRPr="003D63EE">
        <w:rPr>
          <w:rFonts w:ascii="Gill Sans MT" w:hAnsi="Gill Sans MT"/>
          <w:b/>
          <w:sz w:val="22"/>
          <w:szCs w:val="22"/>
        </w:rPr>
        <w:t>Cena EP</w:t>
      </w:r>
      <w:r w:rsidRPr="003D63EE">
        <w:rPr>
          <w:rFonts w:ascii="Gill Sans MT" w:hAnsi="Gill Sans MT"/>
          <w:bCs/>
          <w:sz w:val="22"/>
          <w:szCs w:val="22"/>
        </w:rPr>
        <w:t>, jejíž výše a způsob výpočtu je blíže stanoven v této Příloze B – Způsob stanovení emisních nákladů, která je nedílnou součástí této Smlouvy.</w:t>
      </w:r>
    </w:p>
    <w:p w14:paraId="7B9B1EC5" w14:textId="77777777" w:rsidR="00973CFB" w:rsidRPr="006A41D3" w:rsidRDefault="00973CFB" w:rsidP="006A41D3">
      <w:pPr>
        <w:pStyle w:val="Odstavecseseznamem"/>
        <w:rPr>
          <w:rFonts w:ascii="Gill Sans MT" w:hAnsi="Gill Sans MT"/>
          <w:bCs/>
          <w:sz w:val="22"/>
          <w:szCs w:val="22"/>
        </w:rPr>
      </w:pPr>
    </w:p>
    <w:p w14:paraId="4555AB77" w14:textId="24D38C39" w:rsidR="009F0411" w:rsidRPr="00C5038C" w:rsidRDefault="009F0411" w:rsidP="009F0411">
      <w:pPr>
        <w:widowControl w:val="0"/>
        <w:jc w:val="center"/>
        <w:rPr>
          <w:rFonts w:ascii="Gill Sans MT" w:hAnsi="Gill Sans MT"/>
          <w:b/>
          <w:sz w:val="22"/>
          <w:szCs w:val="22"/>
        </w:rPr>
      </w:pPr>
      <w:r>
        <w:rPr>
          <w:rFonts w:ascii="Gill Sans MT" w:hAnsi="Gill Sans MT"/>
          <w:b/>
          <w:sz w:val="22"/>
          <w:szCs w:val="22"/>
        </w:rPr>
        <w:t xml:space="preserve">Způsob stanovení výše Emisních nákladů </w:t>
      </w:r>
      <w:r w:rsidR="00880458">
        <w:rPr>
          <w:rFonts w:ascii="Gill Sans MT" w:hAnsi="Gill Sans MT"/>
          <w:b/>
          <w:sz w:val="22"/>
          <w:szCs w:val="22"/>
        </w:rPr>
        <w:t>na plnění Emisní povinnosti</w:t>
      </w:r>
    </w:p>
    <w:p w14:paraId="0E312D9F" w14:textId="77777777" w:rsidR="009F0411" w:rsidRPr="00603CB8" w:rsidRDefault="009F0411" w:rsidP="00603CB8">
      <w:pPr>
        <w:widowControl w:val="0"/>
        <w:jc w:val="both"/>
        <w:rPr>
          <w:rFonts w:ascii="Gill Sans MT" w:hAnsi="Gill Sans MT"/>
          <w:sz w:val="22"/>
          <w:szCs w:val="22"/>
        </w:rPr>
      </w:pPr>
    </w:p>
    <w:p w14:paraId="64CBB29F" w14:textId="283E4A07" w:rsidR="00C23BD4" w:rsidRDefault="004427A8" w:rsidP="00C23BD4">
      <w:pPr>
        <w:numPr>
          <w:ilvl w:val="0"/>
          <w:numId w:val="12"/>
        </w:numPr>
        <w:spacing w:before="120" w:line="276" w:lineRule="auto"/>
        <w:ind w:left="426" w:hanging="426"/>
        <w:jc w:val="both"/>
        <w:rPr>
          <w:rFonts w:ascii="Gill Sans MT" w:hAnsi="Gill Sans MT"/>
          <w:sz w:val="22"/>
          <w:szCs w:val="22"/>
        </w:rPr>
      </w:pPr>
      <w:r w:rsidRPr="008160BB">
        <w:rPr>
          <w:rFonts w:ascii="Gill Sans MT" w:hAnsi="Gill Sans MT"/>
          <w:sz w:val="22"/>
          <w:szCs w:val="22"/>
        </w:rPr>
        <w:t xml:space="preserve">Nebude-li právními předpisy stanoveno jinak má </w:t>
      </w:r>
      <w:r w:rsidR="00296BEA" w:rsidRPr="00B97F60">
        <w:rPr>
          <w:rFonts w:ascii="Gill Sans MT" w:hAnsi="Gill Sans MT"/>
          <w:sz w:val="22"/>
          <w:szCs w:val="22"/>
        </w:rPr>
        <w:t>Obchodník od 1.1.2027 nově povin</w:t>
      </w:r>
      <w:r w:rsidR="006A41D3">
        <w:rPr>
          <w:rFonts w:ascii="Gill Sans MT" w:hAnsi="Gill Sans MT"/>
          <w:sz w:val="22"/>
          <w:szCs w:val="22"/>
        </w:rPr>
        <w:t>nost</w:t>
      </w:r>
      <w:r w:rsidR="00296BEA" w:rsidRPr="00B97F60">
        <w:rPr>
          <w:rFonts w:ascii="Gill Sans MT" w:hAnsi="Gill Sans MT"/>
          <w:sz w:val="22"/>
          <w:szCs w:val="22"/>
        </w:rPr>
        <w:t xml:space="preserve"> v souladu se Směrnicí ETS2 na plyn, používaný ke spalování a dodávaný koncovým zákazníkům pro Relevantní činnosti, nakupovat a následně v souvislosti s dodávkou plynu vyřazovat Emisní povolenky („</w:t>
      </w:r>
      <w:r w:rsidR="00296BEA" w:rsidRPr="00B97F60">
        <w:rPr>
          <w:rFonts w:ascii="Gill Sans MT" w:hAnsi="Gill Sans MT"/>
          <w:b/>
          <w:bCs/>
          <w:sz w:val="22"/>
          <w:szCs w:val="22"/>
        </w:rPr>
        <w:t>Emisní povinnost</w:t>
      </w:r>
      <w:r w:rsidR="00296BEA" w:rsidRPr="00B97F60">
        <w:rPr>
          <w:rFonts w:ascii="Gill Sans MT" w:hAnsi="Gill Sans MT"/>
          <w:sz w:val="22"/>
          <w:szCs w:val="22"/>
        </w:rPr>
        <w:t xml:space="preserve">“). V souvislosti s plněním Emisní povinnosti vzniknou Obchodníkovi náklady, které nejsou ke dni uzavření </w:t>
      </w:r>
      <w:r w:rsidR="00880458" w:rsidRPr="00B97F60">
        <w:rPr>
          <w:rFonts w:ascii="Gill Sans MT" w:hAnsi="Gill Sans MT"/>
          <w:sz w:val="22"/>
          <w:szCs w:val="22"/>
        </w:rPr>
        <w:t xml:space="preserve">Smlouvy zahrnuty v ceně za dodávku plynu </w:t>
      </w:r>
      <w:r w:rsidR="00296BEA" w:rsidRPr="00B97F60">
        <w:rPr>
          <w:rFonts w:ascii="Gill Sans MT" w:hAnsi="Gill Sans MT"/>
          <w:sz w:val="22"/>
          <w:szCs w:val="22"/>
        </w:rPr>
        <w:t>dle čl. IV.</w:t>
      </w:r>
      <w:r w:rsidR="006A41D3">
        <w:rPr>
          <w:rFonts w:ascii="Gill Sans MT" w:hAnsi="Gill Sans MT"/>
          <w:sz w:val="22"/>
          <w:szCs w:val="22"/>
        </w:rPr>
        <w:t>,</w:t>
      </w:r>
      <w:r w:rsidR="00296BEA" w:rsidRPr="00B97F60">
        <w:rPr>
          <w:rFonts w:ascii="Gill Sans MT" w:hAnsi="Gill Sans MT"/>
          <w:sz w:val="22"/>
          <w:szCs w:val="22"/>
        </w:rPr>
        <w:t xml:space="preserve"> odst. </w:t>
      </w:r>
      <w:proofErr w:type="gramStart"/>
      <w:r w:rsidR="00296BEA" w:rsidRPr="00B97F60">
        <w:rPr>
          <w:rFonts w:ascii="Gill Sans MT" w:hAnsi="Gill Sans MT"/>
          <w:sz w:val="22"/>
          <w:szCs w:val="22"/>
        </w:rPr>
        <w:t>1  a</w:t>
      </w:r>
      <w:proofErr w:type="gramEnd"/>
      <w:r w:rsidR="00296BEA" w:rsidRPr="00B97F60">
        <w:rPr>
          <w:rFonts w:ascii="Gill Sans MT" w:hAnsi="Gill Sans MT"/>
          <w:sz w:val="22"/>
          <w:szCs w:val="22"/>
        </w:rPr>
        <w:t>) Smlouvy. Dle dohody Smluvních stran budou tyto náklady zohledněny v Ceně EP</w:t>
      </w:r>
      <w:r w:rsidR="00880458" w:rsidRPr="00B97F60">
        <w:rPr>
          <w:rFonts w:ascii="Gill Sans MT" w:hAnsi="Gill Sans MT"/>
          <w:sz w:val="22"/>
          <w:szCs w:val="22"/>
        </w:rPr>
        <w:t>, která po zavedení ETS2 bude tvořit složku ceny dle článku IV.</w:t>
      </w:r>
      <w:r w:rsidR="006A41D3">
        <w:rPr>
          <w:rFonts w:ascii="Gill Sans MT" w:hAnsi="Gill Sans MT"/>
          <w:sz w:val="22"/>
          <w:szCs w:val="22"/>
        </w:rPr>
        <w:t>,</w:t>
      </w:r>
      <w:r w:rsidR="00880458" w:rsidRPr="00B97F60">
        <w:rPr>
          <w:rFonts w:ascii="Gill Sans MT" w:hAnsi="Gill Sans MT"/>
          <w:sz w:val="22"/>
          <w:szCs w:val="22"/>
        </w:rPr>
        <w:t xml:space="preserve"> </w:t>
      </w:r>
      <w:r w:rsidR="00295C8A">
        <w:rPr>
          <w:rFonts w:ascii="Gill Sans MT" w:hAnsi="Gill Sans MT"/>
          <w:sz w:val="22"/>
          <w:szCs w:val="22"/>
        </w:rPr>
        <w:t xml:space="preserve">odst. 1 </w:t>
      </w:r>
      <w:r w:rsidR="00C23BD4">
        <w:rPr>
          <w:rFonts w:ascii="Gill Sans MT" w:hAnsi="Gill Sans MT"/>
          <w:sz w:val="22"/>
          <w:szCs w:val="22"/>
        </w:rPr>
        <w:t>c</w:t>
      </w:r>
      <w:r w:rsidR="004874ED" w:rsidRPr="00B97F60">
        <w:rPr>
          <w:rFonts w:ascii="Gill Sans MT" w:hAnsi="Gill Sans MT"/>
          <w:sz w:val="22"/>
          <w:szCs w:val="22"/>
        </w:rPr>
        <w:t xml:space="preserve">) </w:t>
      </w:r>
      <w:r w:rsidR="00880458" w:rsidRPr="00B97F60">
        <w:rPr>
          <w:rFonts w:ascii="Gill Sans MT" w:hAnsi="Gill Sans MT"/>
          <w:sz w:val="22"/>
          <w:szCs w:val="22"/>
        </w:rPr>
        <w:t>Smlouvy</w:t>
      </w:r>
      <w:r w:rsidR="00296BEA" w:rsidRPr="00B97F60">
        <w:rPr>
          <w:rFonts w:ascii="Gill Sans MT" w:hAnsi="Gill Sans MT"/>
          <w:sz w:val="22"/>
          <w:szCs w:val="22"/>
        </w:rPr>
        <w:t xml:space="preserve">. </w:t>
      </w:r>
    </w:p>
    <w:p w14:paraId="398B2182" w14:textId="2EF76ADF" w:rsidR="004427A8" w:rsidRPr="006A41D3" w:rsidRDefault="004427A8" w:rsidP="00C23BD4">
      <w:pPr>
        <w:numPr>
          <w:ilvl w:val="0"/>
          <w:numId w:val="12"/>
        </w:numPr>
        <w:spacing w:before="120" w:line="276" w:lineRule="auto"/>
        <w:ind w:left="426" w:hanging="426"/>
        <w:jc w:val="both"/>
        <w:rPr>
          <w:rFonts w:ascii="Gill Sans MT" w:hAnsi="Gill Sans MT"/>
          <w:sz w:val="22"/>
          <w:szCs w:val="22"/>
        </w:rPr>
      </w:pPr>
      <w:r w:rsidRPr="006A41D3">
        <w:rPr>
          <w:rFonts w:ascii="Gill Sans MT" w:eastAsia="Calibri" w:hAnsi="Gill Sans MT"/>
          <w:sz w:val="22"/>
          <w:szCs w:val="22"/>
        </w:rPr>
        <w:lastRenderedPageBreak/>
        <w:t xml:space="preserve">Obchodník Cenu EP vypočte v rámci vyúčtování dodávky plynu podle následujících pravidel zohledňujících tržní vývoj ceny Emisních povolenek ETS2. Cena EP pro 1 MWh plynu pro konkrétní den d bude stanovena podle vzorce: </w:t>
      </w:r>
    </w:p>
    <w:p w14:paraId="299139CA" w14:textId="77777777" w:rsidR="004427A8" w:rsidRPr="008160BB" w:rsidRDefault="00000000" w:rsidP="006A41D3">
      <w:pPr>
        <w:spacing w:before="120" w:line="276" w:lineRule="auto"/>
        <w:ind w:left="426" w:hanging="426"/>
        <w:jc w:val="both"/>
        <w:rPr>
          <w:rFonts w:ascii="Gill Sans MT" w:hAnsi="Gill Sans MT"/>
          <w:sz w:val="22"/>
          <w:szCs w:val="22"/>
        </w:rPr>
      </w:pPr>
      <m:oMath>
        <m:sSub>
          <m:sSubPr>
            <m:ctrlPr>
              <w:rPr>
                <w:rFonts w:ascii="Cambria Math" w:hAnsi="Cambria Math"/>
                <w:sz w:val="22"/>
                <w:szCs w:val="22"/>
              </w:rPr>
            </m:ctrlPr>
          </m:sSubPr>
          <m:e>
            <m:r>
              <w:rPr>
                <w:rFonts w:ascii="Cambria Math" w:hAnsi="Cambria Math"/>
                <w:sz w:val="22"/>
                <w:szCs w:val="22"/>
              </w:rPr>
              <m:t>Cena</m:t>
            </m:r>
            <m:r>
              <m:rPr>
                <m:sty m:val="p"/>
              </m:rPr>
              <w:rPr>
                <w:rFonts w:ascii="Cambria Math" w:hAnsi="Cambria Math"/>
                <w:sz w:val="22"/>
                <w:szCs w:val="22"/>
              </w:rPr>
              <m:t xml:space="preserve"> </m:t>
            </m:r>
            <m:r>
              <w:rPr>
                <w:rFonts w:ascii="Cambria Math" w:hAnsi="Cambria Math"/>
                <w:sz w:val="22"/>
                <w:szCs w:val="22"/>
              </w:rPr>
              <m:t>EP</m:t>
            </m:r>
          </m:e>
          <m:sub>
            <m:r>
              <w:rPr>
                <w:rFonts w:ascii="Cambria Math" w:hAnsi="Cambria Math"/>
                <w:sz w:val="22"/>
                <w:szCs w:val="22"/>
              </w:rPr>
              <m:t>d</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DCEP</m:t>
            </m:r>
          </m:e>
          <m:sub>
            <m:r>
              <w:rPr>
                <w:rFonts w:ascii="Cambria Math" w:hAnsi="Cambria Math"/>
                <w:sz w:val="22"/>
                <w:szCs w:val="22"/>
              </w:rPr>
              <m:t>d</m:t>
            </m:r>
          </m:sub>
        </m:sSub>
        <m:r>
          <m:rPr>
            <m:sty m:val="p"/>
          </m:rPr>
          <w:rPr>
            <w:rFonts w:ascii="Cambria Math" w:hAnsi="Cambria Math"/>
            <w:sz w:val="22"/>
            <w:szCs w:val="22"/>
          </w:rPr>
          <m:t>×</m:t>
        </m:r>
        <m:r>
          <w:rPr>
            <w:rFonts w:ascii="Cambria Math" w:hAnsi="Cambria Math"/>
            <w:sz w:val="22"/>
            <w:szCs w:val="22"/>
          </w:rPr>
          <m:t>EF</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DK</m:t>
            </m:r>
          </m:e>
          <m:sub>
            <m:r>
              <w:rPr>
                <w:rFonts w:ascii="Cambria Math" w:hAnsi="Cambria Math"/>
                <w:sz w:val="22"/>
                <w:szCs w:val="22"/>
              </w:rPr>
              <m:t>d</m:t>
            </m:r>
          </m:sub>
        </m:sSub>
      </m:oMath>
      <w:r w:rsidR="004427A8" w:rsidRPr="008160BB">
        <w:rPr>
          <w:rFonts w:ascii="Gill Sans MT" w:hAnsi="Gill Sans MT"/>
          <w:sz w:val="22"/>
          <w:szCs w:val="22"/>
        </w:rPr>
        <w:t xml:space="preserve"> </w:t>
      </w:r>
    </w:p>
    <w:p w14:paraId="4362D1C0" w14:textId="77777777" w:rsidR="004427A8" w:rsidRPr="008160BB" w:rsidRDefault="004427A8" w:rsidP="006A41D3">
      <w:pPr>
        <w:pStyle w:val="Odstavecseseznamem"/>
        <w:numPr>
          <w:ilvl w:val="0"/>
          <w:numId w:val="19"/>
        </w:numPr>
        <w:spacing w:before="120" w:line="276" w:lineRule="auto"/>
        <w:ind w:left="426" w:hanging="426"/>
        <w:jc w:val="both"/>
        <w:rPr>
          <w:rFonts w:ascii="Gill Sans MT" w:hAnsi="Gill Sans MT"/>
          <w:sz w:val="22"/>
          <w:szCs w:val="22"/>
        </w:rPr>
      </w:pPr>
      <w:r w:rsidRPr="008160BB">
        <w:rPr>
          <w:rFonts w:ascii="Gill Sans MT" w:hAnsi="Gill Sans MT"/>
          <w:b/>
          <w:bCs/>
          <w:i/>
          <w:iCs/>
          <w:sz w:val="22"/>
          <w:szCs w:val="22"/>
        </w:rPr>
        <w:t>d</w:t>
      </w:r>
      <w:r w:rsidRPr="008160BB">
        <w:rPr>
          <w:rFonts w:ascii="Gill Sans MT" w:hAnsi="Gill Sans MT"/>
          <w:sz w:val="22"/>
          <w:szCs w:val="22"/>
        </w:rPr>
        <w:t xml:space="preserve"> je den dodávky;</w:t>
      </w:r>
    </w:p>
    <w:p w14:paraId="411584A6" w14:textId="77777777" w:rsidR="004427A8" w:rsidRPr="008160BB" w:rsidRDefault="004427A8" w:rsidP="006A41D3">
      <w:pPr>
        <w:pStyle w:val="Odstavecseseznamem"/>
        <w:numPr>
          <w:ilvl w:val="0"/>
          <w:numId w:val="19"/>
        </w:numPr>
        <w:spacing w:before="120" w:line="276" w:lineRule="auto"/>
        <w:ind w:left="426" w:hanging="426"/>
        <w:jc w:val="both"/>
        <w:rPr>
          <w:rFonts w:ascii="Gill Sans MT" w:hAnsi="Gill Sans MT"/>
          <w:sz w:val="22"/>
          <w:szCs w:val="22"/>
        </w:rPr>
      </w:pPr>
      <w:r w:rsidRPr="00463314">
        <w:rPr>
          <w:rFonts w:ascii="Gill Sans MT" w:hAnsi="Gill Sans MT"/>
          <w:b/>
          <w:bCs/>
          <w:i/>
          <w:iCs/>
        </w:rPr>
        <w:t>DCEP</w:t>
      </w:r>
      <w:r w:rsidRPr="00463314">
        <w:rPr>
          <w:rFonts w:ascii="Gill Sans MT" w:hAnsi="Gill Sans MT"/>
          <w:i/>
          <w:iCs/>
          <w:vertAlign w:val="subscript"/>
        </w:rPr>
        <w:t>d</w:t>
      </w:r>
      <w:r w:rsidRPr="008160BB">
        <w:rPr>
          <w:rFonts w:ascii="Gill Sans MT" w:hAnsi="Gill Sans MT"/>
          <w:i/>
          <w:iCs/>
          <w:sz w:val="22"/>
          <w:szCs w:val="22"/>
        </w:rPr>
        <w:t xml:space="preserve"> </w:t>
      </w:r>
      <w:r w:rsidRPr="008160BB">
        <w:rPr>
          <w:rFonts w:ascii="Gill Sans MT" w:hAnsi="Gill Sans MT"/>
          <w:sz w:val="22"/>
          <w:szCs w:val="22"/>
        </w:rPr>
        <w:t>je jednotková cena na pořízení jedné Emisní povolenky ETS2 v EUR ke dni d, která je stanovena jako závěrečná denní cena na pořízení Emisní povolenky ETS2 na European Energy Exchange AG na krátkodobém trhu s Emisními povolenkami ETS2 (s označením „Spot“),  případně na jiném Obchodníkem označeném trhu s Emisními povolenkami ETS2 se sídlem v členském státu Evropské unie (dále jen „Trh s povolenkami“), pokud výše uvedený trh na European Energy Exchange AG nevznikne do 25. kalendářního dne po spuštění ETS2. Pro den pracovního klidu či státního svátku nebo jiný den d, kdy není závěrečná denní cena k dispozici, se použije závěrečná denní cena stanovená pro pracovní den bezprostředně předcházející dni d (pro který je závěrečná denní cena k dispozici). V případě, že pro příslušný den d nejsou hodnoty na pořízení Emisní povolenky ETS2 na trhu s povolenkami dostupné z důvodu neexistence trhu s Emisními povolenkami ETS2, použije se hodnota z nejbližšího následujícího dostupného data (pro který závěrečná denní cena bude k dispozici);</w:t>
      </w:r>
    </w:p>
    <w:p w14:paraId="718E9C3C" w14:textId="3D341905" w:rsidR="004427A8" w:rsidRPr="008160BB" w:rsidRDefault="004427A8" w:rsidP="006A41D3">
      <w:pPr>
        <w:pStyle w:val="Odstavecseseznamem"/>
        <w:numPr>
          <w:ilvl w:val="0"/>
          <w:numId w:val="19"/>
        </w:numPr>
        <w:spacing w:before="120" w:line="276" w:lineRule="auto"/>
        <w:ind w:left="426" w:hanging="426"/>
        <w:jc w:val="both"/>
        <w:rPr>
          <w:rFonts w:ascii="Gill Sans MT" w:hAnsi="Gill Sans MT"/>
          <w:sz w:val="22"/>
          <w:szCs w:val="22"/>
        </w:rPr>
      </w:pPr>
      <w:r w:rsidRPr="008160BB">
        <w:rPr>
          <w:rFonts w:ascii="Gill Sans MT" w:hAnsi="Gill Sans MT"/>
          <w:b/>
          <w:bCs/>
          <w:i/>
          <w:iCs/>
          <w:sz w:val="22"/>
          <w:szCs w:val="22"/>
        </w:rPr>
        <w:t>EF</w:t>
      </w:r>
      <w:r w:rsidRPr="008160BB">
        <w:rPr>
          <w:rFonts w:ascii="Gill Sans MT" w:hAnsi="Gill Sans MT"/>
          <w:b/>
          <w:bCs/>
          <w:sz w:val="22"/>
          <w:szCs w:val="22"/>
        </w:rPr>
        <w:t xml:space="preserve"> </w:t>
      </w:r>
      <w:r w:rsidRPr="008160BB">
        <w:rPr>
          <w:rFonts w:ascii="Gill Sans MT" w:hAnsi="Gill Sans MT"/>
          <w:sz w:val="22"/>
          <w:szCs w:val="22"/>
        </w:rPr>
        <w:t>je emisní faktor, kterým se rozumí průměrná míra emisí skleníkového plynu uvolňovaná do ovzduší vůči spalnému teplu plynu vzhledem k údajům o činnosti palivového toku za předpokladu úplné oxidace při spalování. Výše EF bude stanoven vždy v souladu s platnou legislativou určující výši vyřazovaných povolenek pro dané období za jednotku energie spalného tepla plynu, zejména pak národními hodnotami pro EU ETS zveřejněnými a aktualizovanými Českým hydrometeorologickým ústavem pod názvem – Národní hodnoty EF, výhřevností a oxidačních faktorů po přepočtu na spalné teplo plynu; Pro orientační výpočty se jedná o 0,18 t CO2/MWh spalného tepla plynu</w:t>
      </w:r>
      <w:r w:rsidR="006A41D3">
        <w:rPr>
          <w:rFonts w:ascii="Gill Sans MT" w:hAnsi="Gill Sans MT"/>
          <w:sz w:val="22"/>
          <w:szCs w:val="22"/>
        </w:rPr>
        <w:t>;</w:t>
      </w:r>
    </w:p>
    <w:p w14:paraId="070C9207" w14:textId="77777777" w:rsidR="004427A8" w:rsidRPr="008160BB" w:rsidRDefault="004427A8" w:rsidP="006A41D3">
      <w:pPr>
        <w:pStyle w:val="Odstavecseseznamem"/>
        <w:numPr>
          <w:ilvl w:val="0"/>
          <w:numId w:val="19"/>
        </w:numPr>
        <w:spacing w:before="120" w:line="276" w:lineRule="auto"/>
        <w:ind w:left="426" w:hanging="426"/>
        <w:jc w:val="both"/>
        <w:rPr>
          <w:rFonts w:ascii="Gill Sans MT" w:hAnsi="Gill Sans MT"/>
          <w:sz w:val="22"/>
          <w:szCs w:val="22"/>
        </w:rPr>
      </w:pPr>
      <w:r w:rsidRPr="00463314">
        <w:rPr>
          <w:rFonts w:ascii="Gill Sans MT" w:hAnsi="Gill Sans MT"/>
          <w:b/>
          <w:bCs/>
          <w:i/>
          <w:iCs/>
        </w:rPr>
        <w:t>DK</w:t>
      </w:r>
      <w:r w:rsidRPr="00463314">
        <w:rPr>
          <w:rFonts w:ascii="Gill Sans MT" w:hAnsi="Gill Sans MT"/>
          <w:b/>
          <w:bCs/>
          <w:i/>
          <w:iCs/>
          <w:vertAlign w:val="subscript"/>
        </w:rPr>
        <w:t>d</w:t>
      </w:r>
      <w:r w:rsidRPr="008160BB">
        <w:rPr>
          <w:rFonts w:ascii="Gill Sans MT" w:hAnsi="Gill Sans MT"/>
          <w:i/>
          <w:iCs/>
          <w:sz w:val="22"/>
          <w:szCs w:val="22"/>
        </w:rPr>
        <w:t xml:space="preserve"> </w:t>
      </w:r>
      <w:r w:rsidRPr="008160BB">
        <w:rPr>
          <w:rFonts w:ascii="Gill Sans MT" w:hAnsi="Gill Sans MT"/>
          <w:sz w:val="22"/>
          <w:szCs w:val="22"/>
        </w:rPr>
        <w:t>je devizový kurz CZK/EUR vyhlášený Českou národní bankou k danému dni d. V případě, že pro příslušný den d není hodnota směnného kurzu k dispozici, použije se hodnota z nejbližšího předcházejícího dostupného data. Hodnota směnného kurzu je veřejně dostupná na stránce (</w:t>
      </w:r>
      <w:hyperlink r:id="rId8" w:history="1">
        <w:r w:rsidRPr="008160BB">
          <w:rPr>
            <w:rFonts w:ascii="Gill Sans MT" w:hAnsi="Gill Sans MT"/>
            <w:sz w:val="22"/>
            <w:szCs w:val="22"/>
          </w:rPr>
          <w:t>http://www.cnb.cz</w:t>
        </w:r>
      </w:hyperlink>
      <w:r w:rsidRPr="008160BB">
        <w:rPr>
          <w:rFonts w:ascii="Gill Sans MT" w:hAnsi="Gill Sans MT"/>
          <w:sz w:val="22"/>
          <w:szCs w:val="22"/>
        </w:rPr>
        <w:t>).</w:t>
      </w:r>
    </w:p>
    <w:p w14:paraId="084ABD23" w14:textId="77777777" w:rsidR="004427A8" w:rsidRPr="008160BB" w:rsidRDefault="004427A8" w:rsidP="006A41D3">
      <w:pPr>
        <w:numPr>
          <w:ilvl w:val="0"/>
          <w:numId w:val="9"/>
        </w:numPr>
        <w:spacing w:before="120" w:line="276" w:lineRule="auto"/>
        <w:ind w:left="426" w:hanging="426"/>
        <w:jc w:val="both"/>
        <w:rPr>
          <w:rFonts w:ascii="Gill Sans MT" w:hAnsi="Gill Sans MT"/>
          <w:sz w:val="22"/>
          <w:szCs w:val="22"/>
        </w:rPr>
      </w:pPr>
      <w:r w:rsidRPr="008160BB">
        <w:rPr>
          <w:rFonts w:ascii="Gill Sans MT" w:hAnsi="Gill Sans MT"/>
          <w:sz w:val="22"/>
          <w:szCs w:val="22"/>
        </w:rPr>
        <w:t xml:space="preserve">Cena EP za zúčtovací období (anebo jeho část, dojde-li v jeho průběhu ke změně Ceny za dodávku plynu) bude Obchodníkem stanovena tak, aby zohledňovala průběh spotřeby plynu a vývoj ceny Emisních povolenek ETS2 v jednotlivých dnech </w:t>
      </w:r>
      <w:r w:rsidRPr="008160BB">
        <w:rPr>
          <w:rFonts w:ascii="Gill Sans MT" w:hAnsi="Gill Sans MT"/>
          <w:i/>
          <w:iCs/>
          <w:sz w:val="22"/>
          <w:szCs w:val="22"/>
        </w:rPr>
        <w:t>d</w:t>
      </w:r>
      <w:r w:rsidRPr="008160BB">
        <w:rPr>
          <w:rFonts w:ascii="Gill Sans MT" w:hAnsi="Gill Sans MT"/>
          <w:sz w:val="22"/>
          <w:szCs w:val="22"/>
        </w:rPr>
        <w:t xml:space="preserve"> (daného zúčtovacího období anebo jeho části), a to podle následujícího vzorce:  </w:t>
      </w:r>
    </w:p>
    <w:p w14:paraId="364689BC" w14:textId="77777777" w:rsidR="004427A8" w:rsidRPr="008160BB" w:rsidRDefault="004427A8" w:rsidP="006A41D3">
      <w:pPr>
        <w:pStyle w:val="Odstavecseseznamem"/>
        <w:numPr>
          <w:ilvl w:val="0"/>
          <w:numId w:val="20"/>
        </w:numPr>
        <w:spacing w:before="120" w:line="276" w:lineRule="auto"/>
        <w:ind w:left="426" w:firstLine="0"/>
        <w:jc w:val="both"/>
        <w:rPr>
          <w:rFonts w:ascii="Gill Sans MT" w:hAnsi="Gill Sans MT"/>
          <w:sz w:val="22"/>
          <w:szCs w:val="22"/>
        </w:rPr>
      </w:pPr>
      <w:r w:rsidRPr="008160BB">
        <w:rPr>
          <w:rFonts w:ascii="Gill Sans MT" w:hAnsi="Gill Sans MT"/>
          <w:sz w:val="22"/>
          <w:szCs w:val="22"/>
        </w:rPr>
        <w:t>Pro odběrné místo s neprůběhovým měřením</w:t>
      </w:r>
    </w:p>
    <w:p w14:paraId="68F99FB4" w14:textId="58A81DD0" w:rsidR="0010453C" w:rsidRPr="008160BB" w:rsidRDefault="00000000" w:rsidP="004427A8">
      <w:pPr>
        <w:spacing w:before="120" w:line="276" w:lineRule="auto"/>
        <w:ind w:left="426"/>
        <w:jc w:val="both"/>
        <w:rPr>
          <w:rFonts w:ascii="Gill Sans MT" w:hAnsi="Gill Sans MT"/>
          <w:sz w:val="22"/>
          <w:szCs w:val="22"/>
        </w:rPr>
      </w:pPr>
      <m:oMathPara>
        <m:oMathParaPr>
          <m:jc m:val="left"/>
        </m:oMathParaPr>
        <m:oMath>
          <m:sSub>
            <m:sSubPr>
              <m:ctrlPr>
                <w:rPr>
                  <w:rFonts w:ascii="Cambria Math" w:hAnsi="Cambria Math" w:cs="Arial"/>
                  <w:i/>
                  <w:iCs/>
                </w:rPr>
              </m:ctrlPr>
            </m:sSubPr>
            <m:e>
              <m:r>
                <w:rPr>
                  <w:rFonts w:ascii="Cambria Math" w:hAnsi="Cambria Math" w:cs="Arial"/>
                </w:rPr>
                <m:t>Cena EP</m:t>
              </m:r>
            </m:e>
            <m:sub>
              <m:r>
                <w:rPr>
                  <w:rFonts w:ascii="Cambria Math" w:hAnsi="Cambria Math" w:cs="Arial"/>
                </w:rPr>
                <m:t>o</m:t>
              </m:r>
            </m:sub>
          </m:sSub>
          <m:r>
            <w:rPr>
              <w:rFonts w:ascii="Cambria Math" w:hAnsi="Cambria Math" w:cs="Arial"/>
            </w:rPr>
            <m:t>=</m:t>
          </m:r>
          <m:f>
            <m:fPr>
              <m:ctrlPr>
                <w:rPr>
                  <w:rFonts w:ascii="Cambria Math" w:hAnsi="Cambria Math" w:cs="Arial"/>
                  <w:i/>
                  <w:iCs/>
                </w:rPr>
              </m:ctrlPr>
            </m:fPr>
            <m:num>
              <m:nary>
                <m:naryPr>
                  <m:chr m:val="∑"/>
                  <m:limLoc m:val="undOvr"/>
                  <m:ctrlPr>
                    <w:rPr>
                      <w:rFonts w:ascii="Cambria Math" w:hAnsi="Cambria Math" w:cs="Arial"/>
                      <w:i/>
                      <w:iCs/>
                    </w:rPr>
                  </m:ctrlPr>
                </m:naryPr>
                <m:sub>
                  <m:r>
                    <w:rPr>
                      <w:rFonts w:ascii="Cambria Math" w:hAnsi="Cambria Math" w:cs="Arial"/>
                    </w:rPr>
                    <m:t>oz</m:t>
                  </m:r>
                </m:sub>
                <m:sup>
                  <m:r>
                    <w:rPr>
                      <w:rFonts w:ascii="Cambria Math" w:hAnsi="Cambria Math" w:cs="Arial"/>
                    </w:rPr>
                    <m:t>ok</m:t>
                  </m:r>
                </m:sup>
                <m:e>
                  <m:sSub>
                    <m:sSubPr>
                      <m:ctrlPr>
                        <w:rPr>
                          <w:rFonts w:ascii="Cambria Math" w:hAnsi="Cambria Math" w:cs="Arial"/>
                          <w:i/>
                          <w:iCs/>
                        </w:rPr>
                      </m:ctrlPr>
                    </m:sSubPr>
                    <m:e>
                      <m:r>
                        <w:rPr>
                          <w:rFonts w:ascii="Cambria Math" w:hAnsi="Cambria Math" w:cs="Arial"/>
                        </w:rPr>
                        <m:t>Cena EP</m:t>
                      </m:r>
                    </m:e>
                    <m:sub>
                      <m:r>
                        <w:rPr>
                          <w:rFonts w:ascii="Cambria Math" w:hAnsi="Cambria Math" w:cs="Arial"/>
                        </w:rPr>
                        <m:t>d</m:t>
                      </m:r>
                    </m:sub>
                  </m:sSub>
                </m:e>
              </m:nary>
              <m:r>
                <w:rPr>
                  <w:rFonts w:ascii="Cambria Math" w:hAnsi="Cambria Math" w:cs="Arial"/>
                </w:rPr>
                <m:t>×</m:t>
              </m:r>
              <m:sSub>
                <m:sSubPr>
                  <m:ctrlPr>
                    <w:rPr>
                      <w:rFonts w:ascii="Cambria Math" w:hAnsi="Cambria Math" w:cs="Arial"/>
                      <w:i/>
                      <w:iCs/>
                    </w:rPr>
                  </m:ctrlPr>
                </m:sSubPr>
                <m:e>
                  <m:r>
                    <w:rPr>
                      <w:rFonts w:ascii="Cambria Math" w:hAnsi="Cambria Math" w:cs="Arial"/>
                    </w:rPr>
                    <m:t>TDD</m:t>
                  </m:r>
                </m:e>
                <m:sub>
                  <m:r>
                    <w:rPr>
                      <w:rFonts w:ascii="Cambria Math" w:hAnsi="Cambria Math" w:cs="Arial"/>
                    </w:rPr>
                    <m:t>d</m:t>
                  </m:r>
                </m:sub>
              </m:sSub>
            </m:num>
            <m:den>
              <m:nary>
                <m:naryPr>
                  <m:chr m:val="∑"/>
                  <m:limLoc m:val="undOvr"/>
                  <m:ctrlPr>
                    <w:rPr>
                      <w:rFonts w:ascii="Cambria Math" w:hAnsi="Cambria Math" w:cs="Arial"/>
                      <w:i/>
                      <w:iCs/>
                    </w:rPr>
                  </m:ctrlPr>
                </m:naryPr>
                <m:sub>
                  <m:r>
                    <w:rPr>
                      <w:rFonts w:ascii="Cambria Math" w:hAnsi="Cambria Math" w:cs="Arial"/>
                    </w:rPr>
                    <m:t>oz</m:t>
                  </m:r>
                </m:sub>
                <m:sup>
                  <m:r>
                    <w:rPr>
                      <w:rFonts w:ascii="Cambria Math" w:hAnsi="Cambria Math" w:cs="Arial"/>
                    </w:rPr>
                    <m:t>ok</m:t>
                  </m:r>
                </m:sup>
                <m:e>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TDD</m:t>
                          </m:r>
                        </m:e>
                        <m:sub>
                          <m:r>
                            <w:rPr>
                              <w:rFonts w:ascii="Cambria Math" w:hAnsi="Cambria Math" w:cs="Arial"/>
                            </w:rPr>
                            <m:t>d</m:t>
                          </m:r>
                        </m:sub>
                      </m:sSub>
                    </m:e>
                    <m:sub/>
                  </m:sSub>
                </m:e>
              </m:nary>
            </m:den>
          </m:f>
        </m:oMath>
      </m:oMathPara>
    </w:p>
    <w:p w14:paraId="745032D2" w14:textId="77777777" w:rsidR="004427A8" w:rsidRPr="008160BB" w:rsidRDefault="004427A8" w:rsidP="006A41D3">
      <w:pPr>
        <w:pStyle w:val="Odstavecseseznamem"/>
        <w:numPr>
          <w:ilvl w:val="0"/>
          <w:numId w:val="20"/>
        </w:numPr>
        <w:spacing w:before="120" w:line="276" w:lineRule="auto"/>
        <w:ind w:left="426" w:firstLine="0"/>
        <w:jc w:val="both"/>
        <w:rPr>
          <w:rFonts w:ascii="Gill Sans MT" w:hAnsi="Gill Sans MT"/>
          <w:sz w:val="22"/>
          <w:szCs w:val="22"/>
        </w:rPr>
      </w:pPr>
      <w:r w:rsidRPr="008160BB">
        <w:rPr>
          <w:rFonts w:ascii="Gill Sans MT" w:hAnsi="Gill Sans MT"/>
          <w:sz w:val="22"/>
          <w:szCs w:val="22"/>
        </w:rPr>
        <w:t>Pro odběrné místo s průběhovým měřením</w:t>
      </w:r>
    </w:p>
    <w:p w14:paraId="61EDAC98" w14:textId="48149B6B" w:rsidR="0010453C" w:rsidRPr="008160BB" w:rsidRDefault="00000000" w:rsidP="004427A8">
      <w:pPr>
        <w:spacing w:before="120" w:line="276" w:lineRule="auto"/>
        <w:ind w:left="426"/>
        <w:jc w:val="both"/>
        <w:rPr>
          <w:rFonts w:ascii="Gill Sans MT" w:hAnsi="Gill Sans MT"/>
          <w:sz w:val="22"/>
          <w:szCs w:val="22"/>
        </w:rPr>
      </w:pPr>
      <m:oMathPara>
        <m:oMathParaPr>
          <m:jc m:val="left"/>
        </m:oMathParaPr>
        <m:oMath>
          <m:sSub>
            <m:sSubPr>
              <m:ctrlPr>
                <w:rPr>
                  <w:rFonts w:ascii="Cambria Math" w:hAnsi="Cambria Math" w:cs="Arial"/>
                  <w:i/>
                  <w:iCs/>
                </w:rPr>
              </m:ctrlPr>
            </m:sSubPr>
            <m:e>
              <m:r>
                <w:rPr>
                  <w:rFonts w:ascii="Cambria Math" w:hAnsi="Cambria Math" w:cs="Arial"/>
                </w:rPr>
                <m:t>Cena EP</m:t>
              </m:r>
            </m:e>
            <m:sub>
              <m:r>
                <w:rPr>
                  <w:rFonts w:ascii="Cambria Math" w:hAnsi="Cambria Math" w:cs="Arial"/>
                </w:rPr>
                <m:t>o</m:t>
              </m:r>
            </m:sub>
          </m:sSub>
          <m:r>
            <w:rPr>
              <w:rFonts w:ascii="Cambria Math" w:hAnsi="Cambria Math" w:cs="Arial"/>
            </w:rPr>
            <m:t>=</m:t>
          </m:r>
          <m:f>
            <m:fPr>
              <m:ctrlPr>
                <w:rPr>
                  <w:rFonts w:ascii="Cambria Math" w:hAnsi="Cambria Math" w:cs="Arial"/>
                  <w:i/>
                  <w:iCs/>
                </w:rPr>
              </m:ctrlPr>
            </m:fPr>
            <m:num>
              <m:nary>
                <m:naryPr>
                  <m:chr m:val="∑"/>
                  <m:limLoc m:val="undOvr"/>
                  <m:ctrlPr>
                    <w:rPr>
                      <w:rFonts w:ascii="Cambria Math" w:hAnsi="Cambria Math" w:cs="Arial"/>
                      <w:i/>
                      <w:iCs/>
                    </w:rPr>
                  </m:ctrlPr>
                </m:naryPr>
                <m:sub>
                  <m:r>
                    <w:rPr>
                      <w:rFonts w:ascii="Cambria Math" w:hAnsi="Cambria Math" w:cs="Arial"/>
                    </w:rPr>
                    <m:t>oz</m:t>
                  </m:r>
                </m:sub>
                <m:sup>
                  <m:r>
                    <w:rPr>
                      <w:rFonts w:ascii="Cambria Math" w:hAnsi="Cambria Math" w:cs="Arial"/>
                    </w:rPr>
                    <m:t>ok</m:t>
                  </m:r>
                </m:sup>
                <m:e>
                  <m:sSub>
                    <m:sSubPr>
                      <m:ctrlPr>
                        <w:rPr>
                          <w:rFonts w:ascii="Cambria Math" w:hAnsi="Cambria Math" w:cs="Arial"/>
                          <w:i/>
                          <w:iCs/>
                        </w:rPr>
                      </m:ctrlPr>
                    </m:sSubPr>
                    <m:e>
                      <m:r>
                        <w:rPr>
                          <w:rFonts w:ascii="Cambria Math" w:hAnsi="Cambria Math" w:cs="Arial"/>
                        </w:rPr>
                        <m:t>Cena EP</m:t>
                      </m:r>
                    </m:e>
                    <m:sub>
                      <m:r>
                        <w:rPr>
                          <w:rFonts w:ascii="Cambria Math" w:hAnsi="Cambria Math" w:cs="Arial"/>
                        </w:rPr>
                        <m:t>d</m:t>
                      </m:r>
                    </m:sub>
                  </m:sSub>
                </m:e>
              </m:nary>
              <m:r>
                <w:rPr>
                  <w:rFonts w:ascii="Cambria Math" w:hAnsi="Cambria Math" w:cs="Arial"/>
                </w:rPr>
                <m:t>×</m:t>
              </m:r>
              <m:sSub>
                <m:sSubPr>
                  <m:ctrlPr>
                    <w:rPr>
                      <w:rFonts w:ascii="Cambria Math" w:hAnsi="Cambria Math" w:cs="Arial"/>
                      <w:i/>
                      <w:iCs/>
                    </w:rPr>
                  </m:ctrlPr>
                </m:sSubPr>
                <m:e>
                  <m:r>
                    <w:rPr>
                      <w:rFonts w:ascii="Cambria Math" w:hAnsi="Cambria Math" w:cs="Arial"/>
                    </w:rPr>
                    <m:t>DP</m:t>
                  </m:r>
                </m:e>
                <m:sub>
                  <m:r>
                    <w:rPr>
                      <w:rFonts w:ascii="Cambria Math" w:hAnsi="Cambria Math" w:cs="Arial"/>
                    </w:rPr>
                    <m:t>d</m:t>
                  </m:r>
                </m:sub>
              </m:sSub>
            </m:num>
            <m:den>
              <m:nary>
                <m:naryPr>
                  <m:chr m:val="∑"/>
                  <m:limLoc m:val="undOvr"/>
                  <m:ctrlPr>
                    <w:rPr>
                      <w:rFonts w:ascii="Cambria Math" w:hAnsi="Cambria Math" w:cs="Arial"/>
                      <w:i/>
                      <w:iCs/>
                    </w:rPr>
                  </m:ctrlPr>
                </m:naryPr>
                <m:sub>
                  <m:r>
                    <w:rPr>
                      <w:rFonts w:ascii="Cambria Math" w:hAnsi="Cambria Math" w:cs="Arial"/>
                    </w:rPr>
                    <m:t>oz</m:t>
                  </m:r>
                </m:sub>
                <m:sup>
                  <m:r>
                    <w:rPr>
                      <w:rFonts w:ascii="Cambria Math" w:hAnsi="Cambria Math" w:cs="Arial"/>
                    </w:rPr>
                    <m:t>ok</m:t>
                  </m:r>
                </m:sup>
                <m:e>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DP</m:t>
                          </m:r>
                        </m:e>
                        <m:sub>
                          <m:r>
                            <w:rPr>
                              <w:rFonts w:ascii="Cambria Math" w:hAnsi="Cambria Math" w:cs="Arial"/>
                            </w:rPr>
                            <m:t>d</m:t>
                          </m:r>
                        </m:sub>
                      </m:sSub>
                    </m:e>
                    <m:sub/>
                  </m:sSub>
                </m:e>
              </m:nary>
            </m:den>
          </m:f>
        </m:oMath>
      </m:oMathPara>
    </w:p>
    <w:p w14:paraId="66A5B3CC" w14:textId="4146D37C" w:rsidR="004427A8" w:rsidRPr="008160BB" w:rsidRDefault="0010453C" w:rsidP="006A41D3">
      <w:pPr>
        <w:numPr>
          <w:ilvl w:val="0"/>
          <w:numId w:val="21"/>
        </w:numPr>
        <w:spacing w:before="120" w:line="276" w:lineRule="auto"/>
        <w:ind w:left="426" w:firstLine="0"/>
        <w:jc w:val="both"/>
        <w:rPr>
          <w:rFonts w:ascii="Gill Sans MT" w:hAnsi="Gill Sans MT"/>
          <w:sz w:val="22"/>
          <w:szCs w:val="22"/>
        </w:rPr>
      </w:pPr>
      <w:r>
        <w:rPr>
          <w:rFonts w:ascii="Arial" w:hAnsi="Arial" w:cs="Arial"/>
          <w:b/>
          <w:i/>
          <w:iCs/>
        </w:rPr>
        <w:t>Cena EP</w:t>
      </w:r>
      <w:r w:rsidRPr="00266242">
        <w:rPr>
          <w:rFonts w:ascii="Arial" w:hAnsi="Arial" w:cs="Arial"/>
          <w:b/>
          <w:i/>
          <w:iCs/>
          <w:vertAlign w:val="subscript"/>
        </w:rPr>
        <w:t>o</w:t>
      </w:r>
      <w:r w:rsidRPr="00BC7C3F">
        <w:rPr>
          <w:rFonts w:ascii="Arial" w:hAnsi="Arial" w:cs="Arial"/>
        </w:rPr>
        <w:t xml:space="preserve"> je </w:t>
      </w:r>
      <w:r>
        <w:rPr>
          <w:rFonts w:ascii="Arial" w:hAnsi="Arial" w:cs="Arial"/>
        </w:rPr>
        <w:t xml:space="preserve">Cena EP za </w:t>
      </w:r>
      <w:r w:rsidR="004427A8" w:rsidRPr="008160BB">
        <w:rPr>
          <w:rFonts w:ascii="Gill Sans MT" w:hAnsi="Gill Sans MT"/>
          <w:sz w:val="22"/>
          <w:szCs w:val="22"/>
        </w:rPr>
        <w:t>zúčtovací období anebo jeho část;</w:t>
      </w:r>
    </w:p>
    <w:p w14:paraId="7DEF9809" w14:textId="77777777" w:rsidR="004427A8" w:rsidRPr="008160BB" w:rsidRDefault="004427A8" w:rsidP="006A41D3">
      <w:pPr>
        <w:numPr>
          <w:ilvl w:val="0"/>
          <w:numId w:val="21"/>
        </w:numPr>
        <w:spacing w:before="120" w:line="276" w:lineRule="auto"/>
        <w:ind w:left="426" w:firstLine="0"/>
        <w:jc w:val="both"/>
        <w:rPr>
          <w:rFonts w:ascii="Gill Sans MT" w:hAnsi="Gill Sans MT"/>
          <w:sz w:val="22"/>
          <w:szCs w:val="22"/>
        </w:rPr>
      </w:pPr>
      <w:r w:rsidRPr="008160BB">
        <w:rPr>
          <w:rFonts w:ascii="Gill Sans MT" w:hAnsi="Gill Sans MT"/>
          <w:b/>
          <w:bCs/>
          <w:i/>
          <w:iCs/>
          <w:sz w:val="22"/>
          <w:szCs w:val="22"/>
        </w:rPr>
        <w:t>oz</w:t>
      </w:r>
      <w:r w:rsidRPr="008160BB">
        <w:rPr>
          <w:rFonts w:ascii="Gill Sans MT" w:hAnsi="Gill Sans MT"/>
          <w:sz w:val="22"/>
          <w:szCs w:val="22"/>
        </w:rPr>
        <w:t xml:space="preserve"> je první den d zúčtovacího období anebo jeho části;</w:t>
      </w:r>
    </w:p>
    <w:p w14:paraId="6BA885EE" w14:textId="77777777" w:rsidR="004427A8" w:rsidRPr="008160BB" w:rsidRDefault="004427A8" w:rsidP="006A41D3">
      <w:pPr>
        <w:numPr>
          <w:ilvl w:val="0"/>
          <w:numId w:val="21"/>
        </w:numPr>
        <w:spacing w:before="120" w:line="276" w:lineRule="auto"/>
        <w:ind w:left="426" w:firstLine="0"/>
        <w:jc w:val="both"/>
        <w:rPr>
          <w:rFonts w:ascii="Gill Sans MT" w:hAnsi="Gill Sans MT"/>
          <w:sz w:val="22"/>
          <w:szCs w:val="22"/>
        </w:rPr>
      </w:pPr>
      <w:r w:rsidRPr="008160BB">
        <w:rPr>
          <w:rFonts w:ascii="Gill Sans MT" w:hAnsi="Gill Sans MT"/>
          <w:b/>
          <w:bCs/>
          <w:i/>
          <w:iCs/>
          <w:sz w:val="22"/>
          <w:szCs w:val="22"/>
        </w:rPr>
        <w:t>ok</w:t>
      </w:r>
      <w:r w:rsidRPr="008160BB">
        <w:rPr>
          <w:rFonts w:ascii="Gill Sans MT" w:hAnsi="Gill Sans MT"/>
          <w:sz w:val="22"/>
          <w:szCs w:val="22"/>
        </w:rPr>
        <w:t xml:space="preserve"> je poslední den d zúčtovacího období anebo jeho části;</w:t>
      </w:r>
    </w:p>
    <w:p w14:paraId="3B26F49F" w14:textId="77777777" w:rsidR="004427A8" w:rsidRPr="008160BB" w:rsidRDefault="004427A8" w:rsidP="006A41D3">
      <w:pPr>
        <w:numPr>
          <w:ilvl w:val="0"/>
          <w:numId w:val="21"/>
        </w:numPr>
        <w:spacing w:before="120" w:line="276" w:lineRule="auto"/>
        <w:ind w:left="426" w:firstLine="0"/>
        <w:jc w:val="both"/>
        <w:rPr>
          <w:rFonts w:ascii="Gill Sans MT" w:hAnsi="Gill Sans MT"/>
          <w:sz w:val="22"/>
          <w:szCs w:val="22"/>
        </w:rPr>
      </w:pPr>
      <w:r w:rsidRPr="00463314">
        <w:rPr>
          <w:rFonts w:ascii="Gill Sans MT" w:hAnsi="Gill Sans MT"/>
          <w:b/>
          <w:bCs/>
          <w:i/>
          <w:iCs/>
        </w:rPr>
        <w:t>TDD</w:t>
      </w:r>
      <w:r w:rsidRPr="00463314">
        <w:rPr>
          <w:rFonts w:ascii="Gill Sans MT" w:hAnsi="Gill Sans MT"/>
          <w:i/>
          <w:iCs/>
          <w:vertAlign w:val="subscript"/>
        </w:rPr>
        <w:t>d</w:t>
      </w:r>
      <w:r w:rsidRPr="008160BB">
        <w:rPr>
          <w:rFonts w:ascii="Gill Sans MT" w:hAnsi="Gill Sans MT"/>
          <w:sz w:val="22"/>
          <w:szCs w:val="22"/>
        </w:rPr>
        <w:t xml:space="preserve"> je hodnota přepočítaného koeficientu typového diagramu dodávky pro daný den d v odběrném místě Zákazníka;</w:t>
      </w:r>
    </w:p>
    <w:p w14:paraId="608346A9" w14:textId="77777777" w:rsidR="004427A8" w:rsidRDefault="004427A8" w:rsidP="004427A8">
      <w:pPr>
        <w:numPr>
          <w:ilvl w:val="0"/>
          <w:numId w:val="21"/>
        </w:numPr>
        <w:spacing w:before="120" w:line="276" w:lineRule="auto"/>
        <w:ind w:left="426" w:firstLine="0"/>
        <w:jc w:val="both"/>
        <w:rPr>
          <w:rFonts w:ascii="Gill Sans MT" w:hAnsi="Gill Sans MT"/>
          <w:sz w:val="22"/>
          <w:szCs w:val="22"/>
        </w:rPr>
      </w:pPr>
      <w:r w:rsidRPr="00463314">
        <w:rPr>
          <w:rFonts w:ascii="Gill Sans MT" w:hAnsi="Gill Sans MT"/>
          <w:b/>
          <w:bCs/>
          <w:i/>
          <w:iCs/>
        </w:rPr>
        <w:t>DP</w:t>
      </w:r>
      <w:r w:rsidRPr="00463314">
        <w:rPr>
          <w:rFonts w:ascii="Gill Sans MT" w:hAnsi="Gill Sans MT"/>
          <w:b/>
          <w:bCs/>
          <w:i/>
          <w:iCs/>
          <w:vertAlign w:val="subscript"/>
        </w:rPr>
        <w:t>d</w:t>
      </w:r>
      <w:r w:rsidRPr="008160BB">
        <w:rPr>
          <w:rFonts w:ascii="Gill Sans MT" w:hAnsi="Gill Sans MT"/>
          <w:sz w:val="22"/>
          <w:szCs w:val="22"/>
        </w:rPr>
        <w:t xml:space="preserve"> je dodávka plynu v příslušném odběrném místě pro daný den d u odběrného místa s průběhovým měřením.</w:t>
      </w:r>
    </w:p>
    <w:p w14:paraId="5D1C449A" w14:textId="5809EAF1" w:rsidR="00296BEA" w:rsidRDefault="004427A8" w:rsidP="004427A8">
      <w:pPr>
        <w:pStyle w:val="Odstavecseseznamem"/>
        <w:numPr>
          <w:ilvl w:val="0"/>
          <w:numId w:val="9"/>
        </w:numPr>
        <w:spacing w:before="120" w:line="276" w:lineRule="auto"/>
        <w:ind w:left="426" w:hanging="426"/>
        <w:jc w:val="both"/>
        <w:rPr>
          <w:rFonts w:ascii="Gill Sans MT" w:hAnsi="Gill Sans MT"/>
          <w:sz w:val="22"/>
          <w:szCs w:val="22"/>
        </w:rPr>
      </w:pPr>
      <w:r w:rsidRPr="006A41D3">
        <w:rPr>
          <w:rFonts w:ascii="Gill Sans MT" w:hAnsi="Gill Sans MT"/>
          <w:sz w:val="22"/>
          <w:szCs w:val="22"/>
        </w:rPr>
        <w:lastRenderedPageBreak/>
        <w:t>Pro účely této Smlouvy se veškerý plyn dodaný Zákazníkovi považuje za plyn použitý ke spalování v rámci Relevantní činnosti, vyjma těch odběrných míst, kde Zákazník nejpozději 2 měsíce před započetím zúčtovacího období (nestanoví-li legislativa jinak), za které nemá být Cena EP uplatněna, doloží osvědčením či jiným dokumentem vydaným v souladu s příslušnými právními předpisy, že do daného odběrného místa dodávaný plyn je určený k jiné než Relevantní činnosti. Zákazník je povinen bez zbytečného odkladu informovat Obchodníka o jakékoliv změně účelu použití plynu. Nesplní-li Zákazník tuto informační povinnost, odpovídá Obchodníkovi za veškerou újmu způsobenou v souvislosti s porušením informační povinnosti</w:t>
      </w:r>
      <w:r w:rsidR="00296BEA" w:rsidRPr="006A41D3">
        <w:rPr>
          <w:rFonts w:ascii="Gill Sans MT" w:hAnsi="Gill Sans MT"/>
          <w:sz w:val="22"/>
          <w:szCs w:val="22"/>
        </w:rPr>
        <w:t xml:space="preserve">. </w:t>
      </w:r>
    </w:p>
    <w:p w14:paraId="72B453C8" w14:textId="77777777" w:rsidR="004427A8" w:rsidRPr="006A41D3" w:rsidRDefault="004427A8" w:rsidP="006A41D3">
      <w:pPr>
        <w:pStyle w:val="Odstavecseseznamem"/>
        <w:spacing w:before="120" w:line="276" w:lineRule="auto"/>
        <w:ind w:left="426"/>
        <w:jc w:val="both"/>
        <w:rPr>
          <w:rFonts w:ascii="Gill Sans MT" w:hAnsi="Gill Sans MT"/>
          <w:sz w:val="22"/>
          <w:szCs w:val="22"/>
        </w:rPr>
      </w:pPr>
    </w:p>
    <w:p w14:paraId="5E3F3D7B" w14:textId="6E48D08F" w:rsidR="006E36AC" w:rsidRPr="006A41D3" w:rsidRDefault="006E36AC" w:rsidP="006A41D3">
      <w:pPr>
        <w:pStyle w:val="Odstavecseseznamem"/>
        <w:widowControl w:val="0"/>
        <w:numPr>
          <w:ilvl w:val="0"/>
          <w:numId w:val="9"/>
        </w:numPr>
        <w:spacing w:before="120" w:line="276" w:lineRule="auto"/>
        <w:ind w:left="426" w:hanging="426"/>
        <w:jc w:val="both"/>
        <w:rPr>
          <w:rFonts w:ascii="Gill Sans MT" w:hAnsi="Gill Sans MT"/>
          <w:sz w:val="22"/>
          <w:szCs w:val="22"/>
        </w:rPr>
      </w:pPr>
      <w:r w:rsidRPr="006A41D3">
        <w:rPr>
          <w:rFonts w:ascii="Gill Sans MT" w:hAnsi="Gill Sans MT"/>
          <w:sz w:val="22"/>
          <w:szCs w:val="22"/>
        </w:rPr>
        <w:t xml:space="preserve">Smluvní strany berou na vědomí, že ke dni uzavření této Smlouvy nebyla Směrnice ETS2 implementována do českého právního řádu. V případě, kdy bude v důsledku implementace Směrnice ETS2 přijata právní úprava stanovující závaznou výši či formu přenášení nákladů na plnění Emisní povinnosti, odlišnou od Ceny EP sjednané v této Smlouvě, Obchodník promítne tuto právní úpravu </w:t>
      </w:r>
      <w:r w:rsidR="00A331C9" w:rsidRPr="006A41D3">
        <w:rPr>
          <w:rFonts w:ascii="Gill Sans MT" w:hAnsi="Gill Sans MT"/>
          <w:sz w:val="22"/>
          <w:szCs w:val="22"/>
        </w:rPr>
        <w:t xml:space="preserve">bez zbytečného prodlení </w:t>
      </w:r>
      <w:r w:rsidR="002A388E" w:rsidRPr="006A41D3">
        <w:rPr>
          <w:rFonts w:ascii="Gill Sans MT" w:hAnsi="Gill Sans MT"/>
          <w:sz w:val="22"/>
          <w:szCs w:val="22"/>
        </w:rPr>
        <w:t xml:space="preserve">po </w:t>
      </w:r>
      <w:r w:rsidRPr="006A41D3">
        <w:rPr>
          <w:rFonts w:ascii="Gill Sans MT" w:hAnsi="Gill Sans MT"/>
          <w:sz w:val="22"/>
          <w:szCs w:val="22"/>
        </w:rPr>
        <w:t xml:space="preserve">vyhlášení ve Sbírce zákonů a písemně oznámí Zákazníkovi Cenu EP stanovenou v souladu s touto závaznou právní úpravou bez nutnosti uzavření dodatku ke Smlouvě. Tím není vyloučena možnost Smluvních stran uzavřít dodatek ke Smlouvě, ve kterém z důvodu právní jistoty formálně potvrdí novou výši Ceny EP. </w:t>
      </w:r>
    </w:p>
    <w:p w14:paraId="25CB8E01" w14:textId="77777777" w:rsidR="004427A8" w:rsidRDefault="004427A8" w:rsidP="004427A8">
      <w:pPr>
        <w:widowControl w:val="0"/>
        <w:spacing w:before="120" w:line="276" w:lineRule="auto"/>
        <w:jc w:val="both"/>
        <w:rPr>
          <w:rFonts w:ascii="Gill Sans MT" w:hAnsi="Gill Sans MT"/>
          <w:sz w:val="22"/>
          <w:szCs w:val="22"/>
        </w:rPr>
      </w:pPr>
    </w:p>
    <w:p w14:paraId="22F7C507" w14:textId="77777777" w:rsidR="004427A8" w:rsidRPr="006A41D3" w:rsidRDefault="004427A8" w:rsidP="004427A8">
      <w:pPr>
        <w:widowControl w:val="0"/>
        <w:spacing w:before="120" w:line="276" w:lineRule="auto"/>
        <w:jc w:val="both"/>
        <w:rPr>
          <w:rFonts w:ascii="Gill Sans MT" w:hAnsi="Gill Sans MT"/>
          <w:sz w:val="22"/>
          <w:szCs w:val="22"/>
        </w:rPr>
      </w:pPr>
    </w:p>
    <w:p w14:paraId="59F5DC34" w14:textId="77777777" w:rsidR="004427A8" w:rsidRPr="006A41D3" w:rsidRDefault="004427A8" w:rsidP="004427A8">
      <w:pPr>
        <w:jc w:val="both"/>
        <w:rPr>
          <w:rFonts w:ascii="Gill Sans MT" w:hAnsi="Gill Sans MT"/>
          <w:i/>
          <w:iCs/>
          <w:sz w:val="22"/>
          <w:szCs w:val="22"/>
          <w:u w:val="single"/>
        </w:rPr>
      </w:pPr>
      <w:r w:rsidRPr="006A41D3">
        <w:rPr>
          <w:rFonts w:ascii="Gill Sans MT" w:hAnsi="Gill Sans MT"/>
          <w:i/>
          <w:iCs/>
          <w:sz w:val="22"/>
          <w:szCs w:val="22"/>
          <w:u w:val="single"/>
        </w:rPr>
        <w:t>Modelové příklady, jak se bude Cena EP počítat a jak ovlivní celkovou cenu plynu pro konečného zákazníka</w:t>
      </w:r>
    </w:p>
    <w:p w14:paraId="480D9872" w14:textId="77777777" w:rsidR="004427A8" w:rsidRPr="006A41D3" w:rsidRDefault="004427A8" w:rsidP="004427A8">
      <w:pPr>
        <w:jc w:val="both"/>
        <w:rPr>
          <w:rFonts w:ascii="Gill Sans MT" w:hAnsi="Gill Sans MT"/>
          <w:i/>
          <w:sz w:val="22"/>
          <w:szCs w:val="22"/>
        </w:rPr>
      </w:pPr>
      <w:r w:rsidRPr="006A41D3">
        <w:rPr>
          <w:rFonts w:ascii="Gill Sans MT" w:hAnsi="Gill Sans MT"/>
          <w:i/>
          <w:sz w:val="22"/>
          <w:szCs w:val="22"/>
        </w:rPr>
        <w:t xml:space="preserve">Dne 1.12.2027 bude průměrná cena Emisní povolenky ETS2 na trhu 45 EUR, hodnota emisního faktoru pro zemní plyn bude 0,18 a kurz bude 25 Kč/EUR. </w:t>
      </w:r>
    </w:p>
    <w:p w14:paraId="4C9E3A49" w14:textId="77777777" w:rsidR="004427A8" w:rsidRPr="006A41D3" w:rsidRDefault="004427A8" w:rsidP="004427A8">
      <w:pPr>
        <w:jc w:val="both"/>
        <w:rPr>
          <w:rFonts w:ascii="Gill Sans MT" w:hAnsi="Gill Sans MT"/>
          <w:b/>
          <w:sz w:val="22"/>
          <w:szCs w:val="22"/>
        </w:rPr>
      </w:pPr>
      <w:r w:rsidRPr="006A41D3">
        <w:rPr>
          <w:rFonts w:ascii="Gill Sans MT" w:hAnsi="Gill Sans MT"/>
          <w:sz w:val="22"/>
          <w:szCs w:val="22"/>
        </w:rPr>
        <w:t xml:space="preserve">Jedna Emisní povolenka ETS2 pokryje emise CO2 při spálení 5,56 MWh plynu. Na pokrytí emisí CO2 odpovídající 1 MWh plynu v tento den je tedy zapotřebí vynaložit 8,1 EUR, tj. cca. 203 Kč (45 EUR </w:t>
      </w:r>
      <w:r w:rsidRPr="006A41D3">
        <w:rPr>
          <w:rFonts w:ascii="Gill Sans MT" w:hAnsi="Gill Sans MT"/>
          <w:sz w:val="22"/>
          <w:szCs w:val="22"/>
          <w:lang w:val="en-US"/>
        </w:rPr>
        <w:t>*</w:t>
      </w:r>
      <w:r w:rsidRPr="006A41D3">
        <w:rPr>
          <w:rFonts w:ascii="Gill Sans MT" w:hAnsi="Gill Sans MT"/>
          <w:sz w:val="22"/>
          <w:szCs w:val="22"/>
        </w:rPr>
        <w:t xml:space="preserve"> 0,18 (EF) </w:t>
      </w:r>
      <w:r w:rsidRPr="006A41D3">
        <w:rPr>
          <w:rFonts w:ascii="Gill Sans MT" w:hAnsi="Gill Sans MT"/>
          <w:b/>
          <w:i/>
          <w:sz w:val="22"/>
          <w:szCs w:val="22"/>
        </w:rPr>
        <w:t xml:space="preserve">= </w:t>
      </w:r>
      <w:r w:rsidRPr="006A41D3">
        <w:rPr>
          <w:rFonts w:ascii="Gill Sans MT" w:hAnsi="Gill Sans MT"/>
          <w:b/>
          <w:sz w:val="22"/>
          <w:szCs w:val="22"/>
        </w:rPr>
        <w:t xml:space="preserve">8,1 EUR, tj. 203Kč při kurzu 25 Kč/EUR. </w:t>
      </w:r>
    </w:p>
    <w:p w14:paraId="6D2ED96F" w14:textId="77777777" w:rsidR="004427A8" w:rsidRPr="006A41D3" w:rsidRDefault="004427A8" w:rsidP="004427A8">
      <w:pPr>
        <w:jc w:val="both"/>
        <w:rPr>
          <w:rFonts w:ascii="Gill Sans MT" w:hAnsi="Gill Sans MT"/>
          <w:sz w:val="22"/>
          <w:szCs w:val="22"/>
        </w:rPr>
      </w:pPr>
      <w:r w:rsidRPr="006A41D3">
        <w:rPr>
          <w:rFonts w:ascii="Gill Sans MT" w:hAnsi="Gill Sans MT"/>
          <w:sz w:val="22"/>
          <w:szCs w:val="22"/>
        </w:rPr>
        <w:t xml:space="preserve">Pokud je spotřeba plynu zákazníka v tento den 1 MWh, navýší se jeho náklady na plyn v tento konkrétní den o 203 Kč (před zohledněním DPH). Pokud bude jeho spotřeba v tento den pouze 0,1 MWh, tak se jeho náklady navýší o 20,3 Kč (před zohledněním DPH). </w:t>
      </w:r>
    </w:p>
    <w:p w14:paraId="39586C23" w14:textId="77777777" w:rsidR="004427A8" w:rsidRPr="006A41D3" w:rsidRDefault="004427A8" w:rsidP="004427A8">
      <w:pPr>
        <w:jc w:val="both"/>
        <w:rPr>
          <w:rFonts w:ascii="Gill Sans MT" w:hAnsi="Gill Sans MT"/>
          <w:b/>
          <w:sz w:val="22"/>
          <w:szCs w:val="22"/>
        </w:rPr>
      </w:pPr>
      <w:r w:rsidRPr="006A41D3">
        <w:rPr>
          <w:rFonts w:ascii="Gill Sans MT" w:hAnsi="Gill Sans MT"/>
          <w:b/>
          <w:sz w:val="22"/>
          <w:szCs w:val="22"/>
        </w:rPr>
        <w:t>V modelovém případě, kdy je modelová pevná cena za dodávku plynu dle Smlouvy 1.400,- Kč/MWh, modelový kurz 25,- Kč/EUR a modelová hodnota emisního faktoru 0,18</w:t>
      </w:r>
    </w:p>
    <w:p w14:paraId="10395B73" w14:textId="77777777" w:rsidR="004427A8" w:rsidRPr="006A41D3" w:rsidRDefault="004427A8" w:rsidP="004427A8">
      <w:pPr>
        <w:jc w:val="both"/>
        <w:rPr>
          <w:rFonts w:ascii="Gill Sans MT" w:hAnsi="Gill Sans MT"/>
          <w:b/>
          <w:sz w:val="22"/>
          <w:szCs w:val="22"/>
        </w:rPr>
      </w:pPr>
      <w:r w:rsidRPr="006A41D3">
        <w:rPr>
          <w:rFonts w:ascii="Gill Sans MT" w:hAnsi="Gill Sans MT"/>
          <w:b/>
          <w:sz w:val="22"/>
          <w:szCs w:val="22"/>
        </w:rPr>
        <w:t>dochází k navýšení Ceny za dodávku dle následující tabulky:</w:t>
      </w:r>
    </w:p>
    <w:p w14:paraId="0376115D" w14:textId="77777777" w:rsidR="004427A8" w:rsidRPr="008160BB" w:rsidRDefault="004427A8" w:rsidP="004427A8">
      <w:pPr>
        <w:jc w:val="both"/>
        <w:rPr>
          <w:rFonts w:ascii="Gill Sans MT" w:hAnsi="Gill Sans MT"/>
          <w:b/>
        </w:rPr>
      </w:pPr>
    </w:p>
    <w:tbl>
      <w:tblPr>
        <w:tblStyle w:val="Mkatabulky"/>
        <w:tblW w:w="9209" w:type="dxa"/>
        <w:tblLook w:val="04A0" w:firstRow="1" w:lastRow="0" w:firstColumn="1" w:lastColumn="0" w:noHBand="0" w:noVBand="1"/>
      </w:tblPr>
      <w:tblGrid>
        <w:gridCol w:w="1980"/>
        <w:gridCol w:w="2551"/>
        <w:gridCol w:w="2127"/>
        <w:gridCol w:w="2551"/>
      </w:tblGrid>
      <w:tr w:rsidR="004427A8" w:rsidRPr="00D410CA" w14:paraId="275D9845" w14:textId="77777777" w:rsidTr="008160BB">
        <w:tc>
          <w:tcPr>
            <w:tcW w:w="1980" w:type="dxa"/>
          </w:tcPr>
          <w:p w14:paraId="6384D44E" w14:textId="77777777" w:rsidR="004427A8" w:rsidRPr="008160BB" w:rsidRDefault="004427A8" w:rsidP="008160BB">
            <w:pPr>
              <w:jc w:val="both"/>
              <w:rPr>
                <w:rFonts w:ascii="Gill Sans MT" w:hAnsi="Gill Sans MT"/>
                <w:b/>
              </w:rPr>
            </w:pPr>
            <w:r w:rsidRPr="008160BB">
              <w:rPr>
                <w:rFonts w:ascii="Gill Sans MT" w:hAnsi="Gill Sans MT"/>
                <w:b/>
              </w:rPr>
              <w:t>Cena Emisní povolenky ETS2 v EUR/t</w:t>
            </w:r>
          </w:p>
        </w:tc>
        <w:tc>
          <w:tcPr>
            <w:tcW w:w="2551" w:type="dxa"/>
          </w:tcPr>
          <w:p w14:paraId="79D1A506" w14:textId="77777777" w:rsidR="004427A8" w:rsidRPr="008160BB" w:rsidRDefault="004427A8" w:rsidP="008160BB">
            <w:pPr>
              <w:jc w:val="both"/>
              <w:rPr>
                <w:rFonts w:ascii="Gill Sans MT" w:hAnsi="Gill Sans MT"/>
                <w:b/>
              </w:rPr>
            </w:pPr>
            <w:r w:rsidRPr="008160BB">
              <w:rPr>
                <w:rFonts w:ascii="Gill Sans MT" w:hAnsi="Gill Sans MT"/>
                <w:b/>
              </w:rPr>
              <w:t xml:space="preserve">Náklad na Emisní povolenku ETS2 na 1 MWh plynu v Kč </w:t>
            </w:r>
          </w:p>
        </w:tc>
        <w:tc>
          <w:tcPr>
            <w:tcW w:w="2127" w:type="dxa"/>
          </w:tcPr>
          <w:p w14:paraId="7AB4DE92" w14:textId="77777777" w:rsidR="004427A8" w:rsidRPr="008160BB" w:rsidRDefault="004427A8" w:rsidP="008160BB">
            <w:pPr>
              <w:jc w:val="both"/>
              <w:rPr>
                <w:rFonts w:ascii="Gill Sans MT" w:hAnsi="Gill Sans MT"/>
                <w:b/>
              </w:rPr>
            </w:pPr>
            <w:r w:rsidRPr="008160BB">
              <w:rPr>
                <w:rFonts w:ascii="Gill Sans MT" w:hAnsi="Gill Sans MT"/>
                <w:b/>
              </w:rPr>
              <w:t>Celková cena za dodávku 1 MWh plynu po navýšení o Cenu EP (bez ceny za související služby)</w:t>
            </w:r>
          </w:p>
        </w:tc>
        <w:tc>
          <w:tcPr>
            <w:tcW w:w="2551" w:type="dxa"/>
          </w:tcPr>
          <w:p w14:paraId="07CB8FF0" w14:textId="77777777" w:rsidR="004427A8" w:rsidRPr="008160BB" w:rsidRDefault="004427A8" w:rsidP="008160BB">
            <w:pPr>
              <w:jc w:val="both"/>
              <w:rPr>
                <w:rFonts w:ascii="Gill Sans MT" w:hAnsi="Gill Sans MT"/>
                <w:b/>
              </w:rPr>
            </w:pPr>
            <w:r w:rsidRPr="008160BB">
              <w:rPr>
                <w:rFonts w:ascii="Gill Sans MT" w:hAnsi="Gill Sans MT"/>
                <w:b/>
              </w:rPr>
              <w:t xml:space="preserve">Navýšení Ceny za dodávku plynu při navýšení o Cenu </w:t>
            </w:r>
            <w:r w:rsidRPr="008160BB">
              <w:rPr>
                <w:rFonts w:ascii="Gill Sans MT" w:hAnsi="Gill Sans MT"/>
                <w:b/>
                <w:bCs/>
              </w:rPr>
              <w:t>EP</w:t>
            </w:r>
            <w:r w:rsidRPr="008160BB">
              <w:rPr>
                <w:rFonts w:ascii="Gill Sans MT" w:hAnsi="Gill Sans MT"/>
                <w:b/>
              </w:rPr>
              <w:t xml:space="preserve"> v %</w:t>
            </w:r>
          </w:p>
        </w:tc>
      </w:tr>
      <w:tr w:rsidR="004427A8" w:rsidRPr="00D410CA" w14:paraId="0598F221" w14:textId="77777777" w:rsidTr="008160BB">
        <w:tc>
          <w:tcPr>
            <w:tcW w:w="1980" w:type="dxa"/>
          </w:tcPr>
          <w:p w14:paraId="4CA75DBE" w14:textId="77777777" w:rsidR="004427A8" w:rsidRPr="008160BB" w:rsidRDefault="004427A8" w:rsidP="008160BB">
            <w:pPr>
              <w:jc w:val="both"/>
              <w:rPr>
                <w:rFonts w:ascii="Gill Sans MT" w:hAnsi="Gill Sans MT"/>
                <w:b/>
                <w:bCs/>
              </w:rPr>
            </w:pPr>
            <w:r w:rsidRPr="008160BB">
              <w:rPr>
                <w:rFonts w:ascii="Gill Sans MT" w:hAnsi="Gill Sans MT"/>
                <w:b/>
                <w:bCs/>
              </w:rPr>
              <w:t>10</w:t>
            </w:r>
          </w:p>
        </w:tc>
        <w:tc>
          <w:tcPr>
            <w:tcW w:w="2551" w:type="dxa"/>
            <w:tcBorders>
              <w:top w:val="nil"/>
              <w:left w:val="nil"/>
              <w:bottom w:val="single" w:sz="8" w:space="0" w:color="auto"/>
              <w:right w:val="single" w:sz="8" w:space="0" w:color="auto"/>
            </w:tcBorders>
            <w:shd w:val="clear" w:color="auto" w:fill="auto"/>
            <w:vAlign w:val="bottom"/>
          </w:tcPr>
          <w:p w14:paraId="4BC41139"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45</w:t>
            </w:r>
          </w:p>
        </w:tc>
        <w:tc>
          <w:tcPr>
            <w:tcW w:w="2127" w:type="dxa"/>
            <w:tcBorders>
              <w:top w:val="nil"/>
              <w:left w:val="nil"/>
              <w:bottom w:val="single" w:sz="8" w:space="0" w:color="auto"/>
              <w:right w:val="single" w:sz="8" w:space="0" w:color="auto"/>
            </w:tcBorders>
            <w:shd w:val="clear" w:color="auto" w:fill="auto"/>
            <w:vAlign w:val="bottom"/>
          </w:tcPr>
          <w:p w14:paraId="3BD59152"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1445</w:t>
            </w:r>
          </w:p>
        </w:tc>
        <w:tc>
          <w:tcPr>
            <w:tcW w:w="2551" w:type="dxa"/>
            <w:tcBorders>
              <w:top w:val="nil"/>
              <w:left w:val="nil"/>
              <w:bottom w:val="single" w:sz="8" w:space="0" w:color="auto"/>
              <w:right w:val="single" w:sz="8" w:space="0" w:color="auto"/>
            </w:tcBorders>
            <w:shd w:val="clear" w:color="auto" w:fill="auto"/>
            <w:vAlign w:val="bottom"/>
          </w:tcPr>
          <w:p w14:paraId="0B34D9EC"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3%</w:t>
            </w:r>
          </w:p>
        </w:tc>
      </w:tr>
      <w:tr w:rsidR="004427A8" w:rsidRPr="00D410CA" w14:paraId="7B332AFD" w14:textId="77777777" w:rsidTr="008160BB">
        <w:tc>
          <w:tcPr>
            <w:tcW w:w="1980" w:type="dxa"/>
          </w:tcPr>
          <w:p w14:paraId="578D82BA" w14:textId="77777777" w:rsidR="004427A8" w:rsidRPr="008160BB" w:rsidRDefault="004427A8" w:rsidP="008160BB">
            <w:pPr>
              <w:jc w:val="both"/>
              <w:rPr>
                <w:rFonts w:ascii="Gill Sans MT" w:hAnsi="Gill Sans MT"/>
                <w:b/>
                <w:bCs/>
              </w:rPr>
            </w:pPr>
            <w:r w:rsidRPr="008160BB">
              <w:rPr>
                <w:rFonts w:ascii="Gill Sans MT" w:hAnsi="Gill Sans MT"/>
                <w:b/>
                <w:bCs/>
              </w:rPr>
              <w:t>30</w:t>
            </w:r>
          </w:p>
        </w:tc>
        <w:tc>
          <w:tcPr>
            <w:tcW w:w="2551" w:type="dxa"/>
            <w:tcBorders>
              <w:top w:val="nil"/>
              <w:left w:val="nil"/>
              <w:bottom w:val="single" w:sz="8" w:space="0" w:color="auto"/>
              <w:right w:val="single" w:sz="8" w:space="0" w:color="auto"/>
            </w:tcBorders>
            <w:shd w:val="clear" w:color="auto" w:fill="auto"/>
            <w:vAlign w:val="bottom"/>
          </w:tcPr>
          <w:p w14:paraId="6ADCEFE3"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135</w:t>
            </w:r>
          </w:p>
        </w:tc>
        <w:tc>
          <w:tcPr>
            <w:tcW w:w="2127" w:type="dxa"/>
            <w:tcBorders>
              <w:top w:val="nil"/>
              <w:left w:val="nil"/>
              <w:bottom w:val="single" w:sz="8" w:space="0" w:color="auto"/>
              <w:right w:val="single" w:sz="8" w:space="0" w:color="auto"/>
            </w:tcBorders>
            <w:shd w:val="clear" w:color="auto" w:fill="auto"/>
            <w:vAlign w:val="bottom"/>
          </w:tcPr>
          <w:p w14:paraId="38EBBAE5"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1535</w:t>
            </w:r>
          </w:p>
        </w:tc>
        <w:tc>
          <w:tcPr>
            <w:tcW w:w="2551" w:type="dxa"/>
            <w:tcBorders>
              <w:top w:val="nil"/>
              <w:left w:val="nil"/>
              <w:bottom w:val="single" w:sz="8" w:space="0" w:color="auto"/>
              <w:right w:val="single" w:sz="8" w:space="0" w:color="auto"/>
            </w:tcBorders>
            <w:shd w:val="clear" w:color="auto" w:fill="auto"/>
            <w:vAlign w:val="bottom"/>
          </w:tcPr>
          <w:p w14:paraId="466DBE87"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10%</w:t>
            </w:r>
          </w:p>
        </w:tc>
      </w:tr>
      <w:tr w:rsidR="004427A8" w:rsidRPr="00D410CA" w14:paraId="5A7ABB35" w14:textId="77777777" w:rsidTr="008160BB">
        <w:tc>
          <w:tcPr>
            <w:tcW w:w="1980" w:type="dxa"/>
          </w:tcPr>
          <w:p w14:paraId="750525F7" w14:textId="77777777" w:rsidR="004427A8" w:rsidRPr="008160BB" w:rsidRDefault="004427A8" w:rsidP="008160BB">
            <w:pPr>
              <w:jc w:val="both"/>
              <w:rPr>
                <w:rFonts w:ascii="Gill Sans MT" w:hAnsi="Gill Sans MT"/>
                <w:b/>
                <w:bCs/>
              </w:rPr>
            </w:pPr>
            <w:r w:rsidRPr="008160BB">
              <w:rPr>
                <w:rFonts w:ascii="Gill Sans MT" w:hAnsi="Gill Sans MT"/>
                <w:b/>
                <w:bCs/>
              </w:rPr>
              <w:t>45</w:t>
            </w:r>
          </w:p>
        </w:tc>
        <w:tc>
          <w:tcPr>
            <w:tcW w:w="2551" w:type="dxa"/>
            <w:tcBorders>
              <w:top w:val="nil"/>
              <w:left w:val="nil"/>
              <w:bottom w:val="single" w:sz="8" w:space="0" w:color="auto"/>
              <w:right w:val="single" w:sz="8" w:space="0" w:color="auto"/>
            </w:tcBorders>
            <w:shd w:val="clear" w:color="auto" w:fill="auto"/>
            <w:vAlign w:val="bottom"/>
          </w:tcPr>
          <w:p w14:paraId="618E70E3"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203</w:t>
            </w:r>
          </w:p>
        </w:tc>
        <w:tc>
          <w:tcPr>
            <w:tcW w:w="2127" w:type="dxa"/>
            <w:tcBorders>
              <w:top w:val="nil"/>
              <w:left w:val="nil"/>
              <w:bottom w:val="single" w:sz="8" w:space="0" w:color="auto"/>
              <w:right w:val="single" w:sz="8" w:space="0" w:color="auto"/>
            </w:tcBorders>
            <w:shd w:val="clear" w:color="auto" w:fill="auto"/>
            <w:vAlign w:val="bottom"/>
          </w:tcPr>
          <w:p w14:paraId="308D8D8E"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1603</w:t>
            </w:r>
          </w:p>
        </w:tc>
        <w:tc>
          <w:tcPr>
            <w:tcW w:w="2551" w:type="dxa"/>
            <w:tcBorders>
              <w:top w:val="nil"/>
              <w:left w:val="nil"/>
              <w:bottom w:val="single" w:sz="8" w:space="0" w:color="auto"/>
              <w:right w:val="single" w:sz="8" w:space="0" w:color="auto"/>
            </w:tcBorders>
            <w:shd w:val="clear" w:color="auto" w:fill="auto"/>
            <w:vAlign w:val="bottom"/>
          </w:tcPr>
          <w:p w14:paraId="417C594D"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14%</w:t>
            </w:r>
          </w:p>
        </w:tc>
      </w:tr>
      <w:tr w:rsidR="004427A8" w:rsidRPr="00D410CA" w14:paraId="3ADA2AA6" w14:textId="77777777" w:rsidTr="008160BB">
        <w:tc>
          <w:tcPr>
            <w:tcW w:w="1980" w:type="dxa"/>
          </w:tcPr>
          <w:p w14:paraId="316CD119" w14:textId="77777777" w:rsidR="004427A8" w:rsidRPr="008160BB" w:rsidRDefault="004427A8" w:rsidP="008160BB">
            <w:pPr>
              <w:jc w:val="both"/>
              <w:rPr>
                <w:rFonts w:ascii="Gill Sans MT" w:hAnsi="Gill Sans MT"/>
                <w:b/>
                <w:bCs/>
              </w:rPr>
            </w:pPr>
            <w:r w:rsidRPr="008160BB">
              <w:rPr>
                <w:rFonts w:ascii="Gill Sans MT" w:hAnsi="Gill Sans MT"/>
                <w:b/>
                <w:bCs/>
              </w:rPr>
              <w:t>60</w:t>
            </w:r>
          </w:p>
        </w:tc>
        <w:tc>
          <w:tcPr>
            <w:tcW w:w="2551" w:type="dxa"/>
            <w:tcBorders>
              <w:top w:val="nil"/>
              <w:left w:val="nil"/>
              <w:bottom w:val="single" w:sz="8" w:space="0" w:color="auto"/>
              <w:right w:val="single" w:sz="8" w:space="0" w:color="auto"/>
            </w:tcBorders>
            <w:shd w:val="clear" w:color="auto" w:fill="auto"/>
            <w:vAlign w:val="bottom"/>
          </w:tcPr>
          <w:p w14:paraId="369E74B0"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270</w:t>
            </w:r>
          </w:p>
        </w:tc>
        <w:tc>
          <w:tcPr>
            <w:tcW w:w="2127" w:type="dxa"/>
            <w:tcBorders>
              <w:top w:val="nil"/>
              <w:left w:val="nil"/>
              <w:bottom w:val="single" w:sz="8" w:space="0" w:color="auto"/>
              <w:right w:val="single" w:sz="8" w:space="0" w:color="auto"/>
            </w:tcBorders>
            <w:shd w:val="clear" w:color="auto" w:fill="auto"/>
            <w:vAlign w:val="bottom"/>
          </w:tcPr>
          <w:p w14:paraId="77EF5E26"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1670</w:t>
            </w:r>
          </w:p>
        </w:tc>
        <w:tc>
          <w:tcPr>
            <w:tcW w:w="2551" w:type="dxa"/>
            <w:tcBorders>
              <w:top w:val="nil"/>
              <w:left w:val="nil"/>
              <w:bottom w:val="single" w:sz="8" w:space="0" w:color="auto"/>
              <w:right w:val="single" w:sz="8" w:space="0" w:color="auto"/>
            </w:tcBorders>
            <w:shd w:val="clear" w:color="auto" w:fill="auto"/>
            <w:vAlign w:val="bottom"/>
          </w:tcPr>
          <w:p w14:paraId="34FBCC52"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19%</w:t>
            </w:r>
          </w:p>
        </w:tc>
      </w:tr>
      <w:tr w:rsidR="004427A8" w:rsidRPr="00D410CA" w14:paraId="10B7EB41" w14:textId="77777777" w:rsidTr="008160BB">
        <w:tc>
          <w:tcPr>
            <w:tcW w:w="1980" w:type="dxa"/>
          </w:tcPr>
          <w:p w14:paraId="5EA2F95F" w14:textId="77777777" w:rsidR="004427A8" w:rsidRPr="008160BB" w:rsidRDefault="004427A8" w:rsidP="008160BB">
            <w:pPr>
              <w:jc w:val="both"/>
              <w:rPr>
                <w:rFonts w:ascii="Gill Sans MT" w:hAnsi="Gill Sans MT"/>
                <w:b/>
                <w:bCs/>
              </w:rPr>
            </w:pPr>
            <w:r w:rsidRPr="008160BB">
              <w:rPr>
                <w:rFonts w:ascii="Gill Sans MT" w:hAnsi="Gill Sans MT"/>
                <w:b/>
                <w:bCs/>
              </w:rPr>
              <w:t>75</w:t>
            </w:r>
          </w:p>
        </w:tc>
        <w:tc>
          <w:tcPr>
            <w:tcW w:w="2551" w:type="dxa"/>
            <w:tcBorders>
              <w:top w:val="nil"/>
              <w:left w:val="nil"/>
              <w:bottom w:val="single" w:sz="8" w:space="0" w:color="auto"/>
              <w:right w:val="single" w:sz="8" w:space="0" w:color="auto"/>
            </w:tcBorders>
            <w:shd w:val="clear" w:color="auto" w:fill="auto"/>
            <w:vAlign w:val="bottom"/>
          </w:tcPr>
          <w:p w14:paraId="2D458DE6"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338</w:t>
            </w:r>
          </w:p>
        </w:tc>
        <w:tc>
          <w:tcPr>
            <w:tcW w:w="2127" w:type="dxa"/>
            <w:tcBorders>
              <w:top w:val="nil"/>
              <w:left w:val="nil"/>
              <w:bottom w:val="single" w:sz="8" w:space="0" w:color="auto"/>
              <w:right w:val="single" w:sz="8" w:space="0" w:color="auto"/>
            </w:tcBorders>
            <w:shd w:val="clear" w:color="auto" w:fill="auto"/>
            <w:vAlign w:val="bottom"/>
          </w:tcPr>
          <w:p w14:paraId="606188F8"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1738</w:t>
            </w:r>
          </w:p>
        </w:tc>
        <w:tc>
          <w:tcPr>
            <w:tcW w:w="2551" w:type="dxa"/>
            <w:tcBorders>
              <w:top w:val="nil"/>
              <w:left w:val="nil"/>
              <w:bottom w:val="single" w:sz="8" w:space="0" w:color="auto"/>
              <w:right w:val="single" w:sz="8" w:space="0" w:color="auto"/>
            </w:tcBorders>
            <w:shd w:val="clear" w:color="auto" w:fill="auto"/>
            <w:vAlign w:val="bottom"/>
          </w:tcPr>
          <w:p w14:paraId="18D078D3"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24%</w:t>
            </w:r>
          </w:p>
        </w:tc>
      </w:tr>
      <w:tr w:rsidR="004427A8" w:rsidRPr="00D410CA" w14:paraId="28FBDD27" w14:textId="77777777" w:rsidTr="008160BB">
        <w:tc>
          <w:tcPr>
            <w:tcW w:w="1980" w:type="dxa"/>
          </w:tcPr>
          <w:p w14:paraId="7AC8E3B8" w14:textId="77777777" w:rsidR="004427A8" w:rsidRPr="008160BB" w:rsidRDefault="004427A8" w:rsidP="008160BB">
            <w:pPr>
              <w:jc w:val="both"/>
              <w:rPr>
                <w:rFonts w:ascii="Gill Sans MT" w:hAnsi="Gill Sans MT"/>
                <w:b/>
                <w:bCs/>
              </w:rPr>
            </w:pPr>
            <w:r w:rsidRPr="008160BB">
              <w:rPr>
                <w:rFonts w:ascii="Gill Sans MT" w:hAnsi="Gill Sans MT"/>
                <w:b/>
                <w:bCs/>
              </w:rPr>
              <w:t>100</w:t>
            </w:r>
          </w:p>
        </w:tc>
        <w:tc>
          <w:tcPr>
            <w:tcW w:w="2551" w:type="dxa"/>
            <w:tcBorders>
              <w:top w:val="nil"/>
              <w:left w:val="nil"/>
              <w:bottom w:val="single" w:sz="8" w:space="0" w:color="auto"/>
              <w:right w:val="single" w:sz="8" w:space="0" w:color="auto"/>
            </w:tcBorders>
            <w:shd w:val="clear" w:color="auto" w:fill="auto"/>
            <w:vAlign w:val="bottom"/>
          </w:tcPr>
          <w:p w14:paraId="07D4F226"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450</w:t>
            </w:r>
          </w:p>
        </w:tc>
        <w:tc>
          <w:tcPr>
            <w:tcW w:w="2127" w:type="dxa"/>
            <w:tcBorders>
              <w:top w:val="nil"/>
              <w:left w:val="nil"/>
              <w:bottom w:val="single" w:sz="8" w:space="0" w:color="auto"/>
              <w:right w:val="single" w:sz="8" w:space="0" w:color="auto"/>
            </w:tcBorders>
            <w:shd w:val="clear" w:color="auto" w:fill="auto"/>
            <w:vAlign w:val="bottom"/>
          </w:tcPr>
          <w:p w14:paraId="0F5A494A"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1850</w:t>
            </w:r>
          </w:p>
        </w:tc>
        <w:tc>
          <w:tcPr>
            <w:tcW w:w="2551" w:type="dxa"/>
            <w:tcBorders>
              <w:top w:val="nil"/>
              <w:left w:val="nil"/>
              <w:bottom w:val="single" w:sz="8" w:space="0" w:color="auto"/>
              <w:right w:val="single" w:sz="8" w:space="0" w:color="auto"/>
            </w:tcBorders>
            <w:shd w:val="clear" w:color="auto" w:fill="auto"/>
            <w:vAlign w:val="bottom"/>
          </w:tcPr>
          <w:p w14:paraId="15BA592D" w14:textId="77777777" w:rsidR="004427A8" w:rsidRPr="008160BB" w:rsidRDefault="004427A8" w:rsidP="008160BB">
            <w:pPr>
              <w:jc w:val="center"/>
              <w:rPr>
                <w:rFonts w:ascii="Gill Sans MT" w:hAnsi="Gill Sans MT"/>
                <w:b/>
                <w:bCs/>
                <w:highlight w:val="green"/>
              </w:rPr>
            </w:pPr>
            <w:r w:rsidRPr="008160BB">
              <w:rPr>
                <w:rFonts w:ascii="Gill Sans MT" w:hAnsi="Gill Sans MT"/>
                <w:b/>
                <w:bCs/>
                <w:color w:val="000000"/>
              </w:rPr>
              <w:t>32%</w:t>
            </w:r>
          </w:p>
        </w:tc>
      </w:tr>
    </w:tbl>
    <w:p w14:paraId="615FF7C9" w14:textId="77777777" w:rsidR="004427A8" w:rsidRPr="008160BB" w:rsidRDefault="004427A8" w:rsidP="004427A8">
      <w:pPr>
        <w:jc w:val="both"/>
        <w:rPr>
          <w:rFonts w:ascii="Gill Sans MT" w:hAnsi="Gill Sans MT"/>
        </w:rPr>
      </w:pPr>
    </w:p>
    <w:p w14:paraId="356C2EAC" w14:textId="77777777" w:rsidR="004427A8" w:rsidRPr="008C65C8" w:rsidRDefault="004427A8" w:rsidP="006A41D3">
      <w:pPr>
        <w:widowControl w:val="0"/>
        <w:spacing w:before="120" w:line="276" w:lineRule="auto"/>
        <w:jc w:val="both"/>
        <w:rPr>
          <w:rFonts w:ascii="Gill Sans MT" w:hAnsi="Gill Sans MT"/>
          <w:sz w:val="22"/>
          <w:szCs w:val="22"/>
        </w:rPr>
      </w:pPr>
    </w:p>
    <w:sectPr w:rsidR="004427A8" w:rsidRPr="008C65C8" w:rsidSect="004A6BA2">
      <w:headerReference w:type="default" r:id="rId9"/>
      <w:pgSz w:w="11906" w:h="16838"/>
      <w:pgMar w:top="1134" w:right="1133"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48A6" w14:textId="77777777" w:rsidR="006938A8" w:rsidRDefault="006938A8">
      <w:r>
        <w:separator/>
      </w:r>
    </w:p>
  </w:endnote>
  <w:endnote w:type="continuationSeparator" w:id="0">
    <w:p w14:paraId="4E2E6569" w14:textId="77777777" w:rsidR="006938A8" w:rsidRDefault="0069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00A8" w14:textId="77777777" w:rsidR="006938A8" w:rsidRDefault="006938A8">
      <w:r>
        <w:separator/>
      </w:r>
    </w:p>
  </w:footnote>
  <w:footnote w:type="continuationSeparator" w:id="0">
    <w:p w14:paraId="4D611BD4" w14:textId="77777777" w:rsidR="006938A8" w:rsidRDefault="0069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84C2" w14:textId="3468FCDE" w:rsidR="00F9186A" w:rsidRDefault="00F918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048"/>
    <w:multiLevelType w:val="hybridMultilevel"/>
    <w:tmpl w:val="2D660236"/>
    <w:lvl w:ilvl="0" w:tplc="CA1C472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110FD"/>
    <w:multiLevelType w:val="hybridMultilevel"/>
    <w:tmpl w:val="4B5ECC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F050E4"/>
    <w:multiLevelType w:val="hybridMultilevel"/>
    <w:tmpl w:val="681EC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86646"/>
    <w:multiLevelType w:val="hybridMultilevel"/>
    <w:tmpl w:val="7298BF2C"/>
    <w:lvl w:ilvl="0" w:tplc="1AA6A6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D832B9"/>
    <w:multiLevelType w:val="hybridMultilevel"/>
    <w:tmpl w:val="C518CA14"/>
    <w:lvl w:ilvl="0" w:tplc="D8BE6EEC">
      <w:start w:val="3"/>
      <w:numFmt w:val="bullet"/>
      <w:lvlText w:val="-"/>
      <w:lvlJc w:val="left"/>
      <w:pPr>
        <w:ind w:left="786" w:hanging="360"/>
      </w:pPr>
      <w:rPr>
        <w:rFonts w:ascii="Gill Sans MT" w:eastAsiaTheme="minorHAnsi" w:hAnsi="Gill Sans MT" w:cstheme="minorBid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7292928"/>
    <w:multiLevelType w:val="hybridMultilevel"/>
    <w:tmpl w:val="F54E3B86"/>
    <w:lvl w:ilvl="0" w:tplc="ECBA4AD6">
      <w:start w:val="1"/>
      <w:numFmt w:val="decimal"/>
      <w:lvlText w:val="%1."/>
      <w:lvlJc w:val="left"/>
      <w:pPr>
        <w:tabs>
          <w:tab w:val="num" w:pos="720"/>
        </w:tabs>
        <w:ind w:left="720" w:hanging="360"/>
      </w:pPr>
      <w:rPr>
        <w:rFonts w:hint="default"/>
      </w:rPr>
    </w:lvl>
    <w:lvl w:ilvl="1" w:tplc="83BA0CF4">
      <w:numFmt w:val="none"/>
      <w:lvlText w:val=""/>
      <w:lvlJc w:val="left"/>
      <w:pPr>
        <w:tabs>
          <w:tab w:val="num" w:pos="360"/>
        </w:tabs>
      </w:pPr>
    </w:lvl>
    <w:lvl w:ilvl="2" w:tplc="658C0D98">
      <w:numFmt w:val="none"/>
      <w:lvlText w:val=""/>
      <w:lvlJc w:val="left"/>
      <w:pPr>
        <w:tabs>
          <w:tab w:val="num" w:pos="360"/>
        </w:tabs>
      </w:pPr>
    </w:lvl>
    <w:lvl w:ilvl="3" w:tplc="D4A44A1A">
      <w:numFmt w:val="none"/>
      <w:lvlText w:val=""/>
      <w:lvlJc w:val="left"/>
      <w:pPr>
        <w:tabs>
          <w:tab w:val="num" w:pos="360"/>
        </w:tabs>
      </w:pPr>
    </w:lvl>
    <w:lvl w:ilvl="4" w:tplc="35402416">
      <w:numFmt w:val="none"/>
      <w:lvlText w:val=""/>
      <w:lvlJc w:val="left"/>
      <w:pPr>
        <w:tabs>
          <w:tab w:val="num" w:pos="360"/>
        </w:tabs>
      </w:pPr>
    </w:lvl>
    <w:lvl w:ilvl="5" w:tplc="E4E6CE10">
      <w:numFmt w:val="none"/>
      <w:lvlText w:val=""/>
      <w:lvlJc w:val="left"/>
      <w:pPr>
        <w:tabs>
          <w:tab w:val="num" w:pos="360"/>
        </w:tabs>
      </w:pPr>
    </w:lvl>
    <w:lvl w:ilvl="6" w:tplc="FA66E582">
      <w:numFmt w:val="none"/>
      <w:lvlText w:val=""/>
      <w:lvlJc w:val="left"/>
      <w:pPr>
        <w:tabs>
          <w:tab w:val="num" w:pos="360"/>
        </w:tabs>
      </w:pPr>
    </w:lvl>
    <w:lvl w:ilvl="7" w:tplc="5FF0FC0E">
      <w:numFmt w:val="none"/>
      <w:lvlText w:val=""/>
      <w:lvlJc w:val="left"/>
      <w:pPr>
        <w:tabs>
          <w:tab w:val="num" w:pos="360"/>
        </w:tabs>
      </w:pPr>
    </w:lvl>
    <w:lvl w:ilvl="8" w:tplc="4336F6D0">
      <w:numFmt w:val="none"/>
      <w:lvlText w:val=""/>
      <w:lvlJc w:val="left"/>
      <w:pPr>
        <w:tabs>
          <w:tab w:val="num" w:pos="360"/>
        </w:tabs>
      </w:pPr>
    </w:lvl>
  </w:abstractNum>
  <w:abstractNum w:abstractNumId="6" w15:restartNumberingAfterBreak="0">
    <w:nsid w:val="19132B0C"/>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6D75D3"/>
    <w:multiLevelType w:val="hybridMultilevel"/>
    <w:tmpl w:val="18EED3AA"/>
    <w:lvl w:ilvl="0" w:tplc="FFFFFFFF">
      <w:start w:val="1"/>
      <w:numFmt w:val="lowerLetter"/>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8" w15:restartNumberingAfterBreak="0">
    <w:nsid w:val="20A04618"/>
    <w:multiLevelType w:val="hybridMultilevel"/>
    <w:tmpl w:val="3430A684"/>
    <w:lvl w:ilvl="0" w:tplc="5002E84C">
      <w:start w:val="2"/>
      <w:numFmt w:val="ordin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A87302"/>
    <w:multiLevelType w:val="hybridMultilevel"/>
    <w:tmpl w:val="6DE09C46"/>
    <w:lvl w:ilvl="0" w:tplc="33163AB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386193"/>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67ACC"/>
    <w:multiLevelType w:val="hybridMultilevel"/>
    <w:tmpl w:val="546645DA"/>
    <w:lvl w:ilvl="0" w:tplc="D8BE6EEC">
      <w:start w:val="3"/>
      <w:numFmt w:val="bullet"/>
      <w:lvlText w:val="-"/>
      <w:lvlJc w:val="left"/>
      <w:pPr>
        <w:ind w:left="1146" w:hanging="360"/>
      </w:pPr>
      <w:rPr>
        <w:rFonts w:ascii="Gill Sans MT" w:eastAsiaTheme="minorHAnsi" w:hAnsi="Gill Sans MT"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BA177EA"/>
    <w:multiLevelType w:val="hybridMultilevel"/>
    <w:tmpl w:val="EA22C4B6"/>
    <w:lvl w:ilvl="0" w:tplc="4A643190">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025126"/>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94B28"/>
    <w:multiLevelType w:val="hybridMultilevel"/>
    <w:tmpl w:val="7C7AD89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641901"/>
    <w:multiLevelType w:val="hybridMultilevel"/>
    <w:tmpl w:val="D9DA2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CF29DC"/>
    <w:multiLevelType w:val="hybridMultilevel"/>
    <w:tmpl w:val="A392AF8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5947F8"/>
    <w:multiLevelType w:val="hybridMultilevel"/>
    <w:tmpl w:val="7BE43C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A04699"/>
    <w:multiLevelType w:val="hybridMultilevel"/>
    <w:tmpl w:val="46D859AC"/>
    <w:lvl w:ilvl="0" w:tplc="E89A00F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B1FE3"/>
    <w:multiLevelType w:val="hybridMultilevel"/>
    <w:tmpl w:val="0FACBCDC"/>
    <w:lvl w:ilvl="0" w:tplc="0405000F">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4326750"/>
    <w:multiLevelType w:val="multilevel"/>
    <w:tmpl w:val="53D8053E"/>
    <w:lvl w:ilvl="0">
      <w:start w:val="1"/>
      <w:numFmt w:val="decimal"/>
      <w:lvlText w:val="%1."/>
      <w:lvlJc w:val="left"/>
      <w:pPr>
        <w:ind w:left="360" w:hanging="360"/>
      </w:pPr>
      <w:rPr>
        <w:rFonts w:ascii="Times New Roman" w:hAnsi="Times New Roman" w:cs="Times New Roman" w:hint="default"/>
        <w:b w:val="0"/>
        <w:color w:val="auto"/>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FB7436"/>
    <w:multiLevelType w:val="hybridMultilevel"/>
    <w:tmpl w:val="EF148BE8"/>
    <w:lvl w:ilvl="0" w:tplc="C80E4E4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4626245">
    <w:abstractNumId w:val="12"/>
  </w:num>
  <w:num w:numId="2" w16cid:durableId="1086075558">
    <w:abstractNumId w:val="15"/>
  </w:num>
  <w:num w:numId="3" w16cid:durableId="1265769979">
    <w:abstractNumId w:val="5"/>
  </w:num>
  <w:num w:numId="4" w16cid:durableId="8090563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9546815">
    <w:abstractNumId w:val="21"/>
  </w:num>
  <w:num w:numId="6" w16cid:durableId="1637486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002734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72352">
    <w:abstractNumId w:val="14"/>
  </w:num>
  <w:num w:numId="9" w16cid:durableId="941230340">
    <w:abstractNumId w:val="17"/>
  </w:num>
  <w:num w:numId="10" w16cid:durableId="690691116">
    <w:abstractNumId w:val="16"/>
  </w:num>
  <w:num w:numId="11" w16cid:durableId="658388100">
    <w:abstractNumId w:val="0"/>
  </w:num>
  <w:num w:numId="12" w16cid:durableId="1146779589">
    <w:abstractNumId w:val="9"/>
  </w:num>
  <w:num w:numId="13" w16cid:durableId="1081178449">
    <w:abstractNumId w:val="10"/>
  </w:num>
  <w:num w:numId="14" w16cid:durableId="764158053">
    <w:abstractNumId w:val="6"/>
  </w:num>
  <w:num w:numId="15" w16cid:durableId="1650284137">
    <w:abstractNumId w:val="7"/>
  </w:num>
  <w:num w:numId="16" w16cid:durableId="93520538">
    <w:abstractNumId w:val="13"/>
  </w:num>
  <w:num w:numId="17" w16cid:durableId="1660423474">
    <w:abstractNumId w:val="18"/>
  </w:num>
  <w:num w:numId="18" w16cid:durableId="1241789414">
    <w:abstractNumId w:val="8"/>
  </w:num>
  <w:num w:numId="19" w16cid:durableId="1929076262">
    <w:abstractNumId w:val="11"/>
  </w:num>
  <w:num w:numId="20" w16cid:durableId="760833601">
    <w:abstractNumId w:val="3"/>
  </w:num>
  <w:num w:numId="21" w16cid:durableId="622879799">
    <w:abstractNumId w:val="4"/>
  </w:num>
  <w:num w:numId="22" w16cid:durableId="127776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AE"/>
    <w:rsid w:val="000053BC"/>
    <w:rsid w:val="00014354"/>
    <w:rsid w:val="00041E30"/>
    <w:rsid w:val="00074A32"/>
    <w:rsid w:val="00077D3D"/>
    <w:rsid w:val="00085C63"/>
    <w:rsid w:val="00094ADF"/>
    <w:rsid w:val="00095A7C"/>
    <w:rsid w:val="000A57DE"/>
    <w:rsid w:val="000C5DF2"/>
    <w:rsid w:val="000C5F5A"/>
    <w:rsid w:val="0010453C"/>
    <w:rsid w:val="001047BD"/>
    <w:rsid w:val="00112FA1"/>
    <w:rsid w:val="001141B7"/>
    <w:rsid w:val="001625E1"/>
    <w:rsid w:val="00172400"/>
    <w:rsid w:val="00173DEE"/>
    <w:rsid w:val="001871AD"/>
    <w:rsid w:val="00195812"/>
    <w:rsid w:val="001A3474"/>
    <w:rsid w:val="001A6CE8"/>
    <w:rsid w:val="001B3905"/>
    <w:rsid w:val="001C0978"/>
    <w:rsid w:val="001C748D"/>
    <w:rsid w:val="001D2629"/>
    <w:rsid w:val="001E0C7F"/>
    <w:rsid w:val="001F3912"/>
    <w:rsid w:val="00205579"/>
    <w:rsid w:val="002225A8"/>
    <w:rsid w:val="002371F2"/>
    <w:rsid w:val="00237C8C"/>
    <w:rsid w:val="00244DAC"/>
    <w:rsid w:val="0025216D"/>
    <w:rsid w:val="00274867"/>
    <w:rsid w:val="00295C8A"/>
    <w:rsid w:val="00296BEA"/>
    <w:rsid w:val="00297000"/>
    <w:rsid w:val="002A0609"/>
    <w:rsid w:val="002A388E"/>
    <w:rsid w:val="002A618A"/>
    <w:rsid w:val="002C63BC"/>
    <w:rsid w:val="002D6199"/>
    <w:rsid w:val="002D7AB6"/>
    <w:rsid w:val="002E17C4"/>
    <w:rsid w:val="003307E1"/>
    <w:rsid w:val="00363BFB"/>
    <w:rsid w:val="0037577D"/>
    <w:rsid w:val="00383F56"/>
    <w:rsid w:val="00386B82"/>
    <w:rsid w:val="00394F00"/>
    <w:rsid w:val="003A78C2"/>
    <w:rsid w:val="003B16CD"/>
    <w:rsid w:val="003D03C3"/>
    <w:rsid w:val="003D63EE"/>
    <w:rsid w:val="003E57AA"/>
    <w:rsid w:val="003E74EA"/>
    <w:rsid w:val="004069BA"/>
    <w:rsid w:val="004148E7"/>
    <w:rsid w:val="004427A8"/>
    <w:rsid w:val="00447AA6"/>
    <w:rsid w:val="00451241"/>
    <w:rsid w:val="00452221"/>
    <w:rsid w:val="00452C80"/>
    <w:rsid w:val="00460552"/>
    <w:rsid w:val="004614C0"/>
    <w:rsid w:val="004629B0"/>
    <w:rsid w:val="00467ECE"/>
    <w:rsid w:val="00475F82"/>
    <w:rsid w:val="004874ED"/>
    <w:rsid w:val="0048772D"/>
    <w:rsid w:val="004A6BA2"/>
    <w:rsid w:val="004C2F15"/>
    <w:rsid w:val="004C68CB"/>
    <w:rsid w:val="005014C1"/>
    <w:rsid w:val="00524CFE"/>
    <w:rsid w:val="00531AB6"/>
    <w:rsid w:val="005627FB"/>
    <w:rsid w:val="00564D19"/>
    <w:rsid w:val="00567235"/>
    <w:rsid w:val="0057413D"/>
    <w:rsid w:val="005819A5"/>
    <w:rsid w:val="00585790"/>
    <w:rsid w:val="00593A7F"/>
    <w:rsid w:val="005B2589"/>
    <w:rsid w:val="005B3C05"/>
    <w:rsid w:val="005B47FE"/>
    <w:rsid w:val="005C731E"/>
    <w:rsid w:val="005C783E"/>
    <w:rsid w:val="005D3510"/>
    <w:rsid w:val="00602E80"/>
    <w:rsid w:val="00603CB8"/>
    <w:rsid w:val="00622428"/>
    <w:rsid w:val="00633E64"/>
    <w:rsid w:val="00641576"/>
    <w:rsid w:val="00666C75"/>
    <w:rsid w:val="00676FEB"/>
    <w:rsid w:val="00683FC1"/>
    <w:rsid w:val="006901CB"/>
    <w:rsid w:val="00692DE1"/>
    <w:rsid w:val="006938A8"/>
    <w:rsid w:val="006A41D3"/>
    <w:rsid w:val="006B749A"/>
    <w:rsid w:val="006C589C"/>
    <w:rsid w:val="006C6DD6"/>
    <w:rsid w:val="006D2A5E"/>
    <w:rsid w:val="006E36AC"/>
    <w:rsid w:val="00705181"/>
    <w:rsid w:val="00707FDB"/>
    <w:rsid w:val="00727F69"/>
    <w:rsid w:val="00733FA5"/>
    <w:rsid w:val="00762A4E"/>
    <w:rsid w:val="0079349B"/>
    <w:rsid w:val="007B5AE3"/>
    <w:rsid w:val="008044B6"/>
    <w:rsid w:val="00861374"/>
    <w:rsid w:val="00863CCF"/>
    <w:rsid w:val="00871105"/>
    <w:rsid w:val="008800C6"/>
    <w:rsid w:val="00880458"/>
    <w:rsid w:val="008814F4"/>
    <w:rsid w:val="008845A5"/>
    <w:rsid w:val="008948E7"/>
    <w:rsid w:val="00894A51"/>
    <w:rsid w:val="00897864"/>
    <w:rsid w:val="008B645D"/>
    <w:rsid w:val="008C65C8"/>
    <w:rsid w:val="008D1A8B"/>
    <w:rsid w:val="008E1E96"/>
    <w:rsid w:val="008F455F"/>
    <w:rsid w:val="009037BC"/>
    <w:rsid w:val="00911FD1"/>
    <w:rsid w:val="00943666"/>
    <w:rsid w:val="00945AA9"/>
    <w:rsid w:val="009535D4"/>
    <w:rsid w:val="00973CFB"/>
    <w:rsid w:val="00980E7F"/>
    <w:rsid w:val="00993BB5"/>
    <w:rsid w:val="009D2128"/>
    <w:rsid w:val="009D2DA5"/>
    <w:rsid w:val="009E1398"/>
    <w:rsid w:val="009E313F"/>
    <w:rsid w:val="009E378C"/>
    <w:rsid w:val="009F0411"/>
    <w:rsid w:val="009F5C6E"/>
    <w:rsid w:val="00A07D74"/>
    <w:rsid w:val="00A22CF2"/>
    <w:rsid w:val="00A24C50"/>
    <w:rsid w:val="00A331C9"/>
    <w:rsid w:val="00A447C7"/>
    <w:rsid w:val="00A461CD"/>
    <w:rsid w:val="00A70A07"/>
    <w:rsid w:val="00A77BB9"/>
    <w:rsid w:val="00A87130"/>
    <w:rsid w:val="00A8716F"/>
    <w:rsid w:val="00AD0FE8"/>
    <w:rsid w:val="00AE3B79"/>
    <w:rsid w:val="00B06A86"/>
    <w:rsid w:val="00B2422A"/>
    <w:rsid w:val="00B252C2"/>
    <w:rsid w:val="00B47535"/>
    <w:rsid w:val="00B629AA"/>
    <w:rsid w:val="00B97F60"/>
    <w:rsid w:val="00BA1C53"/>
    <w:rsid w:val="00BB00C6"/>
    <w:rsid w:val="00BB7201"/>
    <w:rsid w:val="00BC3299"/>
    <w:rsid w:val="00BC6EC5"/>
    <w:rsid w:val="00BD1C03"/>
    <w:rsid w:val="00BD6BAE"/>
    <w:rsid w:val="00BF2BE8"/>
    <w:rsid w:val="00BF5BAE"/>
    <w:rsid w:val="00BF5DA2"/>
    <w:rsid w:val="00C139B1"/>
    <w:rsid w:val="00C23BD4"/>
    <w:rsid w:val="00C31F6B"/>
    <w:rsid w:val="00C5038C"/>
    <w:rsid w:val="00C54EA9"/>
    <w:rsid w:val="00C643E7"/>
    <w:rsid w:val="00CB57DA"/>
    <w:rsid w:val="00CC630D"/>
    <w:rsid w:val="00CE3623"/>
    <w:rsid w:val="00D12AE8"/>
    <w:rsid w:val="00D16E1A"/>
    <w:rsid w:val="00D64935"/>
    <w:rsid w:val="00D65D3B"/>
    <w:rsid w:val="00DD0118"/>
    <w:rsid w:val="00DD093E"/>
    <w:rsid w:val="00DD3308"/>
    <w:rsid w:val="00E03021"/>
    <w:rsid w:val="00E05554"/>
    <w:rsid w:val="00E129A5"/>
    <w:rsid w:val="00E21F31"/>
    <w:rsid w:val="00E32F82"/>
    <w:rsid w:val="00E3374D"/>
    <w:rsid w:val="00E60DB8"/>
    <w:rsid w:val="00E63432"/>
    <w:rsid w:val="00EC54A4"/>
    <w:rsid w:val="00EC7BB7"/>
    <w:rsid w:val="00EE0FA6"/>
    <w:rsid w:val="00EF59B6"/>
    <w:rsid w:val="00F017B1"/>
    <w:rsid w:val="00F12EBF"/>
    <w:rsid w:val="00F13943"/>
    <w:rsid w:val="00F515B5"/>
    <w:rsid w:val="00F57273"/>
    <w:rsid w:val="00F625B7"/>
    <w:rsid w:val="00F660B7"/>
    <w:rsid w:val="00F814F5"/>
    <w:rsid w:val="00F9186A"/>
    <w:rsid w:val="00FA55C3"/>
    <w:rsid w:val="00FB6E54"/>
    <w:rsid w:val="00FC417F"/>
    <w:rsid w:val="00FD1A02"/>
    <w:rsid w:val="00FF2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B42AA"/>
  <w15:docId w15:val="{E83F06CF-6A3F-4758-B948-9058BE91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D6BAE"/>
  </w:style>
  <w:style w:type="paragraph" w:styleId="Nadpis1">
    <w:name w:val="heading 1"/>
    <w:basedOn w:val="Normln"/>
    <w:next w:val="Normln"/>
    <w:qFormat/>
    <w:rsid w:val="00733FA5"/>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D6BAE"/>
    <w:pPr>
      <w:tabs>
        <w:tab w:val="center" w:pos="4536"/>
        <w:tab w:val="right" w:pos="9072"/>
      </w:tabs>
    </w:pPr>
  </w:style>
  <w:style w:type="character" w:styleId="Hypertextovodkaz">
    <w:name w:val="Hyperlink"/>
    <w:rsid w:val="00BD6BAE"/>
    <w:rPr>
      <w:color w:val="0000FF"/>
      <w:u w:val="single"/>
    </w:rPr>
  </w:style>
  <w:style w:type="paragraph" w:styleId="Zkladntext3">
    <w:name w:val="Body Text 3"/>
    <w:basedOn w:val="Normln"/>
    <w:rsid w:val="00BD6BAE"/>
    <w:pPr>
      <w:spacing w:after="120"/>
    </w:pPr>
    <w:rPr>
      <w:sz w:val="16"/>
      <w:szCs w:val="16"/>
    </w:rPr>
  </w:style>
  <w:style w:type="paragraph" w:styleId="Textbubliny">
    <w:name w:val="Balloon Text"/>
    <w:basedOn w:val="Normln"/>
    <w:semiHidden/>
    <w:rsid w:val="00E60DB8"/>
    <w:rPr>
      <w:rFonts w:ascii="Tahoma" w:hAnsi="Tahoma" w:cs="Tahoma"/>
      <w:sz w:val="16"/>
      <w:szCs w:val="16"/>
    </w:rPr>
  </w:style>
  <w:style w:type="paragraph" w:styleId="Zkladntext">
    <w:name w:val="Body Text"/>
    <w:basedOn w:val="Normln"/>
    <w:rsid w:val="00733FA5"/>
    <w:pPr>
      <w:spacing w:after="120"/>
    </w:pPr>
  </w:style>
  <w:style w:type="paragraph" w:styleId="Odstavecseseznamem">
    <w:name w:val="List Paragraph"/>
    <w:basedOn w:val="Normln"/>
    <w:uiPriority w:val="34"/>
    <w:qFormat/>
    <w:rsid w:val="00452C80"/>
    <w:pPr>
      <w:ind w:left="720"/>
      <w:contextualSpacing/>
    </w:pPr>
    <w:rPr>
      <w:rFonts w:eastAsia="Calibri"/>
    </w:rPr>
  </w:style>
  <w:style w:type="paragraph" w:styleId="Zhlav">
    <w:name w:val="header"/>
    <w:basedOn w:val="Normln"/>
    <w:link w:val="ZhlavChar"/>
    <w:unhideWhenUsed/>
    <w:rsid w:val="00F9186A"/>
    <w:pPr>
      <w:tabs>
        <w:tab w:val="center" w:pos="4536"/>
        <w:tab w:val="right" w:pos="9072"/>
      </w:tabs>
    </w:pPr>
  </w:style>
  <w:style w:type="character" w:customStyle="1" w:styleId="ZhlavChar">
    <w:name w:val="Záhlaví Char"/>
    <w:basedOn w:val="Standardnpsmoodstavce"/>
    <w:link w:val="Zhlav"/>
    <w:rsid w:val="00F9186A"/>
  </w:style>
  <w:style w:type="character" w:styleId="Odkaznakoment">
    <w:name w:val="annotation reference"/>
    <w:semiHidden/>
    <w:rsid w:val="00296BEA"/>
    <w:rPr>
      <w:rFonts w:cs="Times New Roman"/>
      <w:sz w:val="16"/>
      <w:szCs w:val="16"/>
    </w:rPr>
  </w:style>
  <w:style w:type="paragraph" w:styleId="Textkomente">
    <w:name w:val="annotation text"/>
    <w:basedOn w:val="Normln"/>
    <w:link w:val="TextkomenteChar"/>
    <w:semiHidden/>
    <w:rsid w:val="00296BEA"/>
    <w:rPr>
      <w:rFonts w:eastAsia="Calibri"/>
    </w:rPr>
  </w:style>
  <w:style w:type="character" w:customStyle="1" w:styleId="TextkomenteChar">
    <w:name w:val="Text komentáře Char"/>
    <w:basedOn w:val="Standardnpsmoodstavce"/>
    <w:link w:val="Textkomente"/>
    <w:semiHidden/>
    <w:rsid w:val="00296BEA"/>
    <w:rPr>
      <w:rFonts w:eastAsia="Calibri"/>
    </w:rPr>
  </w:style>
  <w:style w:type="paragraph" w:styleId="Revize">
    <w:name w:val="Revision"/>
    <w:hidden/>
    <w:uiPriority w:val="99"/>
    <w:semiHidden/>
    <w:rsid w:val="00296BEA"/>
  </w:style>
  <w:style w:type="paragraph" w:styleId="Pedmtkomente">
    <w:name w:val="annotation subject"/>
    <w:basedOn w:val="Textkomente"/>
    <w:next w:val="Textkomente"/>
    <w:link w:val="PedmtkomenteChar"/>
    <w:semiHidden/>
    <w:unhideWhenUsed/>
    <w:rsid w:val="00880458"/>
    <w:rPr>
      <w:rFonts w:eastAsia="Times New Roman"/>
      <w:b/>
      <w:bCs/>
    </w:rPr>
  </w:style>
  <w:style w:type="character" w:customStyle="1" w:styleId="PedmtkomenteChar">
    <w:name w:val="Předmět komentáře Char"/>
    <w:basedOn w:val="TextkomenteChar"/>
    <w:link w:val="Pedmtkomente"/>
    <w:semiHidden/>
    <w:rsid w:val="00880458"/>
    <w:rPr>
      <w:rFonts w:eastAsia="Calibri"/>
      <w:b/>
      <w:bCs/>
    </w:rPr>
  </w:style>
  <w:style w:type="character" w:customStyle="1" w:styleId="cf01">
    <w:name w:val="cf01"/>
    <w:basedOn w:val="Standardnpsmoodstavce"/>
    <w:rsid w:val="006E36AC"/>
    <w:rPr>
      <w:rFonts w:ascii="Segoe UI" w:hAnsi="Segoe UI" w:cs="Segoe UI" w:hint="default"/>
      <w:sz w:val="18"/>
      <w:szCs w:val="18"/>
    </w:rPr>
  </w:style>
  <w:style w:type="table" w:styleId="Mkatabulky">
    <w:name w:val="Table Grid"/>
    <w:basedOn w:val="Normlntabulka"/>
    <w:uiPriority w:val="39"/>
    <w:rsid w:val="004427A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A6489-500A-4014-BF31-9AD94388DC69}">
  <ds:schemaRefs>
    <ds:schemaRef ds:uri="http://schemas.openxmlformats.org/officeDocument/2006/bibliography"/>
  </ds:schemaRefs>
</ds:datastoreItem>
</file>

<file path=docMetadata/LabelInfo.xml><?xml version="1.0" encoding="utf-8"?>
<clbl:labelList xmlns:clbl="http://schemas.microsoft.com/office/2020/mipLabelMetadata">
  <clbl:label id="{6cf244a6-286b-4b7c-9976-473f7d1df4a9}" enabled="1" method="Privileged" siteId="{5cdffe46-631e-482d-9990-1d2119b3418b}"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1388</Words>
  <Characters>8194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PP a.s.</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Petr.Dvorak@ppas.cz</dc:creator>
  <cp:lastModifiedBy>Šťastná Kateřina</cp:lastModifiedBy>
  <cp:revision>9</cp:revision>
  <cp:lastPrinted>2025-04-30T10:36:00Z</cp:lastPrinted>
  <dcterms:created xsi:type="dcterms:W3CDTF">2024-11-13T14:35:00Z</dcterms:created>
  <dcterms:modified xsi:type="dcterms:W3CDTF">2025-12-09T14:50:00Z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2023-06-06T12:58:36Z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07b508eb-aa5e-4885-9b02-f2165ebafc79</vt:lpwstr>
  </property>
  <property fmtid="{D5CDD505-2E9C-101B-9397-08002B2CF9AE}" pid="8" name="MSIP_Label_6cf244a6-286b-4b7c-9976-473f7d1df4a9_ContentBits">
    <vt:lpwstr>0</vt:lpwstr>
  </property>
</Properties>
</file>