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5EED28FC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6C40D9">
        <w:rPr>
          <w:rFonts w:ascii="Palatino Linotype" w:hAnsi="Palatino Linotype" w:cs="Tahoma"/>
          <w:b/>
          <w:sz w:val="28"/>
          <w:szCs w:val="28"/>
          <w:lang w:eastAsia="cs-CZ"/>
        </w:rPr>
        <w:t>10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7F9390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C849D5">
        <w:rPr>
          <w:rFonts w:ascii="Palatino Linotype" w:hAnsi="Palatino Linotype" w:cs="Arial"/>
          <w:szCs w:val="24"/>
        </w:rPr>
        <w:t xml:space="preserve"> ze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4F19AEFB" w14:textId="77777777" w:rsidR="00C573A4" w:rsidRPr="00C573A4" w:rsidRDefault="00C573A4" w:rsidP="00C573A4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C573A4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Služby aktualizace </w:t>
      </w:r>
      <w:proofErr w:type="spellStart"/>
      <w:r w:rsidRPr="00C573A4"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 w:rsidRPr="00C573A4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</w:p>
    <w:p w14:paraId="69A6BD17" w14:textId="77777777" w:rsidR="00B37EA8" w:rsidRDefault="00B37EA8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50723180" w:rsidR="00BD3D9C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Cs w:val="24"/>
        </w:rPr>
      </w:pPr>
    </w:p>
    <w:p w14:paraId="47E1E35A" w14:textId="77777777" w:rsidR="00C573A4" w:rsidRDefault="00C573A4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Cs w:val="24"/>
        </w:rPr>
      </w:pPr>
    </w:p>
    <w:p w14:paraId="5F408E44" w14:textId="4A9EAF3A" w:rsidR="00C573A4" w:rsidRDefault="00C573A4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Cs w:val="24"/>
        </w:rPr>
      </w:pPr>
    </w:p>
    <w:p w14:paraId="44B52CD2" w14:textId="77777777" w:rsidR="00C573A4" w:rsidRPr="00C573A4" w:rsidRDefault="00C573A4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Cs w:val="24"/>
        </w:rPr>
      </w:pPr>
    </w:p>
    <w:p w14:paraId="044F17FA" w14:textId="25587076" w:rsidR="005948CB" w:rsidRPr="00C573A4" w:rsidRDefault="00BD3334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/>
          <w:b/>
          <w:bCs/>
          <w:color w:val="000000"/>
          <w:szCs w:val="24"/>
        </w:rPr>
        <w:t>Vytvoření separátní OOB sítě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Pr="00C573A4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6247BE4E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BD3334">
        <w:rPr>
          <w:rFonts w:ascii="Palatino Linotype" w:hAnsi="Palatino Linotype" w:cs="Tahoma"/>
          <w:b/>
          <w:sz w:val="22"/>
          <w:szCs w:val="28"/>
          <w:lang w:eastAsia="cs-CZ"/>
        </w:rPr>
        <w:t>10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59F6CFD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0B946BC9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57F7C29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56F08952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1D44D0B6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BD3334">
        <w:rPr>
          <w:rFonts w:ascii="Palatino Linotype" w:hAnsi="Palatino Linotype" w:cs="Arial"/>
          <w:sz w:val="22"/>
          <w:szCs w:val="22"/>
        </w:rPr>
        <w:t>10</w:t>
      </w:r>
      <w:r w:rsidR="00B37EA8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BD3334">
        <w:rPr>
          <w:rFonts w:ascii="Palatino Linotype" w:hAnsi="Palatino Linotype" w:cs="Arial"/>
          <w:sz w:val="22"/>
          <w:szCs w:val="22"/>
        </w:rPr>
        <w:t>10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BD3334">
        <w:rPr>
          <w:rFonts w:ascii="Palatino Linotype" w:hAnsi="Palatino Linotype" w:cs="Arial"/>
          <w:sz w:val="22"/>
          <w:szCs w:val="22"/>
        </w:rPr>
        <w:t>10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38329685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BD3334">
        <w:rPr>
          <w:rFonts w:ascii="Palatino Linotype" w:hAnsi="Palatino Linotype" w:cs="Arial"/>
          <w:sz w:val="22"/>
          <w:szCs w:val="22"/>
        </w:rPr>
        <w:t>10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C849D5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C849D5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6CADACC" w14:textId="77777777" w:rsidR="00A532B3" w:rsidRDefault="00A532B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br w:type="page"/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5DC1BF95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C849D5">
        <w:rPr>
          <w:rFonts w:ascii="Palatino Linotype" w:hAnsi="Palatino Linotype" w:cs="Arial"/>
          <w:sz w:val="22"/>
          <w:szCs w:val="22"/>
        </w:rPr>
        <w:t xml:space="preserve">na adresách </w:t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39FDB031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C849D5">
        <w:rPr>
          <w:rFonts w:ascii="Palatino Linotype" w:hAnsi="Palatino Linotype" w:cs="Arial"/>
          <w:sz w:val="22"/>
          <w:szCs w:val="22"/>
        </w:rPr>
        <w:t xml:space="preserve"> (dále jen „</w:t>
      </w:r>
      <w:r w:rsidR="00C849D5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C849D5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>Prováděcí smlouvy</w:t>
      </w:r>
      <w:r w:rsidR="00C573A4">
        <w:rPr>
          <w:rFonts w:ascii="Palatino Linotype" w:hAnsi="Palatino Linotype" w:cs="Arial"/>
          <w:sz w:val="22"/>
          <w:szCs w:val="22"/>
        </w:rPr>
        <w:t xml:space="preserve">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6C8CD0C1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BD3334">
        <w:rPr>
          <w:rFonts w:ascii="Palatino Linotype" w:hAnsi="Palatino Linotype" w:cs="Arial"/>
          <w:color w:val="000000" w:themeColor="text1"/>
          <w:sz w:val="22"/>
          <w:szCs w:val="22"/>
        </w:rPr>
        <w:t>846.436</w:t>
      </w:r>
      <w:r w:rsidR="00B37EA8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BD3334">
        <w:rPr>
          <w:rFonts w:ascii="Palatino Linotype" w:hAnsi="Palatino Linotype" w:cs="Arial"/>
          <w:color w:val="000000" w:themeColor="text1"/>
          <w:sz w:val="22"/>
          <w:szCs w:val="22"/>
        </w:rPr>
        <w:t>8</w:t>
      </w:r>
      <w:r w:rsidR="00B37EA8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</w:t>
      </w:r>
      <w:r w:rsidR="00C573A4" w:rsidRPr="00C573A4">
        <w:t xml:space="preserve"> </w:t>
      </w:r>
      <w:r w:rsidR="00BD3334" w:rsidRPr="00BD3334">
        <w:rPr>
          <w:rFonts w:ascii="Palatino Linotype" w:hAnsi="Palatino Linotype" w:cs="Arial"/>
          <w:color w:val="000000" w:themeColor="text1"/>
          <w:sz w:val="22"/>
          <w:szCs w:val="22"/>
        </w:rPr>
        <w:t>osm set čtyřicet šest tisíc čtyři sta třicet šest korun českých osmdesát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C849D5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BD3334">
        <w:rPr>
          <w:rFonts w:ascii="Palatino Linotype" w:hAnsi="Palatino Linotype" w:cs="Arial"/>
          <w:color w:val="000000" w:themeColor="text1"/>
          <w:sz w:val="22"/>
          <w:szCs w:val="22"/>
        </w:rPr>
        <w:t>1.024.188,53</w:t>
      </w:r>
      <w:r w:rsidR="00C573A4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Kč (slovy:</w:t>
      </w:r>
      <w:r w:rsidR="003623A0" w:rsidRPr="003623A0">
        <w:t xml:space="preserve"> </w:t>
      </w:r>
      <w:r w:rsidR="00BD3334" w:rsidRPr="00BD3334">
        <w:rPr>
          <w:rFonts w:ascii="Palatino Linotype" w:hAnsi="Palatino Linotype" w:cs="Arial"/>
          <w:color w:val="000000" w:themeColor="text1"/>
          <w:sz w:val="22"/>
          <w:szCs w:val="22"/>
        </w:rPr>
        <w:t>jeden milion dvacet čtyři tisíc jedno sto osmdesát osm korun českých padesát tři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61D4C64A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br w:type="page"/>
      </w:r>
    </w:p>
    <w:p w14:paraId="5F2F5E2F" w14:textId="5CAEF7CB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Cena </w:t>
      </w:r>
      <w:r w:rsidR="00C849D5">
        <w:rPr>
          <w:rFonts w:ascii="Palatino Linotype" w:hAnsi="Palatino Linotype" w:cs="Arial"/>
          <w:sz w:val="22"/>
          <w:szCs w:val="22"/>
        </w:rPr>
        <w:t xml:space="preserve">plnění </w:t>
      </w:r>
      <w:r>
        <w:rPr>
          <w:rFonts w:ascii="Palatino Linotype" w:hAnsi="Palatino Linotype" w:cs="Arial"/>
          <w:sz w:val="22"/>
          <w:szCs w:val="22"/>
        </w:rPr>
        <w:t>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C849D5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C849D5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změn</w:t>
      </w:r>
      <w:r w:rsidR="00C849D5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 </w:t>
      </w:r>
      <w:r w:rsidR="00C849D5">
        <w:rPr>
          <w:rFonts w:ascii="Palatino Linotype" w:hAnsi="Palatino Linotype" w:cs="Arial"/>
          <w:sz w:val="22"/>
          <w:szCs w:val="22"/>
        </w:rPr>
        <w:t xml:space="preserve">plnění </w:t>
      </w:r>
      <w:r w:rsidRPr="00943336">
        <w:rPr>
          <w:rFonts w:ascii="Palatino Linotype" w:hAnsi="Palatino Linotype" w:cs="Arial"/>
          <w:sz w:val="22"/>
          <w:szCs w:val="22"/>
        </w:rPr>
        <w:t xml:space="preserve">v důsledku změny sazby DPH není </w:t>
      </w:r>
      <w:r w:rsidR="00C849D5">
        <w:rPr>
          <w:rFonts w:ascii="Palatino Linotype" w:hAnsi="Palatino Linotype" w:cs="Arial"/>
          <w:sz w:val="22"/>
          <w:szCs w:val="22"/>
        </w:rPr>
        <w:t>podmíněna uzavřením dodatku</w:t>
      </w:r>
      <w:r w:rsidRPr="00943336">
        <w:rPr>
          <w:rFonts w:ascii="Palatino Linotype" w:hAnsi="Palatino Linotype" w:cs="Arial"/>
          <w:sz w:val="22"/>
          <w:szCs w:val="22"/>
        </w:rPr>
        <w:t xml:space="preserve">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22EDD3FB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AC4299">
        <w:rPr>
          <w:rFonts w:ascii="Palatino Linotype" w:hAnsi="Palatino Linotype" w:cs="Arial"/>
          <w:sz w:val="22"/>
          <w:szCs w:val="22"/>
        </w:rPr>
        <w:t>,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AC4299">
        <w:rPr>
          <w:rFonts w:ascii="Palatino Linotype" w:hAnsi="Palatino Linotype" w:cs="Arial"/>
          <w:sz w:val="22"/>
          <w:szCs w:val="22"/>
        </w:rPr>
        <w:t>zejména</w:t>
      </w:r>
      <w:r w:rsidRPr="00943336">
        <w:rPr>
          <w:rFonts w:ascii="Palatino Linotype" w:hAnsi="Palatino Linotype" w:cs="Arial"/>
          <w:sz w:val="22"/>
          <w:szCs w:val="22"/>
        </w:rPr>
        <w:t xml:space="preserve">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1A39D7EE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C849D5">
        <w:rPr>
          <w:rFonts w:ascii="Palatino Linotype" w:hAnsi="Palatino Linotype" w:cs="Arial"/>
          <w:sz w:val="22"/>
          <w:szCs w:val="22"/>
        </w:rPr>
        <w:t xml:space="preserve">této </w:t>
      </w:r>
      <w:r>
        <w:rPr>
          <w:rFonts w:ascii="Palatino Linotype" w:hAnsi="Palatino Linotype" w:cs="Arial"/>
          <w:sz w:val="22"/>
          <w:szCs w:val="22"/>
        </w:rPr>
        <w:t>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C06990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4A437529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C849D5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C849D5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5F475BAF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C849D5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AC4299">
        <w:rPr>
          <w:rFonts w:ascii="Palatino Linotype" w:hAnsi="Palatino Linotype" w:cs="Arial"/>
          <w:sz w:val="22"/>
          <w:szCs w:val="22"/>
        </w:rPr>
        <w:t>podmíněna uzavřením dodatku</w:t>
      </w:r>
      <w:r w:rsidR="00367631">
        <w:rPr>
          <w:rFonts w:ascii="Palatino Linotype" w:hAnsi="Palatino Linotype" w:cs="Arial"/>
          <w:sz w:val="22"/>
          <w:szCs w:val="22"/>
        </w:rPr>
        <w:t xml:space="preserve"> k této Prováděcí smlouvě.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1BB628E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AC4299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AC4299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6E2E9661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AC4299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1C4E3698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s.r.o., 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5F02F722" w14:textId="0BCD3872" w:rsidR="00AC4299" w:rsidRPr="006674E4" w:rsidRDefault="00AC4299" w:rsidP="00AC4299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5D07E524" w:rsidR="000E541D" w:rsidRPr="00CF0CED" w:rsidRDefault="00BD3334" w:rsidP="002155A9">
      <w:pPr>
        <w:rPr>
          <w:rFonts w:ascii="Palatino Linotype" w:hAnsi="Palatino Linotype" w:cs="Arial"/>
          <w:sz w:val="22"/>
          <w:szCs w:val="22"/>
        </w:rPr>
        <w:sectPr w:rsidR="000E541D" w:rsidRPr="00CF0CED" w:rsidSect="005F74D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  <w:r w:rsidRPr="00352E73">
        <w:rPr>
          <w:rFonts w:ascii="Palatino Linotype" w:hAnsi="Palatino Linotype"/>
          <w:sz w:val="22"/>
          <w:szCs w:val="22"/>
        </w:rPr>
        <w:t xml:space="preserve"> </w:t>
      </w: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05890A8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565849A" w14:textId="77777777" w:rsidR="00352E73" w:rsidRDefault="00352E73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CF36F91" w14:textId="12EE7BAF" w:rsidR="002155A9" w:rsidRDefault="002155A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034CD5C3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7C9D" w14:textId="77777777" w:rsidR="00D600C9" w:rsidRDefault="00D600C9" w:rsidP="00312D44">
      <w:pPr>
        <w:spacing w:line="240" w:lineRule="auto"/>
      </w:pPr>
      <w:r>
        <w:separator/>
      </w:r>
    </w:p>
  </w:endnote>
  <w:endnote w:type="continuationSeparator" w:id="0">
    <w:p w14:paraId="3E22DC25" w14:textId="77777777" w:rsidR="00D600C9" w:rsidRDefault="00D600C9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927F" w14:textId="77777777" w:rsidR="00F83E80" w:rsidRDefault="00F83E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929E" w14:textId="77777777" w:rsidR="00D600C9" w:rsidRDefault="00D600C9" w:rsidP="00312D44">
      <w:pPr>
        <w:spacing w:line="240" w:lineRule="auto"/>
      </w:pPr>
      <w:r>
        <w:separator/>
      </w:r>
    </w:p>
  </w:footnote>
  <w:footnote w:type="continuationSeparator" w:id="0">
    <w:p w14:paraId="6726DE00" w14:textId="77777777" w:rsidR="00D600C9" w:rsidRDefault="00D600C9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3B41" w14:textId="77777777" w:rsidR="00F83E80" w:rsidRDefault="00F83E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364C35DB" w:rsidR="00D55C9F" w:rsidRDefault="00D55C9F" w:rsidP="00967BBA">
    <w:pPr>
      <w:pStyle w:val="Zhlav"/>
      <w:tabs>
        <w:tab w:val="left" w:pos="1522"/>
      </w:tabs>
    </w:pPr>
    <w:r w:rsidRPr="00D55C9F">
      <w:tab/>
    </w:r>
    <w:r w:rsidR="00967BBA">
      <w:tab/>
    </w:r>
    <w:r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7AF3D28"/>
    <w:multiLevelType w:val="hybridMultilevel"/>
    <w:tmpl w:val="1FA4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C93E77"/>
    <w:multiLevelType w:val="hybridMultilevel"/>
    <w:tmpl w:val="3908512C"/>
    <w:lvl w:ilvl="0" w:tplc="2BE68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7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66E90"/>
    <w:multiLevelType w:val="hybridMultilevel"/>
    <w:tmpl w:val="9DF8B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2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696350591">
    <w:abstractNumId w:val="7"/>
  </w:num>
  <w:num w:numId="2" w16cid:durableId="1269581116">
    <w:abstractNumId w:val="10"/>
  </w:num>
  <w:num w:numId="3" w16cid:durableId="12877080">
    <w:abstractNumId w:val="9"/>
  </w:num>
  <w:num w:numId="4" w16cid:durableId="236284887">
    <w:abstractNumId w:val="37"/>
  </w:num>
  <w:num w:numId="5" w16cid:durableId="1209032246">
    <w:abstractNumId w:val="8"/>
  </w:num>
  <w:num w:numId="6" w16cid:durableId="979189225">
    <w:abstractNumId w:val="32"/>
  </w:num>
  <w:num w:numId="7" w16cid:durableId="1553466924">
    <w:abstractNumId w:val="13"/>
  </w:num>
  <w:num w:numId="8" w16cid:durableId="1231572473">
    <w:abstractNumId w:val="3"/>
  </w:num>
  <w:num w:numId="9" w16cid:durableId="1638147060">
    <w:abstractNumId w:val="20"/>
  </w:num>
  <w:num w:numId="10" w16cid:durableId="74984889">
    <w:abstractNumId w:val="31"/>
  </w:num>
  <w:num w:numId="11" w16cid:durableId="1795363324">
    <w:abstractNumId w:val="26"/>
  </w:num>
  <w:num w:numId="12" w16cid:durableId="353308854">
    <w:abstractNumId w:val="2"/>
  </w:num>
  <w:num w:numId="13" w16cid:durableId="448209590">
    <w:abstractNumId w:val="18"/>
  </w:num>
  <w:num w:numId="14" w16cid:durableId="1313683673">
    <w:abstractNumId w:val="0"/>
  </w:num>
  <w:num w:numId="15" w16cid:durableId="879392690">
    <w:abstractNumId w:val="35"/>
  </w:num>
  <w:num w:numId="16" w16cid:durableId="890993678">
    <w:abstractNumId w:val="12"/>
  </w:num>
  <w:num w:numId="17" w16cid:durableId="1219127131">
    <w:abstractNumId w:val="36"/>
  </w:num>
  <w:num w:numId="18" w16cid:durableId="1357971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26535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5237352">
    <w:abstractNumId w:val="15"/>
  </w:num>
  <w:num w:numId="21" w16cid:durableId="2130975223">
    <w:abstractNumId w:val="22"/>
  </w:num>
  <w:num w:numId="22" w16cid:durableId="1967194165">
    <w:abstractNumId w:val="28"/>
  </w:num>
  <w:num w:numId="23" w16cid:durableId="168260026">
    <w:abstractNumId w:val="23"/>
  </w:num>
  <w:num w:numId="24" w16cid:durableId="1314020082">
    <w:abstractNumId w:val="34"/>
  </w:num>
  <w:num w:numId="25" w16cid:durableId="605619099">
    <w:abstractNumId w:val="11"/>
  </w:num>
  <w:num w:numId="26" w16cid:durableId="297106535">
    <w:abstractNumId w:val="27"/>
  </w:num>
  <w:num w:numId="27" w16cid:durableId="2005161214">
    <w:abstractNumId w:val="24"/>
  </w:num>
  <w:num w:numId="28" w16cid:durableId="214700634">
    <w:abstractNumId w:val="21"/>
  </w:num>
  <w:num w:numId="29" w16cid:durableId="1085420505">
    <w:abstractNumId w:val="14"/>
  </w:num>
  <w:num w:numId="30" w16cid:durableId="1945646837">
    <w:abstractNumId w:val="16"/>
  </w:num>
  <w:num w:numId="31" w16cid:durableId="822308488">
    <w:abstractNumId w:val="33"/>
  </w:num>
  <w:num w:numId="32" w16cid:durableId="530605130">
    <w:abstractNumId w:val="5"/>
  </w:num>
  <w:num w:numId="33" w16cid:durableId="1687511922">
    <w:abstractNumId w:val="18"/>
  </w:num>
  <w:num w:numId="34" w16cid:durableId="582223869">
    <w:abstractNumId w:val="25"/>
  </w:num>
  <w:num w:numId="35" w16cid:durableId="8795118">
    <w:abstractNumId w:val="19"/>
  </w:num>
  <w:num w:numId="36" w16cid:durableId="2130927492">
    <w:abstractNumId w:val="30"/>
  </w:num>
  <w:num w:numId="37" w16cid:durableId="47068744">
    <w:abstractNumId w:val="4"/>
  </w:num>
  <w:num w:numId="38" w16cid:durableId="280646843">
    <w:abstractNumId w:val="1"/>
  </w:num>
  <w:num w:numId="39" w16cid:durableId="2016805874">
    <w:abstractNumId w:val="6"/>
  </w:num>
  <w:num w:numId="40" w16cid:durableId="439687886">
    <w:abstractNumId w:val="17"/>
  </w:num>
  <w:num w:numId="41" w16cid:durableId="326983718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402"/>
    <w:rsid w:val="000D69B4"/>
    <w:rsid w:val="000E2F78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1048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55A9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5681B"/>
    <w:rsid w:val="00264901"/>
    <w:rsid w:val="00283567"/>
    <w:rsid w:val="002840F1"/>
    <w:rsid w:val="00286F1F"/>
    <w:rsid w:val="00290B30"/>
    <w:rsid w:val="002A6F43"/>
    <w:rsid w:val="002A727F"/>
    <w:rsid w:val="002C1C7C"/>
    <w:rsid w:val="002C7DA2"/>
    <w:rsid w:val="002D00FE"/>
    <w:rsid w:val="002D0583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2E73"/>
    <w:rsid w:val="00354C18"/>
    <w:rsid w:val="0035581B"/>
    <w:rsid w:val="00357F62"/>
    <w:rsid w:val="003623A0"/>
    <w:rsid w:val="00366115"/>
    <w:rsid w:val="00367631"/>
    <w:rsid w:val="003723DD"/>
    <w:rsid w:val="00381945"/>
    <w:rsid w:val="00385061"/>
    <w:rsid w:val="003867D3"/>
    <w:rsid w:val="00386926"/>
    <w:rsid w:val="003905B4"/>
    <w:rsid w:val="00394313"/>
    <w:rsid w:val="003B08EC"/>
    <w:rsid w:val="003B4A88"/>
    <w:rsid w:val="003B7A0D"/>
    <w:rsid w:val="003C312F"/>
    <w:rsid w:val="003C46D3"/>
    <w:rsid w:val="003D3877"/>
    <w:rsid w:val="003E5408"/>
    <w:rsid w:val="003F1262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4143"/>
    <w:rsid w:val="00695413"/>
    <w:rsid w:val="006A0E81"/>
    <w:rsid w:val="006A593A"/>
    <w:rsid w:val="006A5DA2"/>
    <w:rsid w:val="006B53E8"/>
    <w:rsid w:val="006B79BB"/>
    <w:rsid w:val="006C0963"/>
    <w:rsid w:val="006C40D9"/>
    <w:rsid w:val="006C5883"/>
    <w:rsid w:val="006C75D3"/>
    <w:rsid w:val="006D6E20"/>
    <w:rsid w:val="006D7971"/>
    <w:rsid w:val="006E57DC"/>
    <w:rsid w:val="00705A48"/>
    <w:rsid w:val="007125FB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4F38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1DEF"/>
    <w:rsid w:val="008E2D6A"/>
    <w:rsid w:val="008E328E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53B5E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299"/>
    <w:rsid w:val="00AC4518"/>
    <w:rsid w:val="00AD329E"/>
    <w:rsid w:val="00AD3B4E"/>
    <w:rsid w:val="00AD4179"/>
    <w:rsid w:val="00AE311E"/>
    <w:rsid w:val="00AF215E"/>
    <w:rsid w:val="00AF3434"/>
    <w:rsid w:val="00B030EB"/>
    <w:rsid w:val="00B05B90"/>
    <w:rsid w:val="00B158E3"/>
    <w:rsid w:val="00B17595"/>
    <w:rsid w:val="00B17ABB"/>
    <w:rsid w:val="00B2381D"/>
    <w:rsid w:val="00B23C42"/>
    <w:rsid w:val="00B2739B"/>
    <w:rsid w:val="00B32E55"/>
    <w:rsid w:val="00B355D3"/>
    <w:rsid w:val="00B3693A"/>
    <w:rsid w:val="00B36D9F"/>
    <w:rsid w:val="00B37EA8"/>
    <w:rsid w:val="00B4048D"/>
    <w:rsid w:val="00B437FF"/>
    <w:rsid w:val="00B523FD"/>
    <w:rsid w:val="00B67B81"/>
    <w:rsid w:val="00B73D11"/>
    <w:rsid w:val="00B76A26"/>
    <w:rsid w:val="00B772A9"/>
    <w:rsid w:val="00B84CA1"/>
    <w:rsid w:val="00B97A70"/>
    <w:rsid w:val="00BD3334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573A4"/>
    <w:rsid w:val="00C6730F"/>
    <w:rsid w:val="00C67380"/>
    <w:rsid w:val="00C67658"/>
    <w:rsid w:val="00C849D5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00C9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17A68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83E80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62C1-FF7B-4D11-BE0C-F88A98D8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1737</Words>
  <Characters>10252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2025-12-09T16:10:00Z</cp:lastPrinted>
  <dcterms:created xsi:type="dcterms:W3CDTF">2025-12-16T16:08:00Z</dcterms:created>
  <dcterms:modified xsi:type="dcterms:W3CDTF">2025-12-19T09:04:00Z</dcterms:modified>
</cp:coreProperties>
</file>