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42BB" w14:textId="77777777" w:rsidR="0086530B" w:rsidRDefault="0086530B">
      <w:pPr>
        <w:spacing w:line="1" w:lineRule="exact"/>
      </w:pPr>
    </w:p>
    <w:p w14:paraId="7E66DC51" w14:textId="77777777" w:rsidR="0086530B" w:rsidRDefault="00000000">
      <w:pPr>
        <w:pStyle w:val="Zhlavnebozpat0"/>
        <w:framePr w:wrap="none" w:vAnchor="page" w:hAnchor="page" w:x="8933" w:y="954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4B1F0E34" w14:textId="77777777" w:rsidR="0086530B" w:rsidRDefault="00000000">
      <w:pPr>
        <w:pStyle w:val="Zkladntext60"/>
        <w:framePr w:wrap="none" w:vAnchor="page" w:hAnchor="page" w:x="1579" w:y="1199"/>
        <w:spacing w:after="0" w:line="240" w:lineRule="auto"/>
        <w:jc w:val="both"/>
      </w:pPr>
      <w:r>
        <w:t>Níže uvedeného dne, měsíce a roku uzavřely</w:t>
      </w:r>
    </w:p>
    <w:p w14:paraId="0170C79F" w14:textId="77777777" w:rsidR="0086530B" w:rsidRDefault="00000000">
      <w:pPr>
        <w:pStyle w:val="Titulektabulky0"/>
        <w:framePr w:wrap="none" w:vAnchor="page" w:hAnchor="page" w:x="1594" w:y="1794"/>
        <w:rPr>
          <w:sz w:val="18"/>
          <w:szCs w:val="18"/>
        </w:rPr>
      </w:pPr>
      <w:r>
        <w:rPr>
          <w:sz w:val="18"/>
          <w:szCs w:val="18"/>
        </w:rPr>
        <w:t>statutární město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7747"/>
      </w:tblGrid>
      <w:tr w:rsidR="0086530B" w14:paraId="52A9E79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79" w:type="dxa"/>
            <w:shd w:val="clear" w:color="auto" w:fill="auto"/>
          </w:tcPr>
          <w:p w14:paraId="5EA6D35C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7747" w:type="dxa"/>
            <w:shd w:val="clear" w:color="auto" w:fill="auto"/>
          </w:tcPr>
          <w:p w14:paraId="41075DE5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002 74 046</w:t>
            </w:r>
          </w:p>
        </w:tc>
      </w:tr>
      <w:tr w:rsidR="0086530B" w14:paraId="19413E1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79" w:type="dxa"/>
            <w:shd w:val="clear" w:color="auto" w:fill="auto"/>
          </w:tcPr>
          <w:p w14:paraId="5B267E0B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7747" w:type="dxa"/>
            <w:shd w:val="clear" w:color="auto" w:fill="auto"/>
          </w:tcPr>
          <w:p w14:paraId="6EBE654D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Pernštýnské nám. 1, PSČ 530 21 Pardubice</w:t>
            </w:r>
          </w:p>
        </w:tc>
      </w:tr>
      <w:tr w:rsidR="0086530B" w14:paraId="3AA3E8F9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979" w:type="dxa"/>
            <w:shd w:val="clear" w:color="auto" w:fill="auto"/>
          </w:tcPr>
          <w:p w14:paraId="76F81A1F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jednající:</w:t>
            </w:r>
          </w:p>
        </w:tc>
        <w:tc>
          <w:tcPr>
            <w:tcW w:w="7747" w:type="dxa"/>
            <w:shd w:val="clear" w:color="auto" w:fill="auto"/>
            <w:vAlign w:val="bottom"/>
          </w:tcPr>
          <w:p w14:paraId="270F1DAF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3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Miroslav Macela,</w:t>
            </w:r>
          </w:p>
          <w:p w14:paraId="09F29752" w14:textId="77777777" w:rsidR="0086530B" w:rsidRDefault="00000000">
            <w:pPr>
              <w:pStyle w:val="Jin0"/>
              <w:framePr w:w="8726" w:h="1771" w:wrap="none" w:vAnchor="page" w:hAnchor="page" w:x="1579" w:y="2063"/>
              <w:spacing w:after="0"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vedoucí oddělení pozemků a převodu nemovitostí Magistrátu města Pardubic, a to na základě čl. 10 odst. 1 a odst. 6 a čl. 12 směrnice č. 5/2025 Organizační řád v platném znění</w:t>
            </w:r>
          </w:p>
        </w:tc>
      </w:tr>
    </w:tbl>
    <w:p w14:paraId="3D2D7D89" w14:textId="77777777" w:rsidR="0086530B" w:rsidRDefault="00000000">
      <w:pPr>
        <w:pStyle w:val="Zkladntext60"/>
        <w:framePr w:wrap="none" w:vAnchor="page" w:hAnchor="page" w:x="1579" w:y="4180"/>
        <w:spacing w:after="0" w:line="240" w:lineRule="auto"/>
        <w:jc w:val="both"/>
      </w:pPr>
      <w:r>
        <w:t xml:space="preserve">(dále jenom jako </w:t>
      </w:r>
      <w:r>
        <w:rPr>
          <w:b/>
          <w:bCs/>
          <w:i/>
          <w:iCs/>
        </w:rPr>
        <w:t>„pronajímatel")</w:t>
      </w:r>
    </w:p>
    <w:p w14:paraId="1535CBE3" w14:textId="77777777" w:rsidR="0086530B" w:rsidRDefault="00000000">
      <w:pPr>
        <w:pStyle w:val="Jin0"/>
        <w:framePr w:wrap="none" w:vAnchor="page" w:hAnchor="page" w:x="1589" w:y="4775"/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</w:t>
      </w:r>
    </w:p>
    <w:p w14:paraId="4BDB7225" w14:textId="77777777" w:rsidR="0086530B" w:rsidRDefault="00000000">
      <w:pPr>
        <w:pStyle w:val="Zkladntext60"/>
        <w:framePr w:w="8746" w:h="2698" w:hRule="exact" w:wrap="none" w:vAnchor="page" w:hAnchor="page" w:x="1579" w:y="5375"/>
        <w:tabs>
          <w:tab w:val="left" w:pos="1834"/>
        </w:tabs>
        <w:spacing w:after="0" w:line="324" w:lineRule="auto"/>
        <w:ind w:right="6413"/>
        <w:jc w:val="both"/>
      </w:pPr>
      <w:r>
        <w:rPr>
          <w:b/>
          <w:bCs/>
        </w:rPr>
        <w:t>Pavel Kubíček</w:t>
      </w:r>
      <w:r>
        <w:rPr>
          <w:b/>
          <w:bCs/>
        </w:rPr>
        <w:br/>
        <w:t>nar.:</w:t>
      </w:r>
      <w:r>
        <w:rPr>
          <w:b/>
          <w:bCs/>
        </w:rPr>
        <w:tab/>
      </w:r>
      <w:r>
        <w:t>1968</w:t>
      </w:r>
    </w:p>
    <w:p w14:paraId="3CB6D580" w14:textId="77777777" w:rsidR="0086530B" w:rsidRDefault="00000000">
      <w:pPr>
        <w:pStyle w:val="Zkladntext60"/>
        <w:framePr w:w="8746" w:h="2698" w:hRule="exact" w:wrap="none" w:vAnchor="page" w:hAnchor="page" w:x="1579" w:y="5375"/>
        <w:spacing w:after="0" w:line="662" w:lineRule="auto"/>
        <w:ind w:right="6413"/>
        <w:jc w:val="both"/>
      </w:pPr>
      <w:r>
        <w:rPr>
          <w:b/>
          <w:bCs/>
        </w:rPr>
        <w:t>trvale bytem:</w:t>
      </w:r>
      <w:r>
        <w:rPr>
          <w:b/>
          <w:bCs/>
        </w:rPr>
        <w:br/>
        <w:t>a</w:t>
      </w:r>
    </w:p>
    <w:p w14:paraId="4D296418" w14:textId="77777777" w:rsidR="0086530B" w:rsidRDefault="00000000">
      <w:pPr>
        <w:pStyle w:val="Zkladntext60"/>
        <w:framePr w:w="8746" w:h="2698" w:hRule="exact" w:wrap="none" w:vAnchor="page" w:hAnchor="page" w:x="1579" w:y="5375"/>
        <w:tabs>
          <w:tab w:val="left" w:pos="1834"/>
        </w:tabs>
        <w:spacing w:after="0"/>
        <w:ind w:right="6413"/>
        <w:jc w:val="both"/>
      </w:pPr>
      <w:r>
        <w:rPr>
          <w:b/>
          <w:bCs/>
        </w:rPr>
        <w:t xml:space="preserve">Ivo </w:t>
      </w:r>
      <w:proofErr w:type="spellStart"/>
      <w:r>
        <w:rPr>
          <w:b/>
          <w:bCs/>
        </w:rPr>
        <w:t>Rybišar</w:t>
      </w:r>
      <w:proofErr w:type="spellEnd"/>
      <w:r>
        <w:rPr>
          <w:b/>
          <w:bCs/>
        </w:rPr>
        <w:br/>
        <w:t>nar.:</w:t>
      </w:r>
      <w:r>
        <w:rPr>
          <w:b/>
          <w:bCs/>
        </w:rPr>
        <w:tab/>
      </w:r>
      <w:r>
        <w:t>1971</w:t>
      </w:r>
    </w:p>
    <w:p w14:paraId="47F1C954" w14:textId="77777777" w:rsidR="0086530B" w:rsidRDefault="00000000">
      <w:pPr>
        <w:pStyle w:val="Zkladntext60"/>
        <w:framePr w:w="8746" w:h="2698" w:hRule="exact" w:wrap="none" w:vAnchor="page" w:hAnchor="page" w:x="1579" w:y="5375"/>
        <w:spacing w:after="0"/>
        <w:ind w:right="6413"/>
        <w:jc w:val="both"/>
      </w:pPr>
      <w:r>
        <w:rPr>
          <w:b/>
          <w:bCs/>
        </w:rPr>
        <w:t>trvale bytem:</w:t>
      </w:r>
    </w:p>
    <w:p w14:paraId="21C588D7" w14:textId="77777777" w:rsidR="0086530B" w:rsidRDefault="00000000">
      <w:pPr>
        <w:pStyle w:val="Zkladntext60"/>
        <w:framePr w:wrap="none" w:vAnchor="page" w:hAnchor="page" w:x="4603" w:y="5942"/>
        <w:spacing w:after="0" w:line="240" w:lineRule="auto"/>
      </w:pPr>
      <w:r>
        <w:t>PSČ 530 02 Pardubice</w:t>
      </w:r>
    </w:p>
    <w:p w14:paraId="321F541B" w14:textId="77777777" w:rsidR="0086530B" w:rsidRDefault="00000000">
      <w:pPr>
        <w:pStyle w:val="Zkladntext60"/>
        <w:framePr w:w="2035" w:h="269" w:hRule="exact" w:wrap="none" w:vAnchor="page" w:hAnchor="page" w:x="4699" w:y="7732"/>
        <w:spacing w:after="0" w:line="240" w:lineRule="auto"/>
        <w:ind w:right="5"/>
        <w:jc w:val="center"/>
      </w:pPr>
      <w:r>
        <w:t>PSČ 530 02 Pardubice</w:t>
      </w:r>
    </w:p>
    <w:p w14:paraId="76EA6BE4" w14:textId="77777777" w:rsidR="0086530B" w:rsidRDefault="00000000">
      <w:pPr>
        <w:pStyle w:val="Zkladntext60"/>
        <w:framePr w:w="8746" w:h="1176" w:hRule="exact" w:wrap="none" w:vAnchor="page" w:hAnchor="page" w:x="1579" w:y="8351"/>
        <w:spacing w:after="260"/>
        <w:jc w:val="both"/>
      </w:pPr>
      <w:r>
        <w:t xml:space="preserve">(dále společně jenom jako </w:t>
      </w:r>
      <w:r>
        <w:rPr>
          <w:b/>
          <w:bCs/>
          <w:i/>
          <w:iCs/>
        </w:rPr>
        <w:t>„nájemce“)</w:t>
      </w:r>
    </w:p>
    <w:p w14:paraId="1A3A1319" w14:textId="6F3A7D98" w:rsidR="0086530B" w:rsidRDefault="00000000">
      <w:pPr>
        <w:pStyle w:val="Zkladntext60"/>
        <w:framePr w:w="8746" w:h="1176" w:hRule="exact" w:wrap="none" w:vAnchor="page" w:hAnchor="page" w:x="1579" w:y="8351"/>
        <w:spacing w:after="0"/>
        <w:ind w:firstLine="480"/>
        <w:jc w:val="both"/>
      </w:pPr>
      <w:r>
        <w:rPr>
          <w:b/>
          <w:bCs/>
          <w:i/>
          <w:iCs/>
        </w:rPr>
        <w:t>v</w:t>
      </w:r>
      <w:r>
        <w:t xml:space="preserve"> souladu s ustanovením § 2201 a násl. zákona č. 89/2012 Sb., občanský zákoník v platném znění (dále jenom jako </w:t>
      </w:r>
      <w:r>
        <w:rPr>
          <w:b/>
          <w:bCs/>
          <w:i/>
          <w:iCs/>
        </w:rPr>
        <w:t>„</w:t>
      </w:r>
      <w:r w:rsidR="001D32DB">
        <w:rPr>
          <w:b/>
          <w:bCs/>
          <w:i/>
          <w:iCs/>
        </w:rPr>
        <w:t>občanský zákoník</w:t>
      </w:r>
      <w:r>
        <w:rPr>
          <w:b/>
          <w:bCs/>
          <w:i/>
          <w:iCs/>
        </w:rPr>
        <w:t>“)</w:t>
      </w:r>
      <w:r>
        <w:t xml:space="preserve"> tuto</w:t>
      </w:r>
    </w:p>
    <w:p w14:paraId="40FB76EE" w14:textId="77777777" w:rsidR="0086530B" w:rsidRDefault="00000000">
      <w:pPr>
        <w:pStyle w:val="Nadpis10"/>
        <w:framePr w:w="8746" w:h="5386" w:hRule="exact" w:wrap="none" w:vAnchor="page" w:hAnchor="page" w:x="1579" w:y="10257"/>
        <w:spacing w:after="360"/>
        <w:ind w:firstLine="0"/>
        <w:jc w:val="center"/>
        <w:rPr>
          <w:sz w:val="26"/>
          <w:szCs w:val="26"/>
        </w:rPr>
      </w:pPr>
      <w:bookmarkStart w:id="0" w:name="bookmark0"/>
      <w:r>
        <w:rPr>
          <w:rFonts w:ascii="Tahoma" w:eastAsia="Tahoma" w:hAnsi="Tahoma" w:cs="Tahoma"/>
          <w:b/>
          <w:bCs/>
          <w:sz w:val="26"/>
          <w:szCs w:val="26"/>
        </w:rPr>
        <w:t>nájemní smlouvu</w:t>
      </w:r>
      <w:bookmarkEnd w:id="0"/>
    </w:p>
    <w:p w14:paraId="0A0E61EE" w14:textId="77777777" w:rsidR="0086530B" w:rsidRDefault="0086530B">
      <w:pPr>
        <w:pStyle w:val="Nadpis20"/>
        <w:framePr w:w="8746" w:h="5386" w:hRule="exact" w:wrap="none" w:vAnchor="page" w:hAnchor="page" w:x="1579" w:y="10257"/>
        <w:numPr>
          <w:ilvl w:val="0"/>
          <w:numId w:val="1"/>
        </w:numPr>
        <w:spacing w:after="0" w:line="334" w:lineRule="auto"/>
        <w:jc w:val="center"/>
        <w:rPr>
          <w:sz w:val="18"/>
          <w:szCs w:val="18"/>
        </w:rPr>
      </w:pPr>
    </w:p>
    <w:p w14:paraId="64CF964A" w14:textId="77777777" w:rsidR="0086530B" w:rsidRDefault="00000000">
      <w:pPr>
        <w:pStyle w:val="Nadpis20"/>
        <w:framePr w:w="8746" w:h="5386" w:hRule="exact" w:wrap="none" w:vAnchor="page" w:hAnchor="page" w:x="1579" w:y="10257"/>
        <w:spacing w:after="0" w:line="334" w:lineRule="auto"/>
        <w:jc w:val="center"/>
        <w:rPr>
          <w:sz w:val="18"/>
          <w:szCs w:val="18"/>
        </w:rPr>
      </w:pPr>
      <w:r>
        <w:rPr>
          <w:sz w:val="18"/>
          <w:szCs w:val="18"/>
        </w:rPr>
        <w:t>Prohlášení smluvních stran</w:t>
      </w:r>
    </w:p>
    <w:p w14:paraId="0AC582E2" w14:textId="77777777" w:rsidR="0086530B" w:rsidRDefault="00000000">
      <w:pPr>
        <w:pStyle w:val="Zkladntext60"/>
        <w:framePr w:w="8746" w:h="5386" w:hRule="exact" w:wrap="none" w:vAnchor="page" w:hAnchor="page" w:x="1579" w:y="10257"/>
        <w:numPr>
          <w:ilvl w:val="1"/>
          <w:numId w:val="2"/>
        </w:numPr>
        <w:tabs>
          <w:tab w:val="left" w:pos="550"/>
        </w:tabs>
        <w:spacing w:after="0" w:line="334" w:lineRule="auto"/>
        <w:ind w:left="540" w:hanging="540"/>
        <w:jc w:val="both"/>
      </w:pPr>
      <w:r>
        <w:t>Pronajímatel prohlašuje, že je výlučným vlastníkem níže uvedených pozemků označených jako:</w:t>
      </w:r>
    </w:p>
    <w:p w14:paraId="563ABE17" w14:textId="77777777" w:rsidR="0086530B" w:rsidRDefault="00000000">
      <w:pPr>
        <w:pStyle w:val="Zkladntext60"/>
        <w:framePr w:w="8746" w:h="5386" w:hRule="exact" w:wrap="none" w:vAnchor="page" w:hAnchor="page" w:x="1579" w:y="10257"/>
        <w:spacing w:after="260" w:line="334" w:lineRule="auto"/>
        <w:ind w:firstLine="760"/>
        <w:jc w:val="both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st.p.č</w:t>
      </w:r>
      <w:proofErr w:type="spellEnd"/>
      <w:r>
        <w:rPr>
          <w:b/>
          <w:bCs/>
        </w:rPr>
        <w:t xml:space="preserve">. 8605 v obci a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Pardubice.</w:t>
      </w:r>
    </w:p>
    <w:p w14:paraId="269B55B8" w14:textId="77777777" w:rsidR="0086530B" w:rsidRDefault="0086530B">
      <w:pPr>
        <w:pStyle w:val="Nadpis20"/>
        <w:framePr w:w="8746" w:h="5386" w:hRule="exact" w:wrap="none" w:vAnchor="page" w:hAnchor="page" w:x="1579" w:y="10257"/>
        <w:numPr>
          <w:ilvl w:val="0"/>
          <w:numId w:val="1"/>
        </w:numPr>
        <w:spacing w:after="0" w:line="331" w:lineRule="auto"/>
        <w:jc w:val="center"/>
        <w:rPr>
          <w:sz w:val="18"/>
          <w:szCs w:val="18"/>
        </w:rPr>
      </w:pPr>
    </w:p>
    <w:p w14:paraId="303433C2" w14:textId="77777777" w:rsidR="0086530B" w:rsidRDefault="00000000">
      <w:pPr>
        <w:pStyle w:val="Nadpis20"/>
        <w:framePr w:w="8746" w:h="5386" w:hRule="exact" w:wrap="none" w:vAnchor="page" w:hAnchor="page" w:x="1579" w:y="10257"/>
        <w:spacing w:after="0" w:line="331" w:lineRule="auto"/>
        <w:jc w:val="center"/>
        <w:rPr>
          <w:sz w:val="18"/>
          <w:szCs w:val="18"/>
        </w:rPr>
      </w:pPr>
      <w:bookmarkStart w:id="1" w:name="bookmark7"/>
      <w:r>
        <w:rPr>
          <w:sz w:val="18"/>
          <w:szCs w:val="18"/>
        </w:rPr>
        <w:t>Předmět smlouvy</w:t>
      </w:r>
      <w:bookmarkEnd w:id="1"/>
    </w:p>
    <w:p w14:paraId="5DB270FE" w14:textId="77777777" w:rsidR="0086530B" w:rsidRDefault="00000000">
      <w:pPr>
        <w:pStyle w:val="Zkladntext60"/>
        <w:framePr w:w="8746" w:h="5386" w:hRule="exact" w:wrap="none" w:vAnchor="page" w:hAnchor="page" w:x="1579" w:y="10257"/>
        <w:numPr>
          <w:ilvl w:val="1"/>
          <w:numId w:val="3"/>
        </w:numPr>
        <w:tabs>
          <w:tab w:val="left" w:pos="550"/>
        </w:tabs>
        <w:spacing w:after="260" w:line="331" w:lineRule="auto"/>
        <w:ind w:left="540" w:hanging="540"/>
        <w:jc w:val="both"/>
      </w:pPr>
      <w:r>
        <w:t xml:space="preserve">Pronajímatel přenechává nájemci do nájmu </w:t>
      </w:r>
      <w:r>
        <w:rPr>
          <w:b/>
          <w:bCs/>
        </w:rPr>
        <w:t xml:space="preserve">část pozemku označeného jako </w:t>
      </w:r>
      <w:proofErr w:type="spellStart"/>
      <w:r>
        <w:rPr>
          <w:b/>
          <w:bCs/>
        </w:rPr>
        <w:t>st.p.č</w:t>
      </w:r>
      <w:proofErr w:type="spellEnd"/>
      <w:r>
        <w:rPr>
          <w:b/>
          <w:bCs/>
        </w:rPr>
        <w:t xml:space="preserve">. 8605 o výměře 154 m2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Pardubice, </w:t>
      </w:r>
      <w:r>
        <w:t xml:space="preserve">a to tak, jak je zakresleno na snímku katastrální mapy, </w:t>
      </w:r>
      <w:r>
        <w:rPr>
          <w:b/>
          <w:bCs/>
        </w:rPr>
        <w:t xml:space="preserve">který je přílohou </w:t>
      </w:r>
      <w:r>
        <w:t xml:space="preserve">této smlouvy (dále jenom jako </w:t>
      </w:r>
      <w:r>
        <w:rPr>
          <w:b/>
          <w:bCs/>
          <w:i/>
          <w:iCs/>
        </w:rPr>
        <w:t>„předmět nájmu“).</w:t>
      </w:r>
    </w:p>
    <w:p w14:paraId="21A5A01C" w14:textId="77777777" w:rsidR="0086530B" w:rsidRDefault="00000000">
      <w:pPr>
        <w:pStyle w:val="Zkladntext60"/>
        <w:framePr w:w="8746" w:h="5386" w:hRule="exact" w:wrap="none" w:vAnchor="page" w:hAnchor="page" w:x="1579" w:y="10257"/>
        <w:numPr>
          <w:ilvl w:val="1"/>
          <w:numId w:val="3"/>
        </w:numPr>
        <w:tabs>
          <w:tab w:val="left" w:pos="550"/>
        </w:tabs>
        <w:spacing w:after="260"/>
        <w:ind w:left="540" w:hanging="540"/>
        <w:jc w:val="both"/>
      </w:pPr>
      <w:r>
        <w:t xml:space="preserve">Předmět nájmu se nájemci přenechává do užívání </w:t>
      </w:r>
      <w:r>
        <w:rPr>
          <w:b/>
          <w:bCs/>
        </w:rPr>
        <w:t xml:space="preserve">za účelem provozování občerstvení v objektu </w:t>
      </w:r>
      <w:proofErr w:type="spellStart"/>
      <w:r>
        <w:rPr>
          <w:b/>
          <w:bCs/>
        </w:rPr>
        <w:t>č.e</w:t>
      </w:r>
      <w:proofErr w:type="spellEnd"/>
      <w:r>
        <w:rPr>
          <w:b/>
          <w:bCs/>
        </w:rPr>
        <w:t xml:space="preserve">. 231 na </w:t>
      </w:r>
      <w:proofErr w:type="spellStart"/>
      <w:r>
        <w:rPr>
          <w:b/>
          <w:bCs/>
        </w:rPr>
        <w:t>st.p.č</w:t>
      </w:r>
      <w:proofErr w:type="spellEnd"/>
      <w:r>
        <w:rPr>
          <w:b/>
          <w:bCs/>
        </w:rPr>
        <w:t xml:space="preserve">. 8605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 </w:t>
      </w:r>
      <w:r>
        <w:t xml:space="preserve">(dále jenom jako </w:t>
      </w:r>
      <w:r>
        <w:rPr>
          <w:b/>
          <w:bCs/>
          <w:i/>
          <w:iCs/>
        </w:rPr>
        <w:t>„účel nájmu“).</w:t>
      </w:r>
    </w:p>
    <w:p w14:paraId="69FC11DC" w14:textId="77777777" w:rsidR="0086530B" w:rsidRDefault="00000000">
      <w:pPr>
        <w:pStyle w:val="Zkladntext60"/>
        <w:framePr w:w="8746" w:h="5386" w:hRule="exact" w:wrap="none" w:vAnchor="page" w:hAnchor="page" w:x="1579" w:y="10257"/>
        <w:numPr>
          <w:ilvl w:val="1"/>
          <w:numId w:val="3"/>
        </w:numPr>
        <w:tabs>
          <w:tab w:val="left" w:pos="550"/>
        </w:tabs>
        <w:spacing w:after="0" w:line="331" w:lineRule="auto"/>
        <w:jc w:val="both"/>
      </w:pPr>
      <w:r>
        <w:t xml:space="preserve">Nájem se sjednává </w:t>
      </w:r>
      <w:r>
        <w:rPr>
          <w:b/>
          <w:bCs/>
        </w:rPr>
        <w:t>na dobu určitou 10 let.</w:t>
      </w:r>
    </w:p>
    <w:p w14:paraId="06460DE6" w14:textId="77777777" w:rsidR="0086530B" w:rsidRDefault="00000000">
      <w:pPr>
        <w:pStyle w:val="Zhlavnebozpat0"/>
        <w:framePr w:wrap="none" w:vAnchor="page" w:hAnchor="page" w:x="5405" w:y="15758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Stránka </w:t>
      </w:r>
      <w:r>
        <w:rPr>
          <w:rFonts w:ascii="Arial" w:eastAsia="Arial" w:hAnsi="Arial" w:cs="Arial"/>
          <w:sz w:val="17"/>
          <w:szCs w:val="17"/>
        </w:rPr>
        <w:t xml:space="preserve">1 </w:t>
      </w: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z </w:t>
      </w:r>
      <w:r>
        <w:rPr>
          <w:rFonts w:ascii="Arial" w:eastAsia="Arial" w:hAnsi="Arial" w:cs="Arial"/>
          <w:sz w:val="17"/>
          <w:szCs w:val="17"/>
        </w:rPr>
        <w:t>6</w:t>
      </w:r>
    </w:p>
    <w:p w14:paraId="488FF663" w14:textId="77777777" w:rsidR="0086530B" w:rsidRDefault="0086530B">
      <w:pPr>
        <w:spacing w:line="1" w:lineRule="exact"/>
        <w:sectPr w:rsidR="008653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EC18E4" w14:textId="77777777" w:rsidR="0086530B" w:rsidRDefault="0086530B">
      <w:pPr>
        <w:spacing w:line="1" w:lineRule="exact"/>
      </w:pPr>
    </w:p>
    <w:p w14:paraId="5D83D65E" w14:textId="77777777" w:rsidR="0086530B" w:rsidRDefault="00000000">
      <w:pPr>
        <w:pStyle w:val="Zhlavnebozpat0"/>
        <w:framePr w:wrap="none" w:vAnchor="page" w:hAnchor="page" w:x="8918" w:y="990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25C3B170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3"/>
        </w:numPr>
        <w:tabs>
          <w:tab w:val="left" w:pos="547"/>
        </w:tabs>
        <w:spacing w:after="260"/>
        <w:ind w:left="540" w:hanging="540"/>
        <w:jc w:val="both"/>
      </w:pPr>
      <w:r>
        <w:t>Nájemce prohlašuje, že je mu stav předmětu nájmu dobře znám, neboť si ho prohlédl před uzavřením této smlouvy a potvrzuje, že je ve stavu způsobilém k řádnému užívání k účelu sjednanému v této smlouvě.</w:t>
      </w:r>
    </w:p>
    <w:p w14:paraId="5F7ACEA2" w14:textId="77777777" w:rsidR="0086530B" w:rsidRDefault="0086530B">
      <w:pPr>
        <w:pStyle w:val="Nadpis20"/>
        <w:framePr w:w="8746" w:h="14155" w:hRule="exact" w:wrap="none" w:vAnchor="page" w:hAnchor="page" w:x="1579" w:y="1547"/>
        <w:numPr>
          <w:ilvl w:val="0"/>
          <w:numId w:val="1"/>
        </w:numPr>
        <w:spacing w:after="0" w:line="329" w:lineRule="auto"/>
        <w:jc w:val="center"/>
        <w:rPr>
          <w:sz w:val="18"/>
          <w:szCs w:val="18"/>
        </w:rPr>
      </w:pPr>
    </w:p>
    <w:p w14:paraId="0555F87E" w14:textId="77777777" w:rsidR="0086530B" w:rsidRDefault="00000000">
      <w:pPr>
        <w:pStyle w:val="Nadpis20"/>
        <w:framePr w:w="8746" w:h="14155" w:hRule="exact" w:wrap="none" w:vAnchor="page" w:hAnchor="page" w:x="1579" w:y="1547"/>
        <w:spacing w:after="0" w:line="329" w:lineRule="auto"/>
        <w:jc w:val="center"/>
        <w:rPr>
          <w:sz w:val="18"/>
          <w:szCs w:val="18"/>
        </w:rPr>
      </w:pPr>
      <w:bookmarkStart w:id="2" w:name="bookmark11"/>
      <w:r>
        <w:rPr>
          <w:sz w:val="18"/>
          <w:szCs w:val="18"/>
        </w:rPr>
        <w:t>Nájemné</w:t>
      </w:r>
      <w:bookmarkEnd w:id="2"/>
    </w:p>
    <w:p w14:paraId="4E2AB2DE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/>
        <w:jc w:val="both"/>
      </w:pPr>
      <w:r>
        <w:t xml:space="preserve">Smluvní strany sjednávají nájemné ve výši </w:t>
      </w:r>
      <w:r>
        <w:rPr>
          <w:b/>
          <w:bCs/>
        </w:rPr>
        <w:t>700,-/Kč/m2/rok.</w:t>
      </w:r>
    </w:p>
    <w:p w14:paraId="571CD839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  <w:tab w:val="left" w:pos="4224"/>
        </w:tabs>
        <w:spacing w:after="260"/>
        <w:ind w:left="540" w:hanging="540"/>
        <w:jc w:val="both"/>
      </w:pPr>
      <w:r>
        <w:t>Nájemce bude nájemné hradit jednou ročně, a to vždy k31.3. běžného roku na účet pronajímatele č.</w:t>
      </w:r>
      <w:r>
        <w:tab/>
      </w:r>
      <w:r>
        <w:rPr>
          <w:b/>
          <w:bCs/>
        </w:rPr>
        <w:t>VS 0109002006.</w:t>
      </w:r>
    </w:p>
    <w:p w14:paraId="089FD9ED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/>
        <w:jc w:val="both"/>
      </w:pPr>
      <w:r>
        <w:t>Nájemné se má za uhrazené okamžikem připsání příslušné částky na účet pronajímatele.</w:t>
      </w:r>
    </w:p>
    <w:p w14:paraId="77781D0E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 w:line="334" w:lineRule="auto"/>
        <w:ind w:left="540" w:hanging="540"/>
        <w:jc w:val="both"/>
      </w:pPr>
      <w:r>
        <w:t>Poměrnou část nájemného za období ode dne účinnosti této smlouvy do konce kalendářního roku uhradí nájemce na základě výzvy pronajímatele.</w:t>
      </w:r>
    </w:p>
    <w:p w14:paraId="55FF989F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 w:line="331" w:lineRule="auto"/>
        <w:ind w:left="540" w:hanging="540"/>
        <w:jc w:val="both"/>
      </w:pPr>
      <w:r>
        <w:t>Nájemce bere na vědomí a souhlasí, že v případě změny cenových předpisů týkajících se výše úhrady za nájem pozemku, bude úplata nově upravena v souladu s těmito předpisy. Zároveň se zavazuje takto upravenou platbu uhradit.</w:t>
      </w:r>
    </w:p>
    <w:p w14:paraId="498EF363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/>
        <w:ind w:left="540" w:hanging="540"/>
        <w:jc w:val="both"/>
      </w:pPr>
      <w:r>
        <w:t>Pronajímatel je oprávněn každoročně upravit výši nájemného o částku, která bude odpovídat průměrné roční míře inflace předchozího roku zjištěné oficiálním statistickým orgánem. Úprava výše nájemného dle inflace bude nájemci oznámena nejpozději k 15. 2. běžného roku. Nájemce je povinen takto upravenou výši nájemného platit od 1. 1. každého roku, ve kterém k oznámení došlo.</w:t>
      </w:r>
    </w:p>
    <w:p w14:paraId="0C1BFED3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4"/>
        </w:numPr>
        <w:tabs>
          <w:tab w:val="left" w:pos="547"/>
        </w:tabs>
        <w:spacing w:after="260"/>
        <w:ind w:left="540" w:hanging="540"/>
        <w:jc w:val="both"/>
      </w:pPr>
      <w:r>
        <w:t>Neuhradí-li nájemce splatné nájemné řádně a včas, přísluší pronajímateli zákonný úrok z prodlení ve výši stanovené právním předpisem.</w:t>
      </w:r>
    </w:p>
    <w:p w14:paraId="290BA0AC" w14:textId="77777777" w:rsidR="0086530B" w:rsidRDefault="0086530B">
      <w:pPr>
        <w:pStyle w:val="Nadpis20"/>
        <w:framePr w:w="8746" w:h="14155" w:hRule="exact" w:wrap="none" w:vAnchor="page" w:hAnchor="page" w:x="1579" w:y="1547"/>
        <w:numPr>
          <w:ilvl w:val="0"/>
          <w:numId w:val="1"/>
        </w:numPr>
        <w:spacing w:after="0" w:line="329" w:lineRule="auto"/>
        <w:jc w:val="center"/>
        <w:rPr>
          <w:sz w:val="18"/>
          <w:szCs w:val="18"/>
        </w:rPr>
      </w:pPr>
    </w:p>
    <w:p w14:paraId="3E1FACEB" w14:textId="77777777" w:rsidR="0086530B" w:rsidRDefault="00000000">
      <w:pPr>
        <w:pStyle w:val="Nadpis20"/>
        <w:framePr w:w="8746" w:h="14155" w:hRule="exact" w:wrap="none" w:vAnchor="page" w:hAnchor="page" w:x="1579" w:y="1547"/>
        <w:spacing w:after="0" w:line="329" w:lineRule="auto"/>
        <w:jc w:val="center"/>
        <w:rPr>
          <w:sz w:val="18"/>
          <w:szCs w:val="18"/>
        </w:rPr>
      </w:pPr>
      <w:bookmarkStart w:id="3" w:name="bookmark15"/>
      <w:r>
        <w:rPr>
          <w:sz w:val="18"/>
          <w:szCs w:val="18"/>
        </w:rPr>
        <w:t>Další ujednání</w:t>
      </w:r>
      <w:bookmarkEnd w:id="3"/>
    </w:p>
    <w:p w14:paraId="60398351" w14:textId="31F12F00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5"/>
        </w:numPr>
        <w:tabs>
          <w:tab w:val="left" w:pos="547"/>
        </w:tabs>
        <w:spacing w:after="260"/>
        <w:ind w:left="540" w:hanging="540"/>
        <w:jc w:val="both"/>
      </w:pPr>
      <w:r>
        <w:t>Nájemce je oprávněn užívat předmět nájmu pouze k účelu stanovenému v</w:t>
      </w:r>
      <w:r w:rsidR="001D32DB">
        <w:t xml:space="preserve"> </w:t>
      </w:r>
      <w:r>
        <w:t>čl. II této smlouvy, a to tak, aby nedocházelo k jeho poškození či nadměrnému znehodnocení. Předmět nájmu nesmí být využíván k výrobě, manipulaci a skladování výbušnin, prudce hořlavých materiálů, jedů, drog a k dalším činnostem, které ohrožují či negativně působí na životní prostředí (prach, hluk apod.)</w:t>
      </w:r>
    </w:p>
    <w:p w14:paraId="196FB35D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5"/>
        </w:numPr>
        <w:tabs>
          <w:tab w:val="left" w:pos="547"/>
        </w:tabs>
        <w:spacing w:after="260" w:line="331" w:lineRule="auto"/>
        <w:ind w:left="540" w:hanging="540"/>
        <w:jc w:val="both"/>
      </w:pPr>
      <w:r>
        <w:t>Jakékoli změny na předmětu nájmu, stavební úpravy, umístění reklamy či informačního zařízení, terénní úpravy předmětu nájmu lze provádět pouze na základě předchozího písemného souhlasu pronajímatele, jehož součástí bude i ujednání smluvních stran o tom, zda mají být úpravy k datu ukončení nájmu odstraněny či ujednání o vzájemném vyrovnání z důvodu zhodnocení předmětu nájmu. Na základě takto uděleného písemného souhlasu pak úpravy provádí na svůj náklad. Bez předchozího písemného souhlasu není nájemce oprávněn změny na předmětu nájmu provést a nemá nárok na vyrovnání případného zhodnocení předmětu nájmu ani na náhradu vynaložených nákladů a těchto nároků se výslovně vzdává.</w:t>
      </w:r>
    </w:p>
    <w:p w14:paraId="6D40B0B4" w14:textId="77777777" w:rsidR="0086530B" w:rsidRDefault="00000000">
      <w:pPr>
        <w:pStyle w:val="Zkladntext60"/>
        <w:framePr w:w="8746" w:h="14155" w:hRule="exact" w:wrap="none" w:vAnchor="page" w:hAnchor="page" w:x="1579" w:y="1547"/>
        <w:numPr>
          <w:ilvl w:val="1"/>
          <w:numId w:val="5"/>
        </w:numPr>
        <w:tabs>
          <w:tab w:val="left" w:pos="547"/>
        </w:tabs>
        <w:spacing w:after="0"/>
        <w:jc w:val="both"/>
      </w:pPr>
      <w:r>
        <w:t>Tato smlouva nenahrazuje souhlas vlastníka pozemku.</w:t>
      </w:r>
    </w:p>
    <w:p w14:paraId="65C7D2E3" w14:textId="77777777" w:rsidR="0086530B" w:rsidRDefault="00000000">
      <w:pPr>
        <w:pStyle w:val="Zhlavnebozpat0"/>
        <w:framePr w:wrap="none" w:vAnchor="page" w:hAnchor="page" w:x="5410" w:y="15789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Stránka </w:t>
      </w:r>
      <w:r>
        <w:rPr>
          <w:rFonts w:ascii="Arial" w:eastAsia="Arial" w:hAnsi="Arial" w:cs="Arial"/>
          <w:sz w:val="17"/>
          <w:szCs w:val="17"/>
        </w:rPr>
        <w:t xml:space="preserve">2 </w:t>
      </w: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z </w:t>
      </w:r>
      <w:r>
        <w:rPr>
          <w:rFonts w:ascii="Arial" w:eastAsia="Arial" w:hAnsi="Arial" w:cs="Arial"/>
          <w:sz w:val="17"/>
          <w:szCs w:val="17"/>
        </w:rPr>
        <w:t>6</w:t>
      </w:r>
    </w:p>
    <w:p w14:paraId="3DF24514" w14:textId="77777777" w:rsidR="0086530B" w:rsidRDefault="0086530B">
      <w:pPr>
        <w:spacing w:line="1" w:lineRule="exact"/>
        <w:sectPr w:rsidR="008653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50D85A" w14:textId="77777777" w:rsidR="0086530B" w:rsidRDefault="0086530B">
      <w:pPr>
        <w:spacing w:line="1" w:lineRule="exact"/>
      </w:pPr>
    </w:p>
    <w:p w14:paraId="42889E21" w14:textId="77777777" w:rsidR="0086530B" w:rsidRDefault="00000000">
      <w:pPr>
        <w:pStyle w:val="Zhlavnebozpat0"/>
        <w:framePr w:wrap="none" w:vAnchor="page" w:hAnchor="page" w:x="8863" w:y="811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0E2742FD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5"/>
        </w:numPr>
        <w:tabs>
          <w:tab w:val="left" w:pos="554"/>
        </w:tabs>
        <w:ind w:left="540" w:hanging="540"/>
        <w:jc w:val="both"/>
      </w:pPr>
      <w:r>
        <w:t>Nájemce nemá nárok na úhradu nákladů vynaložených v souvislosti s užíváním předmětu nájmu, realizací účelu nájmu, nebo s údržbou předmětu nájmu. Obvyklé náklady spojené s užíváním předmětu nájmu nese nájemce ze svého. Nájemce výslovně prohlašuje, že nebude po pronajímateli požadovat náhradu za zhodnocení předmětu nájmu, ke kterému došlo v důsledku užívání předmětu nájmu nájemcem, ani jinou protihodnotu toho, oč se zvýšila hodnota předmětu nájmu, nebo jakékoliv jiné obdobné náhrady a těchto nároků se výslovně vzdává.</w:t>
      </w:r>
    </w:p>
    <w:p w14:paraId="1341A613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5"/>
        </w:numPr>
        <w:tabs>
          <w:tab w:val="left" w:pos="554"/>
        </w:tabs>
        <w:ind w:left="540" w:hanging="540"/>
        <w:jc w:val="both"/>
      </w:pPr>
      <w:r>
        <w:t>Nájemce není oprávněn přenechat předmět nájmu do užívání bezplatně nebo za úhradu jiné právnické či fyzické osobě.</w:t>
      </w:r>
    </w:p>
    <w:p w14:paraId="588CE94A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5"/>
        </w:numPr>
        <w:tabs>
          <w:tab w:val="left" w:pos="554"/>
        </w:tabs>
        <w:jc w:val="both"/>
      </w:pPr>
      <w:r>
        <w:t>Za škody způsobené na předmětu nájmu zodpovídá nájemce.</w:t>
      </w:r>
    </w:p>
    <w:p w14:paraId="30DE932D" w14:textId="194A3FDC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5"/>
        </w:numPr>
        <w:tabs>
          <w:tab w:val="left" w:pos="554"/>
        </w:tabs>
        <w:ind w:left="540" w:hanging="540"/>
        <w:jc w:val="both"/>
      </w:pPr>
      <w:r>
        <w:t>Za organizaci a zajištění požární ochrany, bezpečnosti a ochrany zdraví při práci, ochrany životního prostředí a hygieny v souladu s platnými předpisy odpovídá na předmětu nájmu nájemce. Pronajímatel</w:t>
      </w:r>
      <w:r w:rsidR="001D32DB">
        <w:t xml:space="preserve"> </w:t>
      </w:r>
      <w:r>
        <w:t>je oprávněn dodržování právních předpisů kontrolovat.</w:t>
      </w:r>
    </w:p>
    <w:p w14:paraId="65C0F046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5"/>
        </w:numPr>
        <w:tabs>
          <w:tab w:val="left" w:pos="554"/>
        </w:tabs>
        <w:ind w:left="540" w:hanging="540"/>
        <w:jc w:val="both"/>
      </w:pPr>
      <w:r>
        <w:t xml:space="preserve">Nájemce je povinen pod sankcí smluvní pokuty ve výši </w:t>
      </w:r>
      <w:proofErr w:type="gramStart"/>
      <w:r>
        <w:t>10.000,-</w:t>
      </w:r>
      <w:proofErr w:type="gramEnd"/>
      <w:r>
        <w:t xml:space="preserve"> Kč zdržet se všeho čímž by způsoboval imise ve smyslu ustanovení § 1013 občanského zákoníku. Toto ujednání pak nemá vliv na nárok pronajímatele na náhradu škody.</w:t>
      </w:r>
    </w:p>
    <w:p w14:paraId="35CE9FD9" w14:textId="77777777" w:rsidR="0086530B" w:rsidRDefault="0086530B">
      <w:pPr>
        <w:pStyle w:val="Nadpis20"/>
        <w:framePr w:w="8746" w:h="14515" w:hRule="exact" w:wrap="none" w:vAnchor="page" w:hAnchor="page" w:x="1509" w:y="1325"/>
        <w:numPr>
          <w:ilvl w:val="0"/>
          <w:numId w:val="1"/>
        </w:numPr>
        <w:spacing w:after="0" w:line="329" w:lineRule="auto"/>
        <w:jc w:val="center"/>
        <w:rPr>
          <w:sz w:val="18"/>
          <w:szCs w:val="18"/>
        </w:rPr>
      </w:pPr>
    </w:p>
    <w:p w14:paraId="52D70952" w14:textId="77777777" w:rsidR="0086530B" w:rsidRDefault="00000000">
      <w:pPr>
        <w:pStyle w:val="Nadpis20"/>
        <w:framePr w:w="8746" w:h="14515" w:hRule="exact" w:wrap="none" w:vAnchor="page" w:hAnchor="page" w:x="1509" w:y="1325"/>
        <w:spacing w:after="0" w:line="32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Ukončení smlouvy</w:t>
      </w:r>
    </w:p>
    <w:p w14:paraId="1E8D5F31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6"/>
        </w:numPr>
        <w:tabs>
          <w:tab w:val="left" w:pos="554"/>
        </w:tabs>
        <w:ind w:left="540" w:hanging="540"/>
        <w:jc w:val="both"/>
      </w:pPr>
      <w:r>
        <w:t xml:space="preserve">Užívací vztah založený touto smlouvou </w:t>
      </w:r>
      <w:r>
        <w:rPr>
          <w:b/>
          <w:bCs/>
        </w:rPr>
        <w:t xml:space="preserve">skončí uplynutím doby uvedené </w:t>
      </w:r>
      <w:proofErr w:type="spellStart"/>
      <w:r>
        <w:rPr>
          <w:b/>
          <w:bCs/>
        </w:rPr>
        <w:t>včl</w:t>
      </w:r>
      <w:proofErr w:type="spellEnd"/>
      <w:r>
        <w:rPr>
          <w:b/>
          <w:bCs/>
        </w:rPr>
        <w:t xml:space="preserve">. II. </w:t>
      </w:r>
      <w:r>
        <w:t>této smlouvy, popřípadě dříve písemnou dohodou smluvních stran.</w:t>
      </w:r>
    </w:p>
    <w:p w14:paraId="30898A75" w14:textId="3196FD72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6"/>
        </w:numPr>
        <w:tabs>
          <w:tab w:val="left" w:pos="554"/>
        </w:tabs>
        <w:spacing w:after="0" w:line="334" w:lineRule="auto"/>
        <w:ind w:left="540" w:hanging="540"/>
        <w:jc w:val="both"/>
      </w:pPr>
      <w:r>
        <w:t xml:space="preserve">Pronajímatel si vyhrazuje právo ukončit nájemní smlouvu výpovědí </w:t>
      </w:r>
      <w:r w:rsidR="001D32DB">
        <w:t>s jednoměsíční</w:t>
      </w:r>
      <w:r>
        <w:t xml:space="preserve"> výpovědní dobou, jež počne běžet od prvého dne měsíce následujícího po doručení výpovědi a domáhat se předčasného vrácení předmětu, pokud:</w:t>
      </w:r>
    </w:p>
    <w:p w14:paraId="27917210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0"/>
          <w:numId w:val="7"/>
        </w:numPr>
        <w:tabs>
          <w:tab w:val="left" w:pos="1098"/>
        </w:tabs>
        <w:spacing w:after="0" w:line="334" w:lineRule="auto"/>
        <w:ind w:left="1100" w:hanging="280"/>
        <w:jc w:val="both"/>
      </w:pPr>
      <w:r>
        <w:t>nájemce užívá předmět nájmu v rozporu s nájemní smlouvou,</w:t>
      </w:r>
    </w:p>
    <w:p w14:paraId="11D19533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0"/>
          <w:numId w:val="7"/>
        </w:numPr>
        <w:tabs>
          <w:tab w:val="left" w:pos="1098"/>
        </w:tabs>
        <w:spacing w:after="0" w:line="334" w:lineRule="auto"/>
        <w:ind w:left="1100" w:hanging="280"/>
        <w:jc w:val="both"/>
      </w:pPr>
      <w:r>
        <w:t>nájemce je o více než jeden měsíc v prodlení s placením nájemného,</w:t>
      </w:r>
    </w:p>
    <w:p w14:paraId="305580A6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0"/>
          <w:numId w:val="7"/>
        </w:numPr>
        <w:tabs>
          <w:tab w:val="left" w:pos="1098"/>
        </w:tabs>
        <w:spacing w:after="0" w:line="334" w:lineRule="auto"/>
        <w:ind w:left="1100" w:hanging="280"/>
        <w:jc w:val="both"/>
      </w:pPr>
      <w:r>
        <w:t>nájemce přenechal předmět nájmu do užívání bezplatně nebo za úhradu jiné osobě,</w:t>
      </w:r>
    </w:p>
    <w:p w14:paraId="5B351FD8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0"/>
          <w:numId w:val="7"/>
        </w:numPr>
        <w:tabs>
          <w:tab w:val="left" w:pos="1098"/>
        </w:tabs>
        <w:spacing w:line="334" w:lineRule="auto"/>
        <w:ind w:left="1100" w:hanging="280"/>
        <w:jc w:val="both"/>
      </w:pPr>
      <w:r>
        <w:t>předmět nájmu bude potřebný pro činnost pronajímatele z důvodu přípravy či realizace investičního záměru, nebo jiné činnosti plánované na předmětu nájmu.</w:t>
      </w:r>
    </w:p>
    <w:p w14:paraId="20137C82" w14:textId="0DF6EC61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6"/>
        </w:numPr>
        <w:tabs>
          <w:tab w:val="left" w:pos="554"/>
        </w:tabs>
        <w:ind w:left="540" w:hanging="540"/>
        <w:jc w:val="both"/>
      </w:pPr>
      <w:r>
        <w:t xml:space="preserve">Pro případnou </w:t>
      </w:r>
      <w:r w:rsidR="001D32DB">
        <w:t>výpověď této</w:t>
      </w:r>
      <w:r>
        <w:t xml:space="preserve"> smlouvy sjednává pronajímatel s nájemcem tato pravidla. Případná výpověď bude zaslána do datové schránky druhé strany, případně, nemá-li smluvní strana zřízenou datovou schránku, doručením doporučeného dopisu na adresu uvedenou v záhlaví této smlouvy. Za doručení výpovědi od smlouvy je považována i fikce doručení, tj. 10. den ode dne doručení do datové schránky, případně 10. den ode dne uložení zásilky u držitele poštovní licence. Po uplynutí této doby bude zásilka vhozena do schránky.</w:t>
      </w:r>
    </w:p>
    <w:p w14:paraId="269C554E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6"/>
        </w:numPr>
        <w:tabs>
          <w:tab w:val="left" w:pos="554"/>
        </w:tabs>
        <w:spacing w:line="331" w:lineRule="auto"/>
        <w:ind w:left="540" w:hanging="540"/>
        <w:jc w:val="both"/>
      </w:pPr>
      <w:r>
        <w:t xml:space="preserve">Nedojde-li </w:t>
      </w:r>
      <w:proofErr w:type="spellStart"/>
      <w:r>
        <w:t>kjiné</w:t>
      </w:r>
      <w:proofErr w:type="spellEnd"/>
      <w:r>
        <w:t xml:space="preserve"> dohodě mezi smluvními stranami je nájemce povinen po ukončení nájmu vrátit předmět nájmu pronajímateli v původním stavu, s přihlédnutím k obvyklému opotřebení, zásadně však vyklizený a prost všech právních i faktických vad.</w:t>
      </w:r>
    </w:p>
    <w:p w14:paraId="56814F27" w14:textId="77777777" w:rsidR="0086530B" w:rsidRDefault="00000000">
      <w:pPr>
        <w:pStyle w:val="Zkladntext60"/>
        <w:framePr w:w="8746" w:h="14515" w:hRule="exact" w:wrap="none" w:vAnchor="page" w:hAnchor="page" w:x="1509" w:y="1325"/>
        <w:numPr>
          <w:ilvl w:val="1"/>
          <w:numId w:val="6"/>
        </w:numPr>
        <w:tabs>
          <w:tab w:val="left" w:pos="554"/>
        </w:tabs>
        <w:spacing w:after="40" w:line="240" w:lineRule="auto"/>
        <w:jc w:val="both"/>
      </w:pPr>
      <w:r>
        <w:t>O vrácení předmětu nájmu bude s nájemcem sepsán protokol o fyzickém předání.</w:t>
      </w:r>
    </w:p>
    <w:p w14:paraId="39C65F63" w14:textId="77777777" w:rsidR="0086530B" w:rsidRDefault="00000000">
      <w:pPr>
        <w:pStyle w:val="Zkladntext20"/>
        <w:framePr w:w="8746" w:h="14515" w:hRule="exact" w:wrap="none" w:vAnchor="page" w:hAnchor="page" w:x="1509" w:y="1325"/>
        <w:spacing w:after="0" w:line="240" w:lineRule="auto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Stránka </w:t>
      </w:r>
      <w:r>
        <w:rPr>
          <w:b/>
          <w:bCs/>
          <w:sz w:val="17"/>
          <w:szCs w:val="17"/>
        </w:rPr>
        <w:t xml:space="preserve">3 </w:t>
      </w:r>
      <w:r>
        <w:rPr>
          <w:sz w:val="17"/>
          <w:szCs w:val="17"/>
        </w:rPr>
        <w:t xml:space="preserve">z </w:t>
      </w:r>
      <w:r>
        <w:rPr>
          <w:b/>
          <w:bCs/>
          <w:sz w:val="17"/>
          <w:szCs w:val="17"/>
        </w:rPr>
        <w:t>6</w:t>
      </w:r>
    </w:p>
    <w:p w14:paraId="0A46391A" w14:textId="77777777" w:rsidR="0086530B" w:rsidRDefault="0086530B">
      <w:pPr>
        <w:spacing w:line="1" w:lineRule="exact"/>
        <w:sectPr w:rsidR="008653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094FA5" w14:textId="77777777" w:rsidR="0086530B" w:rsidRDefault="0086530B">
      <w:pPr>
        <w:spacing w:line="1" w:lineRule="exact"/>
      </w:pPr>
    </w:p>
    <w:p w14:paraId="5741456E" w14:textId="77777777" w:rsidR="0086530B" w:rsidRDefault="00000000">
      <w:pPr>
        <w:pStyle w:val="Zhlavnebozpat0"/>
        <w:framePr w:wrap="none" w:vAnchor="page" w:hAnchor="page" w:x="8863" w:y="1068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7E117AA7" w14:textId="77777777" w:rsidR="0086530B" w:rsidRDefault="00000000">
      <w:pPr>
        <w:pStyle w:val="Zkladntext60"/>
        <w:framePr w:w="8746" w:h="3293" w:hRule="exact" w:wrap="none" w:vAnchor="page" w:hAnchor="page" w:x="1509" w:y="1615"/>
        <w:numPr>
          <w:ilvl w:val="1"/>
          <w:numId w:val="6"/>
        </w:numPr>
        <w:tabs>
          <w:tab w:val="left" w:pos="552"/>
        </w:tabs>
        <w:spacing w:line="326" w:lineRule="auto"/>
        <w:ind w:left="540" w:hanging="540"/>
        <w:jc w:val="both"/>
      </w:pPr>
      <w:r>
        <w:t>Nepředá-li nájemce předmět nájmu řádně a včas, zavazuje se uhradit pronajímateli za každý, byť započatý den prodlení smluvní pokutu ve výši 500,- Kč. Právo na náhradu škody, která v souvislosti s porušením povinností nájemce pronajímateli vznikla, tímto ujednáním není dotčeno.</w:t>
      </w:r>
    </w:p>
    <w:p w14:paraId="7F9B55DF" w14:textId="77777777" w:rsidR="0086530B" w:rsidRDefault="00000000">
      <w:pPr>
        <w:pStyle w:val="Zkladntext60"/>
        <w:framePr w:w="8746" w:h="3293" w:hRule="exact" w:wrap="none" w:vAnchor="page" w:hAnchor="page" w:x="1509" w:y="1615"/>
        <w:numPr>
          <w:ilvl w:val="1"/>
          <w:numId w:val="6"/>
        </w:numPr>
        <w:tabs>
          <w:tab w:val="left" w:pos="552"/>
        </w:tabs>
        <w:spacing w:after="0"/>
        <w:ind w:left="540" w:hanging="540"/>
        <w:jc w:val="both"/>
      </w:pPr>
      <w:r>
        <w:t>Smluvní strany se výslovně dohodly na vyloučení automatického obnovení nájemní smlouvy ve smyslu ustanovení § 2230 odst. 1 občanského zákoníku a ujednávají si, že nájem bez ohledu na aktivitu pronajímatele končí ke dni uplynutí výpovědní doby nebo k dohodnutému datu. Toto ujednání je zároveň sdělením ve smyslu § 2230 odst. 2 občanského zákoníku, že další užívání předmětu nájmu nájemcem nebude pokládáno za opětovné uzavření nájemní smlouvy.</w:t>
      </w:r>
    </w:p>
    <w:p w14:paraId="053A39EF" w14:textId="77777777" w:rsidR="0086530B" w:rsidRDefault="0086530B">
      <w:pPr>
        <w:pStyle w:val="Nadpis20"/>
        <w:framePr w:w="8746" w:h="9840" w:hRule="exact" w:wrap="none" w:vAnchor="page" w:hAnchor="page" w:x="1509" w:y="5863"/>
        <w:numPr>
          <w:ilvl w:val="0"/>
          <w:numId w:val="1"/>
        </w:numPr>
        <w:spacing w:after="60" w:line="329" w:lineRule="auto"/>
        <w:jc w:val="center"/>
        <w:rPr>
          <w:sz w:val="18"/>
          <w:szCs w:val="18"/>
        </w:rPr>
      </w:pPr>
    </w:p>
    <w:p w14:paraId="25CD4B49" w14:textId="77777777" w:rsidR="0086530B" w:rsidRDefault="00000000">
      <w:pPr>
        <w:pStyle w:val="Nadpis20"/>
        <w:framePr w:w="8746" w:h="9840" w:hRule="exact" w:wrap="none" w:vAnchor="page" w:hAnchor="page" w:x="1509" w:y="5863"/>
        <w:spacing w:after="0"/>
        <w:jc w:val="center"/>
        <w:rPr>
          <w:sz w:val="18"/>
          <w:szCs w:val="18"/>
        </w:rPr>
      </w:pPr>
      <w:bookmarkStart w:id="4" w:name="bookmark22"/>
      <w:r>
        <w:rPr>
          <w:sz w:val="18"/>
          <w:szCs w:val="18"/>
        </w:rPr>
        <w:t>Závěrečná ustanovení</w:t>
      </w:r>
      <w:bookmarkEnd w:id="4"/>
    </w:p>
    <w:p w14:paraId="4FCDF19B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ind w:left="540" w:hanging="540"/>
        <w:jc w:val="both"/>
      </w:pPr>
      <w:r>
        <w:t>Nájemce se zavazuje, že oznámí pronajímateli vždy písemně jakékoli změny jeho identifikačních údajů uvedených v záhlaví této smlouvy.</w:t>
      </w:r>
    </w:p>
    <w:p w14:paraId="2ABAA917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spacing w:line="324" w:lineRule="auto"/>
        <w:ind w:left="540" w:hanging="540"/>
        <w:jc w:val="both"/>
      </w:pPr>
      <w:r>
        <w:t>Práva a povinnosti touto smlouvou výslovně neupravené se řídí příslušnými ustanoveními občanského zákoníku. Ukáže-li se některé ustanovení této smlouvy neplatné, nemá tato skutečnost vliv na platnost ostatních ustanovení.</w:t>
      </w:r>
    </w:p>
    <w:p w14:paraId="55F5B2C4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ind w:left="540" w:hanging="540"/>
        <w:jc w:val="both"/>
      </w:pPr>
      <w:r>
        <w:t xml:space="preserve">Smluvní strany berou na vědomí, že nájem je dle usnesení Rady města Pardubic č. </w:t>
      </w:r>
      <w:r>
        <w:rPr>
          <w:b/>
          <w:bCs/>
        </w:rPr>
        <w:t xml:space="preserve">R/6763/2025 </w:t>
      </w:r>
      <w:r>
        <w:t xml:space="preserve">vázán výlučně na osobu nájemce ve smyslu </w:t>
      </w:r>
      <w:proofErr w:type="spellStart"/>
      <w:r>
        <w:t>ust</w:t>
      </w:r>
      <w:proofErr w:type="spellEnd"/>
      <w:r>
        <w:t>. § 2009 občanského zákoníku, a proto nepřechází na případné právní nástupce, tj. ani na dědice nájemce.</w:t>
      </w:r>
    </w:p>
    <w:p w14:paraId="4DD7FA1F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ind w:left="540" w:hanging="540"/>
        <w:jc w:val="both"/>
      </w:pPr>
      <w:r>
        <w:t>Nájemní smlouva je sepsána ve 4 vyhotoveních, z nichž dvě obdrží nájemce a dvě si ponechá pronajímatel. Veškeré změny, doplňky nebo úpravy této smlouvy musí být provedeny písemnou formou a podepsány oběma smluvními stranami.</w:t>
      </w:r>
    </w:p>
    <w:p w14:paraId="71A346D5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ind w:left="540" w:hanging="540"/>
        <w:jc w:val="both"/>
      </w:pPr>
      <w:r>
        <w:t xml:space="preserve">Tato smlouva nabývá </w:t>
      </w:r>
      <w:r>
        <w:rPr>
          <w:b/>
          <w:bCs/>
        </w:rPr>
        <w:t xml:space="preserve">platnosti </w:t>
      </w:r>
      <w:r>
        <w:t xml:space="preserve">dnem jejího podpisu a </w:t>
      </w:r>
      <w:r>
        <w:rPr>
          <w:b/>
          <w:bCs/>
        </w:rPr>
        <w:t xml:space="preserve">účinnosti </w:t>
      </w:r>
      <w:r>
        <w:t xml:space="preserve">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znění, </w:t>
      </w:r>
      <w:r>
        <w:rPr>
          <w:b/>
          <w:bCs/>
        </w:rPr>
        <w:t>nejdříve však může nabýt účinnosti po ukončení nájemní smlouvy NS_1598/MO1.</w:t>
      </w:r>
    </w:p>
    <w:p w14:paraId="1FE155D6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ind w:left="540" w:hanging="540"/>
        <w:jc w:val="both"/>
      </w:pPr>
      <w:r>
        <w:t>Smluvní strany se dohodly, že pronajímatel bezodkladně po uzavření této smlouvy odešle smlouvu k řádnému uveřejnění prostřednictvím registru smluv. O uveřejnění smlouvy bude pronajímatel bezodkladně nájemce informovat, nebyl-li kontaktní údaj této smluvní strany uveden přímo do registru smluv jako kontakt pro notifikaci o uveřejnění. Smluvní strany berou na vědomí, že nebude-li smlouva uveřejněna ani do tří měsíců ode dne jejího uzavření, je následujícím dnem zrušena od počátku s účinky případného bezdůvodného obohacení.</w:t>
      </w:r>
    </w:p>
    <w:p w14:paraId="22A6C158" w14:textId="77777777" w:rsidR="0086530B" w:rsidRDefault="00000000">
      <w:pPr>
        <w:pStyle w:val="Zkladntext60"/>
        <w:framePr w:w="8746" w:h="9840" w:hRule="exact" w:wrap="none" w:vAnchor="page" w:hAnchor="page" w:x="1509" w:y="5863"/>
        <w:numPr>
          <w:ilvl w:val="1"/>
          <w:numId w:val="8"/>
        </w:numPr>
        <w:tabs>
          <w:tab w:val="left" w:pos="552"/>
        </w:tabs>
        <w:spacing w:after="0"/>
        <w:ind w:left="540" w:hanging="540"/>
        <w:jc w:val="both"/>
      </w:pPr>
      <w:r>
        <w:t>Smluvní strany prohlašují, že žádná část smlouvy nenaplňuje znaky obchodního tajemství (§ 504 občanského zákoníku).</w:t>
      </w:r>
    </w:p>
    <w:p w14:paraId="72541532" w14:textId="77777777" w:rsidR="0086530B" w:rsidRDefault="00000000">
      <w:pPr>
        <w:pStyle w:val="Zhlavnebozpat0"/>
        <w:framePr w:wrap="none" w:vAnchor="page" w:hAnchor="page" w:x="5325" w:y="15862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Stránka </w:t>
      </w:r>
      <w:r>
        <w:rPr>
          <w:rFonts w:ascii="Arial" w:eastAsia="Arial" w:hAnsi="Arial" w:cs="Arial"/>
          <w:sz w:val="17"/>
          <w:szCs w:val="17"/>
        </w:rPr>
        <w:t xml:space="preserve">4 </w:t>
      </w: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z </w:t>
      </w:r>
      <w:r>
        <w:rPr>
          <w:rFonts w:ascii="Arial" w:eastAsia="Arial" w:hAnsi="Arial" w:cs="Arial"/>
          <w:sz w:val="17"/>
          <w:szCs w:val="17"/>
        </w:rPr>
        <w:t>6</w:t>
      </w:r>
    </w:p>
    <w:p w14:paraId="1EBE2344" w14:textId="77777777" w:rsidR="0086530B" w:rsidRDefault="0086530B">
      <w:pPr>
        <w:spacing w:line="1" w:lineRule="exact"/>
        <w:sectPr w:rsidR="008653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5BA42B" w14:textId="77777777" w:rsidR="0086530B" w:rsidRDefault="0086530B">
      <w:pPr>
        <w:spacing w:line="1" w:lineRule="exact"/>
      </w:pPr>
    </w:p>
    <w:p w14:paraId="79B5F5DC" w14:textId="77777777" w:rsidR="0086530B" w:rsidRDefault="00000000">
      <w:pPr>
        <w:pStyle w:val="Zhlavnebozpat0"/>
        <w:framePr w:wrap="none" w:vAnchor="page" w:hAnchor="page" w:x="8863" w:y="1066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54A5FD05" w14:textId="77777777" w:rsidR="0086530B" w:rsidRDefault="00000000">
      <w:pPr>
        <w:pStyle w:val="Zkladntext60"/>
        <w:framePr w:w="8746" w:h="3514" w:hRule="exact" w:wrap="none" w:vAnchor="page" w:hAnchor="page" w:x="1509" w:y="1618"/>
        <w:numPr>
          <w:ilvl w:val="1"/>
          <w:numId w:val="8"/>
        </w:numPr>
        <w:tabs>
          <w:tab w:val="left" w:pos="552"/>
        </w:tabs>
        <w:spacing w:after="240" w:line="326" w:lineRule="auto"/>
        <w:ind w:left="560" w:hanging="560"/>
      </w:pPr>
      <w:r>
        <w:rPr>
          <w:b/>
          <w:bCs/>
        </w:rPr>
        <w:t xml:space="preserve">Nájemce bere na vědomí, </w:t>
      </w:r>
      <w:r>
        <w:t>že jakákoliv změna smlouvy podléhá schválení v příslušných orgánech města. Nájemce bere na vědomí, že s ohledem na časovou náročnost procesu projednání je nezbytné činit žádosti o změnu smlouvy s dostatečným časovým předstihem, nejméně 6 měsíců předem.</w:t>
      </w:r>
    </w:p>
    <w:p w14:paraId="7EE88BA5" w14:textId="77777777" w:rsidR="0086530B" w:rsidRDefault="00000000">
      <w:pPr>
        <w:pStyle w:val="Zkladntext60"/>
        <w:framePr w:w="8746" w:h="3514" w:hRule="exact" w:wrap="none" w:vAnchor="page" w:hAnchor="page" w:x="1509" w:y="1618"/>
        <w:numPr>
          <w:ilvl w:val="1"/>
          <w:numId w:val="8"/>
        </w:numPr>
        <w:tabs>
          <w:tab w:val="left" w:pos="552"/>
        </w:tabs>
        <w:spacing w:after="300"/>
        <w:ind w:left="560" w:hanging="560"/>
      </w:pPr>
      <w:r>
        <w:t>Předmět nájmu bude po podpisu nájemní smlouvy předán nájemci. O předání předmětu nájmu bude sepsán zápis.</w:t>
      </w:r>
    </w:p>
    <w:p w14:paraId="3A42292F" w14:textId="77777777" w:rsidR="0086530B" w:rsidRDefault="00000000">
      <w:pPr>
        <w:pStyle w:val="Zkladntext60"/>
        <w:framePr w:w="8746" w:h="3514" w:hRule="exact" w:wrap="none" w:vAnchor="page" w:hAnchor="page" w:x="1509" w:y="1618"/>
        <w:numPr>
          <w:ilvl w:val="1"/>
          <w:numId w:val="8"/>
        </w:numPr>
        <w:tabs>
          <w:tab w:val="left" w:pos="603"/>
        </w:tabs>
        <w:spacing w:after="240" w:line="324" w:lineRule="auto"/>
        <w:ind w:left="560" w:hanging="560"/>
      </w:pPr>
      <w:r>
        <w:t>Smluvní strany prohlašují, že tuto smlouvu uzavřely svobodně a vážně, nikoli v tísni za nápadně nevýhodných podmínek. Na důkaz toho připojují své vlastnoruční podpisy.</w:t>
      </w:r>
    </w:p>
    <w:p w14:paraId="1732CDD0" w14:textId="77777777" w:rsidR="0086530B" w:rsidRDefault="00000000">
      <w:pPr>
        <w:pStyle w:val="Zkladntext60"/>
        <w:framePr w:w="8746" w:h="3514" w:hRule="exact" w:wrap="none" w:vAnchor="page" w:hAnchor="page" w:x="1509" w:y="1618"/>
        <w:spacing w:after="0" w:line="326" w:lineRule="auto"/>
      </w:pPr>
      <w:r>
        <w:rPr>
          <w:b/>
          <w:bCs/>
        </w:rPr>
        <w:t xml:space="preserve">Příloha: </w:t>
      </w:r>
      <w:r>
        <w:t>Snímek katastrální mapy se zákresem rozsahu nájmu</w:t>
      </w:r>
    </w:p>
    <w:p w14:paraId="130E60F5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0"/>
        <w:ind w:left="300" w:firstLine="20"/>
        <w:rPr>
          <w:sz w:val="17"/>
          <w:szCs w:val="17"/>
        </w:rPr>
      </w:pPr>
      <w:r>
        <w:rPr>
          <w:sz w:val="17"/>
          <w:szCs w:val="17"/>
        </w:rPr>
        <w:t xml:space="preserve">Schvalovací doložka dle </w:t>
      </w:r>
      <w:proofErr w:type="spellStart"/>
      <w:r>
        <w:rPr>
          <w:sz w:val="17"/>
          <w:szCs w:val="17"/>
        </w:rPr>
        <w:t>ust</w:t>
      </w:r>
      <w:proofErr w:type="spellEnd"/>
      <w:r>
        <w:rPr>
          <w:sz w:val="17"/>
          <w:szCs w:val="17"/>
        </w:rPr>
        <w:t>. § 41 zák. č. 128/2000 Sb., o obcích schváleno usnesením Rady města Pardubic</w:t>
      </w:r>
    </w:p>
    <w:p w14:paraId="29AA59EB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240"/>
        <w:ind w:left="0" w:firstLine="300"/>
        <w:rPr>
          <w:sz w:val="17"/>
          <w:szCs w:val="17"/>
        </w:rPr>
      </w:pPr>
      <w:r>
        <w:rPr>
          <w:sz w:val="17"/>
          <w:szCs w:val="17"/>
        </w:rPr>
        <w:t xml:space="preserve">Č. usnesení: </w:t>
      </w:r>
      <w:r>
        <w:rPr>
          <w:b/>
          <w:bCs/>
          <w:sz w:val="17"/>
          <w:szCs w:val="17"/>
        </w:rPr>
        <w:t xml:space="preserve">R/6763/2025 </w:t>
      </w:r>
      <w:r>
        <w:rPr>
          <w:sz w:val="17"/>
          <w:szCs w:val="17"/>
        </w:rPr>
        <w:t xml:space="preserve">ze dne </w:t>
      </w:r>
      <w:r>
        <w:rPr>
          <w:b/>
          <w:bCs/>
          <w:sz w:val="17"/>
          <w:szCs w:val="17"/>
        </w:rPr>
        <w:t>3.12.2025</w:t>
      </w:r>
    </w:p>
    <w:p w14:paraId="074847B8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0" w:line="350" w:lineRule="auto"/>
        <w:ind w:left="0" w:firstLine="300"/>
      </w:pPr>
      <w:r>
        <w:t>Záměr byl zveřejněn na úřední desce a elektronické úřední desce</w:t>
      </w:r>
    </w:p>
    <w:p w14:paraId="7AF40BEC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40" w:line="240" w:lineRule="auto"/>
        <w:ind w:left="0" w:firstLine="300"/>
      </w:pPr>
      <w:r>
        <w:t>Magistrátu města Pardubic:</w:t>
      </w:r>
    </w:p>
    <w:p w14:paraId="7F7A51C5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40" w:line="240" w:lineRule="auto"/>
        <w:ind w:left="0" w:firstLine="300"/>
      </w:pPr>
      <w:r>
        <w:t>vyvěšeno dne: 15.1.2025</w:t>
      </w:r>
    </w:p>
    <w:p w14:paraId="129FE848" w14:textId="77777777" w:rsidR="0086530B" w:rsidRDefault="00000000">
      <w:pPr>
        <w:pStyle w:val="Zkladntext20"/>
        <w:framePr w:w="8746" w:h="2083" w:hRule="exact" w:wrap="none" w:vAnchor="page" w:hAnchor="page" w:x="1509" w:y="5520"/>
        <w:spacing w:after="0" w:line="350" w:lineRule="auto"/>
        <w:ind w:left="0" w:firstLine="300"/>
      </w:pPr>
      <w:r>
        <w:t>svěšeno dne: 31.1.2025</w:t>
      </w:r>
    </w:p>
    <w:p w14:paraId="1B9ED36C" w14:textId="77777777" w:rsidR="0086530B" w:rsidRDefault="00000000">
      <w:pPr>
        <w:pStyle w:val="Zkladntext60"/>
        <w:framePr w:wrap="none" w:vAnchor="page" w:hAnchor="page" w:x="1509" w:y="8242"/>
        <w:tabs>
          <w:tab w:val="left" w:leader="dot" w:pos="3278"/>
        </w:tabs>
        <w:spacing w:after="0" w:line="240" w:lineRule="auto"/>
      </w:pPr>
      <w:r>
        <w:t>V Pardubicích dne</w:t>
      </w:r>
      <w:r>
        <w:tab/>
      </w:r>
    </w:p>
    <w:p w14:paraId="372191BA" w14:textId="77777777" w:rsidR="0086530B" w:rsidRDefault="00000000">
      <w:pPr>
        <w:pStyle w:val="Zkladntext60"/>
        <w:framePr w:w="8746" w:h="840" w:hRule="exact" w:wrap="none" w:vAnchor="page" w:hAnchor="page" w:x="1509" w:y="9754"/>
        <w:spacing w:after="0" w:line="286" w:lineRule="auto"/>
      </w:pPr>
      <w:r>
        <w:rPr>
          <w:b/>
          <w:bCs/>
        </w:rPr>
        <w:t>statutární město Pardubice</w:t>
      </w:r>
      <w:r>
        <w:rPr>
          <w:b/>
          <w:bCs/>
        </w:rPr>
        <w:br/>
        <w:t>Ing. Miroslav Macela</w:t>
      </w:r>
      <w:r>
        <w:rPr>
          <w:b/>
          <w:bCs/>
        </w:rPr>
        <w:br/>
        <w:t>vedoucí oddělení</w:t>
      </w:r>
    </w:p>
    <w:p w14:paraId="1DE06EF4" w14:textId="77777777" w:rsidR="0086530B" w:rsidRDefault="00000000">
      <w:pPr>
        <w:pStyle w:val="Zkladntext60"/>
        <w:framePr w:wrap="none" w:vAnchor="page" w:hAnchor="page" w:x="6386" w:y="9802"/>
        <w:spacing w:after="0" w:line="240" w:lineRule="auto"/>
      </w:pPr>
      <w:r>
        <w:rPr>
          <w:b/>
          <w:bCs/>
        </w:rPr>
        <w:t>Pavel Kubíček</w:t>
      </w:r>
    </w:p>
    <w:p w14:paraId="460D4D13" w14:textId="4BEDCD6D" w:rsidR="0086530B" w:rsidRDefault="0086530B" w:rsidP="001D32DB">
      <w:pPr>
        <w:pStyle w:val="Zkladntext60"/>
        <w:framePr w:w="8746" w:h="514" w:hRule="exact" w:wrap="none" w:vAnchor="page" w:hAnchor="page" w:x="1509" w:y="11208"/>
        <w:tabs>
          <w:tab w:val="left" w:leader="dot" w:pos="6447"/>
          <w:tab w:val="left" w:leader="dot" w:pos="6609"/>
          <w:tab w:val="left" w:leader="dot" w:pos="8089"/>
        </w:tabs>
        <w:spacing w:after="40" w:line="240" w:lineRule="auto"/>
      </w:pPr>
    </w:p>
    <w:p w14:paraId="0752A1DB" w14:textId="77777777" w:rsidR="0086530B" w:rsidRDefault="00000000">
      <w:pPr>
        <w:pStyle w:val="Zkladntext60"/>
        <w:framePr w:w="8746" w:h="514" w:hRule="exact" w:wrap="none" w:vAnchor="page" w:hAnchor="page" w:x="1509" w:y="11208"/>
        <w:spacing w:after="0" w:line="240" w:lineRule="auto"/>
        <w:ind w:left="4820"/>
      </w:pPr>
      <w:r>
        <w:rPr>
          <w:b/>
          <w:bCs/>
        </w:rPr>
        <w:t xml:space="preserve">Ivo </w:t>
      </w:r>
      <w:proofErr w:type="spellStart"/>
      <w:r>
        <w:rPr>
          <w:b/>
          <w:bCs/>
        </w:rPr>
        <w:t>Rybišar</w:t>
      </w:r>
      <w:proofErr w:type="spellEnd"/>
    </w:p>
    <w:p w14:paraId="0817FAC5" w14:textId="77777777" w:rsidR="0086530B" w:rsidRDefault="00000000">
      <w:pPr>
        <w:pStyle w:val="Zhlavnebozpat0"/>
        <w:framePr w:wrap="none" w:vAnchor="page" w:hAnchor="page" w:x="5335" w:y="15869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Stránka </w:t>
      </w:r>
      <w:r>
        <w:rPr>
          <w:rFonts w:ascii="Arial" w:eastAsia="Arial" w:hAnsi="Arial" w:cs="Arial"/>
          <w:sz w:val="17"/>
          <w:szCs w:val="17"/>
        </w:rPr>
        <w:t xml:space="preserve">5 </w:t>
      </w: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z </w:t>
      </w:r>
      <w:r>
        <w:rPr>
          <w:rFonts w:ascii="Arial" w:eastAsia="Arial" w:hAnsi="Arial" w:cs="Arial"/>
          <w:sz w:val="17"/>
          <w:szCs w:val="17"/>
        </w:rPr>
        <w:t>6</w:t>
      </w:r>
    </w:p>
    <w:p w14:paraId="1AFC117D" w14:textId="77777777" w:rsidR="0086530B" w:rsidRDefault="0086530B">
      <w:pPr>
        <w:spacing w:line="1" w:lineRule="exact"/>
        <w:sectPr w:rsidR="008653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37AB8C" w14:textId="77777777" w:rsidR="0086530B" w:rsidRDefault="0086530B">
      <w:pPr>
        <w:spacing w:line="1" w:lineRule="exact"/>
      </w:pPr>
    </w:p>
    <w:p w14:paraId="19BCEA1C" w14:textId="77777777" w:rsidR="0086530B" w:rsidRDefault="00000000">
      <w:pPr>
        <w:pStyle w:val="Zhlavnebozpat0"/>
        <w:framePr w:wrap="none" w:vAnchor="page" w:hAnchor="page" w:x="8643" w:y="828"/>
        <w:rPr>
          <w:sz w:val="18"/>
          <w:szCs w:val="18"/>
        </w:rPr>
      </w:pPr>
      <w:r>
        <w:rPr>
          <w:sz w:val="18"/>
          <w:szCs w:val="18"/>
        </w:rPr>
        <w:t>NS_1857/MO1</w:t>
      </w:r>
    </w:p>
    <w:p w14:paraId="7F6DFC40" w14:textId="77777777" w:rsidR="0086530B" w:rsidRDefault="00000000">
      <w:pPr>
        <w:pStyle w:val="Zkladntext20"/>
        <w:framePr w:wrap="none" w:vAnchor="page" w:hAnchor="page" w:x="1337" w:y="1467"/>
        <w:spacing w:after="0" w:line="240" w:lineRule="auto"/>
        <w:ind w:left="0"/>
      </w:pPr>
      <w:r>
        <w:rPr>
          <w:b/>
          <w:bCs/>
        </w:rPr>
        <w:t>příloha:</w:t>
      </w:r>
    </w:p>
    <w:p w14:paraId="3973196A" w14:textId="77777777" w:rsidR="0086530B" w:rsidRDefault="00000000">
      <w:pPr>
        <w:framePr w:wrap="none" w:vAnchor="page" w:hAnchor="page" w:x="1405" w:y="2230"/>
        <w:rPr>
          <w:sz w:val="2"/>
          <w:szCs w:val="2"/>
        </w:rPr>
      </w:pPr>
      <w:r>
        <w:rPr>
          <w:noProof/>
        </w:rPr>
        <w:drawing>
          <wp:inline distT="0" distB="0" distL="0" distR="0" wp14:anchorId="6E33813B" wp14:editId="48F1A92C">
            <wp:extent cx="1188720" cy="38709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8872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BC38" w14:textId="77777777" w:rsidR="0086530B" w:rsidRDefault="00000000">
      <w:pPr>
        <w:framePr w:wrap="none" w:vAnchor="page" w:hAnchor="page" w:x="4832" w:y="1913"/>
        <w:rPr>
          <w:sz w:val="2"/>
          <w:szCs w:val="2"/>
        </w:rPr>
      </w:pPr>
      <w:r>
        <w:rPr>
          <w:noProof/>
        </w:rPr>
        <w:drawing>
          <wp:inline distT="0" distB="0" distL="0" distR="0" wp14:anchorId="79F3D6D2" wp14:editId="1A852E54">
            <wp:extent cx="3401695" cy="39744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7979" w14:textId="77777777" w:rsidR="0086530B" w:rsidRDefault="00000000">
      <w:pPr>
        <w:pStyle w:val="Zhlavnebozpat0"/>
        <w:framePr w:wrap="none" w:vAnchor="page" w:hAnchor="page" w:x="5864" w:y="15795"/>
        <w:rPr>
          <w:sz w:val="17"/>
          <w:szCs w:val="17"/>
        </w:rPr>
      </w:pP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Stránka </w:t>
      </w:r>
      <w:r>
        <w:rPr>
          <w:rFonts w:ascii="Arial" w:eastAsia="Arial" w:hAnsi="Arial" w:cs="Arial"/>
          <w:sz w:val="17"/>
          <w:szCs w:val="17"/>
        </w:rPr>
        <w:t xml:space="preserve">6 </w:t>
      </w:r>
      <w:r>
        <w:rPr>
          <w:rFonts w:ascii="Arial" w:eastAsia="Arial" w:hAnsi="Arial" w:cs="Arial"/>
          <w:b w:val="0"/>
          <w:bCs w:val="0"/>
          <w:sz w:val="17"/>
          <w:szCs w:val="17"/>
        </w:rPr>
        <w:t xml:space="preserve">z </w:t>
      </w:r>
      <w:r>
        <w:rPr>
          <w:rFonts w:ascii="Arial" w:eastAsia="Arial" w:hAnsi="Arial" w:cs="Arial"/>
          <w:sz w:val="17"/>
          <w:szCs w:val="17"/>
        </w:rPr>
        <w:t>6</w:t>
      </w:r>
    </w:p>
    <w:p w14:paraId="460FFB96" w14:textId="77777777" w:rsidR="0086530B" w:rsidRDefault="0086530B">
      <w:pPr>
        <w:spacing w:line="1" w:lineRule="exact"/>
      </w:pPr>
    </w:p>
    <w:sectPr w:rsidR="008653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4836" w14:textId="77777777" w:rsidR="00682B87" w:rsidRDefault="00682B87">
      <w:r>
        <w:separator/>
      </w:r>
    </w:p>
  </w:endnote>
  <w:endnote w:type="continuationSeparator" w:id="0">
    <w:p w14:paraId="2F37056C" w14:textId="77777777" w:rsidR="00682B87" w:rsidRDefault="0068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C66" w14:textId="77777777" w:rsidR="00682B87" w:rsidRDefault="00682B87"/>
  </w:footnote>
  <w:footnote w:type="continuationSeparator" w:id="0">
    <w:p w14:paraId="08EC53E0" w14:textId="77777777" w:rsidR="00682B87" w:rsidRDefault="00682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542A"/>
    <w:multiLevelType w:val="multilevel"/>
    <w:tmpl w:val="0B7275C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F2AE4"/>
    <w:multiLevelType w:val="multilevel"/>
    <w:tmpl w:val="514E7E74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B4253"/>
    <w:multiLevelType w:val="multilevel"/>
    <w:tmpl w:val="375AF8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C301F3"/>
    <w:multiLevelType w:val="multilevel"/>
    <w:tmpl w:val="035C514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D2770A"/>
    <w:multiLevelType w:val="multilevel"/>
    <w:tmpl w:val="2FAEA19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C25435"/>
    <w:multiLevelType w:val="multilevel"/>
    <w:tmpl w:val="756C4372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E33A63"/>
    <w:multiLevelType w:val="multilevel"/>
    <w:tmpl w:val="30EC439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8D1AE4"/>
    <w:multiLevelType w:val="multilevel"/>
    <w:tmpl w:val="C27C9DE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673090">
    <w:abstractNumId w:val="1"/>
  </w:num>
  <w:num w:numId="2" w16cid:durableId="1544370012">
    <w:abstractNumId w:val="2"/>
  </w:num>
  <w:num w:numId="3" w16cid:durableId="1076702477">
    <w:abstractNumId w:val="4"/>
  </w:num>
  <w:num w:numId="4" w16cid:durableId="716126120">
    <w:abstractNumId w:val="3"/>
  </w:num>
  <w:num w:numId="5" w16cid:durableId="1839344203">
    <w:abstractNumId w:val="6"/>
  </w:num>
  <w:num w:numId="6" w16cid:durableId="1822890965">
    <w:abstractNumId w:val="0"/>
  </w:num>
  <w:num w:numId="7" w16cid:durableId="1457796321">
    <w:abstractNumId w:val="7"/>
  </w:num>
  <w:num w:numId="8" w16cid:durableId="503865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0B"/>
    <w:rsid w:val="001D32DB"/>
    <w:rsid w:val="00396210"/>
    <w:rsid w:val="00682B87"/>
    <w:rsid w:val="008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9C09"/>
  <w15:docId w15:val="{699FDC67-78F5-4642-9B3A-EA13982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pacing w:after="280" w:line="329" w:lineRule="auto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80" w:line="295" w:lineRule="auto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ind w:firstLine="140"/>
      <w:outlineLvl w:val="0"/>
    </w:pPr>
    <w:rPr>
      <w:rFonts w:ascii="Franklin Gothic Demi Cond" w:eastAsia="Franklin Gothic Demi Cond" w:hAnsi="Franklin Gothic Demi Cond" w:cs="Franklin Gothic Demi Cond"/>
      <w:sz w:val="32"/>
      <w:szCs w:val="32"/>
    </w:rPr>
  </w:style>
  <w:style w:type="paragraph" w:customStyle="1" w:styleId="Nadpis20">
    <w:name w:val="Nadpis #2"/>
    <w:basedOn w:val="Normln"/>
    <w:link w:val="Nadpis2"/>
    <w:pPr>
      <w:spacing w:after="170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60" w:line="331" w:lineRule="auto"/>
      <w:ind w:left="18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1494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2025-12-19T12:00:00Z</dcterms:created>
  <dcterms:modified xsi:type="dcterms:W3CDTF">2025-12-19T12:03:00Z</dcterms:modified>
</cp:coreProperties>
</file>