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835E" w14:textId="77777777" w:rsidR="001C7DB8" w:rsidRDefault="001C7DB8" w:rsidP="001C7DB8">
      <w:pPr>
        <w:pStyle w:val="StylDoprava"/>
        <w:rPr>
          <w:rFonts w:cs="Arial"/>
          <w:sz w:val="22"/>
          <w:szCs w:val="22"/>
        </w:rPr>
      </w:pPr>
      <w:r>
        <w:rPr>
          <w:rFonts w:cs="Arial"/>
          <w:sz w:val="22"/>
          <w:szCs w:val="22"/>
        </w:rPr>
        <w:t>Č.j. SPU 403932/2025/508100/Jov</w:t>
      </w:r>
    </w:p>
    <w:p w14:paraId="10C18305" w14:textId="77777777" w:rsidR="001C7DB8" w:rsidRDefault="001C7DB8" w:rsidP="001C7DB8">
      <w:pPr>
        <w:pStyle w:val="StylDoprava"/>
        <w:rPr>
          <w:rFonts w:cs="Arial"/>
          <w:sz w:val="22"/>
          <w:szCs w:val="22"/>
        </w:rPr>
      </w:pPr>
      <w:r>
        <w:rPr>
          <w:rFonts w:cs="Arial"/>
          <w:sz w:val="22"/>
          <w:szCs w:val="22"/>
        </w:rPr>
        <w:t>UID:spuess9803f36d</w:t>
      </w:r>
    </w:p>
    <w:p w14:paraId="6ACC106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19F665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B24EBC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Mgr. Jaroslava Kosejková, ředitelka Krajského pozemkového úřadu pro Ústecký kraj</w:t>
      </w:r>
    </w:p>
    <w:p w14:paraId="6276B7B1"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7F71DF2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E8BFEC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BB9863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475F8E4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7E1212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2C2220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1014932538</w:t>
      </w:r>
    </w:p>
    <w:p w14:paraId="7CA00AE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2CE5D9D" w14:textId="77777777" w:rsidR="00136D24" w:rsidRPr="00BA0CC9" w:rsidRDefault="00136D24">
      <w:pPr>
        <w:widowControl/>
        <w:rPr>
          <w:rFonts w:ascii="Arial" w:hAnsi="Arial" w:cs="Arial"/>
          <w:color w:val="000000"/>
          <w:sz w:val="22"/>
          <w:szCs w:val="22"/>
        </w:rPr>
      </w:pPr>
    </w:p>
    <w:p w14:paraId="61EA1DE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D895CBD" w14:textId="77777777" w:rsidR="00136D24" w:rsidRPr="00BA0CC9" w:rsidRDefault="00136D24">
      <w:pPr>
        <w:widowControl/>
        <w:tabs>
          <w:tab w:val="left" w:pos="120"/>
        </w:tabs>
        <w:jc w:val="both"/>
        <w:rPr>
          <w:rFonts w:ascii="Arial" w:hAnsi="Arial" w:cs="Arial"/>
          <w:i/>
          <w:iCs/>
          <w:sz w:val="22"/>
          <w:szCs w:val="22"/>
        </w:rPr>
      </w:pPr>
    </w:p>
    <w:p w14:paraId="49B79F3E" w14:textId="417169D2"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Tichý Petr</w:t>
      </w:r>
      <w:r w:rsidRPr="00BA0CC9">
        <w:rPr>
          <w:rFonts w:ascii="Arial" w:hAnsi="Arial" w:cs="Arial"/>
          <w:color w:val="000000"/>
          <w:sz w:val="22"/>
          <w:szCs w:val="22"/>
        </w:rPr>
        <w:t>, r.č. 91</w:t>
      </w:r>
      <w:r w:rsidR="00280192">
        <w:rPr>
          <w:rFonts w:ascii="Arial" w:hAnsi="Arial" w:cs="Arial"/>
          <w:color w:val="000000"/>
          <w:sz w:val="22"/>
          <w:szCs w:val="22"/>
        </w:rPr>
        <w:t>XXXX</w:t>
      </w:r>
      <w:r w:rsidRPr="00BA0CC9">
        <w:rPr>
          <w:rFonts w:ascii="Arial" w:hAnsi="Arial" w:cs="Arial"/>
          <w:color w:val="000000"/>
          <w:sz w:val="22"/>
          <w:szCs w:val="22"/>
        </w:rPr>
        <w:t>/</w:t>
      </w:r>
      <w:r w:rsidR="00280192">
        <w:rPr>
          <w:rFonts w:ascii="Arial" w:hAnsi="Arial" w:cs="Arial"/>
          <w:color w:val="000000"/>
          <w:sz w:val="22"/>
          <w:szCs w:val="22"/>
        </w:rPr>
        <w:t>XXXX</w:t>
      </w:r>
      <w:r w:rsidRPr="00BA0CC9">
        <w:rPr>
          <w:rFonts w:ascii="Arial" w:hAnsi="Arial" w:cs="Arial"/>
          <w:color w:val="000000"/>
          <w:sz w:val="22"/>
          <w:szCs w:val="22"/>
        </w:rPr>
        <w:t xml:space="preserve">, trvale bytem </w:t>
      </w:r>
      <w:r w:rsidR="00280192">
        <w:rPr>
          <w:rFonts w:ascii="Arial" w:hAnsi="Arial" w:cs="Arial"/>
          <w:color w:val="000000"/>
          <w:sz w:val="22"/>
          <w:szCs w:val="22"/>
        </w:rPr>
        <w:t>XXXXXX</w:t>
      </w:r>
      <w:r w:rsidRPr="00BA0CC9">
        <w:rPr>
          <w:rFonts w:ascii="Arial" w:hAnsi="Arial" w:cs="Arial"/>
          <w:color w:val="000000"/>
          <w:sz w:val="22"/>
          <w:szCs w:val="22"/>
        </w:rPr>
        <w:t xml:space="preserve"> </w:t>
      </w:r>
      <w:r w:rsidR="00280192">
        <w:rPr>
          <w:rFonts w:ascii="Arial" w:hAnsi="Arial" w:cs="Arial"/>
          <w:color w:val="000000"/>
          <w:sz w:val="22"/>
          <w:szCs w:val="22"/>
        </w:rPr>
        <w:t>XXX</w:t>
      </w:r>
      <w:r w:rsidRPr="00BA0CC9">
        <w:rPr>
          <w:rFonts w:ascii="Arial" w:hAnsi="Arial" w:cs="Arial"/>
          <w:color w:val="000000"/>
          <w:sz w:val="22"/>
          <w:szCs w:val="22"/>
        </w:rPr>
        <w:t>/</w:t>
      </w:r>
      <w:r w:rsidR="00280192">
        <w:rPr>
          <w:rFonts w:ascii="Arial" w:hAnsi="Arial" w:cs="Arial"/>
          <w:color w:val="000000"/>
          <w:sz w:val="22"/>
          <w:szCs w:val="22"/>
        </w:rPr>
        <w:t>X</w:t>
      </w:r>
      <w:r w:rsidRPr="00BA0CC9">
        <w:rPr>
          <w:rFonts w:ascii="Arial" w:hAnsi="Arial" w:cs="Arial"/>
          <w:color w:val="000000"/>
          <w:sz w:val="22"/>
          <w:szCs w:val="22"/>
        </w:rPr>
        <w:t>, Litoměřice, PSČ 41201</w:t>
      </w:r>
    </w:p>
    <w:p w14:paraId="2464EC9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4ED5E367" w14:textId="77777777" w:rsidR="00136D24" w:rsidRPr="00BA0CC9" w:rsidRDefault="00136D24">
      <w:pPr>
        <w:widowControl/>
        <w:rPr>
          <w:rFonts w:ascii="Arial" w:hAnsi="Arial" w:cs="Arial"/>
          <w:color w:val="000000"/>
          <w:sz w:val="22"/>
          <w:szCs w:val="22"/>
        </w:rPr>
      </w:pPr>
    </w:p>
    <w:p w14:paraId="556B569C" w14:textId="775CA1D4" w:rsidR="00136D24" w:rsidRPr="00B60FCC"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11E6809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2E07D4B" w14:textId="77777777" w:rsidR="00136D24" w:rsidRPr="00BA0CC9" w:rsidRDefault="00136D24">
      <w:pPr>
        <w:pStyle w:val="para"/>
        <w:widowControl/>
        <w:rPr>
          <w:rFonts w:ascii="Arial" w:hAnsi="Arial" w:cs="Arial"/>
          <w:sz w:val="22"/>
          <w:szCs w:val="22"/>
        </w:rPr>
      </w:pPr>
    </w:p>
    <w:p w14:paraId="09338E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1014932538</w:t>
      </w:r>
    </w:p>
    <w:p w14:paraId="19FEC40F" w14:textId="77777777" w:rsidR="00136D24" w:rsidRPr="00BA0CC9" w:rsidRDefault="00136D24">
      <w:pPr>
        <w:widowControl/>
        <w:rPr>
          <w:rFonts w:ascii="Arial" w:hAnsi="Arial" w:cs="Arial"/>
          <w:color w:val="000000"/>
          <w:sz w:val="22"/>
          <w:szCs w:val="22"/>
        </w:rPr>
      </w:pPr>
    </w:p>
    <w:p w14:paraId="5DB4427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767F42D"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Litoměřice na LV 10 002:</w:t>
      </w:r>
    </w:p>
    <w:p w14:paraId="1A0F4DB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82570D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F6708F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ED037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5009E3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Litoměřice</w:t>
      </w:r>
      <w:r w:rsidRPr="00BA0CC9">
        <w:rPr>
          <w:rFonts w:ascii="Arial" w:hAnsi="Arial" w:cs="Arial"/>
          <w:sz w:val="18"/>
          <w:szCs w:val="18"/>
        </w:rPr>
        <w:tab/>
        <w:t>Litoměřice</w:t>
      </w:r>
      <w:r w:rsidRPr="00BA0CC9">
        <w:rPr>
          <w:rFonts w:ascii="Arial" w:hAnsi="Arial" w:cs="Arial"/>
          <w:sz w:val="18"/>
          <w:szCs w:val="18"/>
        </w:rPr>
        <w:tab/>
        <w:t>5288/1</w:t>
      </w:r>
      <w:r w:rsidRPr="00BA0CC9">
        <w:rPr>
          <w:rFonts w:ascii="Arial" w:hAnsi="Arial" w:cs="Arial"/>
          <w:sz w:val="18"/>
          <w:szCs w:val="18"/>
        </w:rPr>
        <w:tab/>
        <w:t>ostatní plocha</w:t>
      </w:r>
    </w:p>
    <w:p w14:paraId="73C3158C" w14:textId="77777777" w:rsidR="00136D24" w:rsidRPr="00BA0CC9" w:rsidRDefault="00136D24">
      <w:pPr>
        <w:pStyle w:val="obec1"/>
        <w:widowControl/>
        <w:rPr>
          <w:rFonts w:ascii="Arial" w:hAnsi="Arial" w:cs="Arial"/>
          <w:sz w:val="18"/>
          <w:szCs w:val="18"/>
        </w:rPr>
      </w:pPr>
    </w:p>
    <w:p w14:paraId="1E1E8D1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516FD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Litoměřice</w:t>
      </w:r>
      <w:r w:rsidRPr="00BA0CC9">
        <w:rPr>
          <w:rFonts w:ascii="Arial" w:hAnsi="Arial" w:cs="Arial"/>
          <w:sz w:val="18"/>
          <w:szCs w:val="18"/>
        </w:rPr>
        <w:tab/>
        <w:t>Litoměřice</w:t>
      </w:r>
      <w:r w:rsidRPr="00BA0CC9">
        <w:rPr>
          <w:rFonts w:ascii="Arial" w:hAnsi="Arial" w:cs="Arial"/>
          <w:sz w:val="18"/>
          <w:szCs w:val="18"/>
        </w:rPr>
        <w:tab/>
        <w:t>5288/71</w:t>
      </w:r>
      <w:r w:rsidRPr="00BA0CC9">
        <w:rPr>
          <w:rFonts w:ascii="Arial" w:hAnsi="Arial" w:cs="Arial"/>
          <w:sz w:val="18"/>
          <w:szCs w:val="18"/>
        </w:rPr>
        <w:tab/>
        <w:t>ostatní plocha</w:t>
      </w:r>
    </w:p>
    <w:p w14:paraId="2E050B2D" w14:textId="77777777" w:rsidR="00136D24" w:rsidRPr="00BA0CC9" w:rsidRDefault="00136D24">
      <w:pPr>
        <w:pStyle w:val="obec1"/>
        <w:widowControl/>
        <w:rPr>
          <w:rFonts w:ascii="Arial" w:hAnsi="Arial" w:cs="Arial"/>
          <w:sz w:val="18"/>
          <w:szCs w:val="18"/>
        </w:rPr>
      </w:pPr>
    </w:p>
    <w:p w14:paraId="128A894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7C0362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Litoměřice</w:t>
      </w:r>
      <w:r w:rsidRPr="00BA0CC9">
        <w:rPr>
          <w:rFonts w:ascii="Arial" w:hAnsi="Arial" w:cs="Arial"/>
          <w:sz w:val="18"/>
          <w:szCs w:val="18"/>
        </w:rPr>
        <w:tab/>
        <w:t>Litoměřice</w:t>
      </w:r>
      <w:r w:rsidRPr="00BA0CC9">
        <w:rPr>
          <w:rFonts w:ascii="Arial" w:hAnsi="Arial" w:cs="Arial"/>
          <w:sz w:val="18"/>
          <w:szCs w:val="18"/>
        </w:rPr>
        <w:tab/>
        <w:t>5288/72</w:t>
      </w:r>
      <w:r w:rsidRPr="00BA0CC9">
        <w:rPr>
          <w:rFonts w:ascii="Arial" w:hAnsi="Arial" w:cs="Arial"/>
          <w:sz w:val="18"/>
          <w:szCs w:val="18"/>
        </w:rPr>
        <w:tab/>
        <w:t>zahrada</w:t>
      </w:r>
    </w:p>
    <w:p w14:paraId="53EAC1E6" w14:textId="77777777" w:rsidR="00136D24" w:rsidRPr="00BA0CC9" w:rsidRDefault="00136D24">
      <w:pPr>
        <w:pStyle w:val="obec1"/>
        <w:widowControl/>
        <w:rPr>
          <w:rFonts w:ascii="Arial" w:hAnsi="Arial" w:cs="Arial"/>
          <w:sz w:val="18"/>
          <w:szCs w:val="18"/>
        </w:rPr>
      </w:pPr>
    </w:p>
    <w:p w14:paraId="701D69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371924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Litoměřice</w:t>
      </w:r>
      <w:r w:rsidRPr="00BA0CC9">
        <w:rPr>
          <w:rFonts w:ascii="Arial" w:hAnsi="Arial" w:cs="Arial"/>
          <w:sz w:val="18"/>
          <w:szCs w:val="18"/>
        </w:rPr>
        <w:tab/>
        <w:t>Litoměřice</w:t>
      </w:r>
      <w:r w:rsidRPr="00BA0CC9">
        <w:rPr>
          <w:rFonts w:ascii="Arial" w:hAnsi="Arial" w:cs="Arial"/>
          <w:sz w:val="18"/>
          <w:szCs w:val="18"/>
        </w:rPr>
        <w:tab/>
        <w:t>5288/113</w:t>
      </w:r>
      <w:r w:rsidRPr="00BA0CC9">
        <w:rPr>
          <w:rFonts w:ascii="Arial" w:hAnsi="Arial" w:cs="Arial"/>
          <w:sz w:val="18"/>
          <w:szCs w:val="18"/>
        </w:rPr>
        <w:tab/>
        <w:t>zahrada</w:t>
      </w:r>
    </w:p>
    <w:p w14:paraId="27048FEC" w14:textId="77777777" w:rsidR="00136D24" w:rsidRPr="00BA0CC9" w:rsidRDefault="00136D24">
      <w:pPr>
        <w:pStyle w:val="obec1"/>
        <w:widowControl/>
        <w:rPr>
          <w:rFonts w:ascii="Arial" w:hAnsi="Arial" w:cs="Arial"/>
          <w:sz w:val="18"/>
          <w:szCs w:val="18"/>
        </w:rPr>
      </w:pPr>
    </w:p>
    <w:p w14:paraId="75120F1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0D92A8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Litoměřice</w:t>
      </w:r>
      <w:r w:rsidRPr="00BA0CC9">
        <w:rPr>
          <w:rFonts w:ascii="Arial" w:hAnsi="Arial" w:cs="Arial"/>
          <w:sz w:val="18"/>
          <w:szCs w:val="18"/>
        </w:rPr>
        <w:tab/>
        <w:t>Litoměřice</w:t>
      </w:r>
      <w:r w:rsidRPr="00BA0CC9">
        <w:rPr>
          <w:rFonts w:ascii="Arial" w:hAnsi="Arial" w:cs="Arial"/>
          <w:sz w:val="18"/>
          <w:szCs w:val="18"/>
        </w:rPr>
        <w:tab/>
        <w:t>5288/121</w:t>
      </w:r>
      <w:r w:rsidRPr="00BA0CC9">
        <w:rPr>
          <w:rFonts w:ascii="Arial" w:hAnsi="Arial" w:cs="Arial"/>
          <w:sz w:val="18"/>
          <w:szCs w:val="18"/>
        </w:rPr>
        <w:tab/>
        <w:t>zahrada</w:t>
      </w:r>
    </w:p>
    <w:p w14:paraId="3641B37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4DBDF2E" w14:textId="74B71566"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20DB8A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370FF49" w14:textId="6D5180ED"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6501F0">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10FE6498" w14:textId="77777777" w:rsidR="00136D24" w:rsidRPr="00BA0CC9" w:rsidRDefault="00136D24">
      <w:pPr>
        <w:pStyle w:val="vnitrniText"/>
        <w:widowControl/>
        <w:rPr>
          <w:rFonts w:ascii="Arial" w:hAnsi="Arial" w:cs="Arial"/>
          <w:sz w:val="22"/>
          <w:szCs w:val="22"/>
        </w:rPr>
      </w:pPr>
    </w:p>
    <w:p w14:paraId="053182FB" w14:textId="77777777" w:rsidR="006501F0" w:rsidRPr="00FB43A5" w:rsidRDefault="006501F0" w:rsidP="006501F0">
      <w:pPr>
        <w:pStyle w:val="para"/>
        <w:widowControl/>
        <w:rPr>
          <w:rFonts w:ascii="Arial" w:hAnsi="Arial" w:cs="Arial"/>
          <w:color w:val="000000"/>
          <w:sz w:val="22"/>
          <w:szCs w:val="22"/>
        </w:rPr>
      </w:pPr>
      <w:r w:rsidRPr="007D6692">
        <w:rPr>
          <w:rFonts w:ascii="Arial" w:hAnsi="Arial" w:cs="Arial"/>
          <w:color w:val="000000"/>
          <w:sz w:val="22"/>
          <w:szCs w:val="22"/>
        </w:rPr>
        <w:t>III.</w:t>
      </w:r>
    </w:p>
    <w:p w14:paraId="14EC72A3" w14:textId="07DD0DEB" w:rsidR="006501F0" w:rsidRPr="00B60FCC" w:rsidRDefault="006501F0" w:rsidP="00B60FCC">
      <w:pPr>
        <w:pStyle w:val="vnitrniText"/>
        <w:widowControl/>
        <w:rPr>
          <w:rFonts w:ascii="Arial" w:hAnsi="Arial" w:cs="Arial"/>
          <w:sz w:val="22"/>
          <w:szCs w:val="22"/>
        </w:rPr>
      </w:pPr>
      <w:r w:rsidRPr="007D6692">
        <w:rPr>
          <w:rFonts w:ascii="Arial" w:hAnsi="Arial" w:cs="Arial"/>
          <w:sz w:val="22"/>
          <w:szCs w:val="22"/>
        </w:rPr>
        <w:t>Prodávající touto smlouvou prodává kupujícímu pozemky a spoluvlastnické podíly na pozemcích specifikovaných v čl. I této smlouvy o velikosti podílů uvedených v čl. IV. této smlouvy a ten je, ve stavu, v jakém se nacházejí ke dni účinnosti smlouvy, kupuje. Vlastnické právo k pozemkům přechází na kupujícího vkladem do katastru nemovitostí na základě této smlouvy.</w:t>
      </w:r>
    </w:p>
    <w:p w14:paraId="4DF68B4A" w14:textId="77777777" w:rsidR="006501F0" w:rsidRPr="00BA0CC9" w:rsidRDefault="006501F0" w:rsidP="006501F0">
      <w:pPr>
        <w:pStyle w:val="para"/>
        <w:widowControl/>
        <w:rPr>
          <w:rFonts w:ascii="Arial" w:hAnsi="Arial" w:cs="Arial"/>
          <w:sz w:val="22"/>
          <w:szCs w:val="22"/>
        </w:rPr>
      </w:pPr>
      <w:r w:rsidRPr="00BA0CC9">
        <w:rPr>
          <w:rFonts w:ascii="Arial" w:hAnsi="Arial" w:cs="Arial"/>
          <w:sz w:val="22"/>
          <w:szCs w:val="22"/>
        </w:rPr>
        <w:lastRenderedPageBreak/>
        <w:t>IV.</w:t>
      </w:r>
    </w:p>
    <w:p w14:paraId="064A78F1" w14:textId="77777777" w:rsidR="006501F0" w:rsidRPr="00740FFB" w:rsidRDefault="006501F0" w:rsidP="006501F0">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2004"/>
        <w:gridCol w:w="1092"/>
        <w:gridCol w:w="3096"/>
      </w:tblGrid>
      <w:tr w:rsidR="006501F0" w:rsidRPr="00740FFB" w14:paraId="5DF9540D" w14:textId="77777777" w:rsidTr="00CB2D94">
        <w:tc>
          <w:tcPr>
            <w:tcW w:w="3095" w:type="dxa"/>
            <w:tcBorders>
              <w:top w:val="single" w:sz="6" w:space="0" w:color="auto"/>
              <w:left w:val="single" w:sz="6" w:space="0" w:color="auto"/>
              <w:bottom w:val="single" w:sz="6" w:space="0" w:color="auto"/>
              <w:right w:val="single" w:sz="6" w:space="0" w:color="auto"/>
            </w:tcBorders>
          </w:tcPr>
          <w:p w14:paraId="720E6DF8"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Katastrální</w:t>
            </w:r>
          </w:p>
          <w:p w14:paraId="2E9DBAAE"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území</w:t>
            </w:r>
          </w:p>
        </w:tc>
        <w:tc>
          <w:tcPr>
            <w:tcW w:w="2004" w:type="dxa"/>
            <w:tcBorders>
              <w:top w:val="single" w:sz="4" w:space="0" w:color="auto"/>
              <w:left w:val="single" w:sz="6" w:space="0" w:color="auto"/>
              <w:bottom w:val="single" w:sz="6" w:space="0" w:color="auto"/>
              <w:right w:val="single" w:sz="4" w:space="0" w:color="auto"/>
            </w:tcBorders>
          </w:tcPr>
          <w:p w14:paraId="740F7B27"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Parc.č.</w:t>
            </w:r>
          </w:p>
        </w:tc>
        <w:tc>
          <w:tcPr>
            <w:tcW w:w="1092" w:type="dxa"/>
            <w:tcBorders>
              <w:top w:val="single" w:sz="4" w:space="0" w:color="auto"/>
              <w:left w:val="single" w:sz="4" w:space="0" w:color="auto"/>
              <w:bottom w:val="single" w:sz="6" w:space="0" w:color="auto"/>
              <w:right w:val="single" w:sz="6" w:space="0" w:color="auto"/>
            </w:tcBorders>
          </w:tcPr>
          <w:p w14:paraId="10F46E1F" w14:textId="77777777" w:rsidR="006501F0" w:rsidRPr="00740FFB" w:rsidRDefault="006501F0" w:rsidP="00CB2D94">
            <w:pPr>
              <w:widowControl/>
              <w:jc w:val="center"/>
              <w:rPr>
                <w:rFonts w:ascii="Arial" w:hAnsi="Arial" w:cs="Arial"/>
                <w:sz w:val="18"/>
                <w:szCs w:val="18"/>
              </w:rPr>
            </w:pPr>
            <w:r>
              <w:rPr>
                <w:rFonts w:ascii="Arial" w:hAnsi="Arial" w:cs="Arial"/>
                <w:sz w:val="18"/>
                <w:szCs w:val="18"/>
              </w:rPr>
              <w:t>Podíly</w:t>
            </w:r>
          </w:p>
        </w:tc>
        <w:tc>
          <w:tcPr>
            <w:tcW w:w="3096" w:type="dxa"/>
            <w:tcBorders>
              <w:top w:val="single" w:sz="6" w:space="0" w:color="auto"/>
              <w:left w:val="single" w:sz="6" w:space="0" w:color="auto"/>
              <w:bottom w:val="single" w:sz="6" w:space="0" w:color="auto"/>
              <w:right w:val="single" w:sz="6" w:space="0" w:color="auto"/>
            </w:tcBorders>
          </w:tcPr>
          <w:p w14:paraId="0C3164EB"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Kupní cena</w:t>
            </w:r>
          </w:p>
        </w:tc>
      </w:tr>
      <w:tr w:rsidR="006501F0" w:rsidRPr="00740FFB" w14:paraId="40CC766C" w14:textId="77777777" w:rsidTr="00CB2D94">
        <w:tc>
          <w:tcPr>
            <w:tcW w:w="3095" w:type="dxa"/>
            <w:tcBorders>
              <w:top w:val="single" w:sz="6" w:space="0" w:color="auto"/>
              <w:left w:val="single" w:sz="6" w:space="0" w:color="auto"/>
              <w:bottom w:val="single" w:sz="6" w:space="0" w:color="auto"/>
              <w:right w:val="single" w:sz="6" w:space="0" w:color="auto"/>
            </w:tcBorders>
          </w:tcPr>
          <w:p w14:paraId="411A57E8"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Litoměřice</w:t>
            </w:r>
          </w:p>
        </w:tc>
        <w:tc>
          <w:tcPr>
            <w:tcW w:w="2004" w:type="dxa"/>
            <w:tcBorders>
              <w:top w:val="single" w:sz="6" w:space="0" w:color="auto"/>
              <w:left w:val="single" w:sz="6" w:space="0" w:color="auto"/>
              <w:bottom w:val="single" w:sz="6" w:space="0" w:color="auto"/>
              <w:right w:val="single" w:sz="4" w:space="0" w:color="auto"/>
            </w:tcBorders>
          </w:tcPr>
          <w:p w14:paraId="2AAB2950"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 xml:space="preserve"> 5288/1</w:t>
            </w:r>
          </w:p>
        </w:tc>
        <w:tc>
          <w:tcPr>
            <w:tcW w:w="1092" w:type="dxa"/>
            <w:tcBorders>
              <w:top w:val="single" w:sz="6" w:space="0" w:color="auto"/>
              <w:left w:val="single" w:sz="4" w:space="0" w:color="auto"/>
              <w:bottom w:val="single" w:sz="6" w:space="0" w:color="auto"/>
              <w:right w:val="single" w:sz="6" w:space="0" w:color="auto"/>
            </w:tcBorders>
          </w:tcPr>
          <w:p w14:paraId="035CA73A" w14:textId="77777777" w:rsidR="006501F0" w:rsidRPr="00740FFB" w:rsidRDefault="006501F0" w:rsidP="00CB2D94">
            <w:pPr>
              <w:widowControl/>
              <w:jc w:val="center"/>
              <w:rPr>
                <w:rFonts w:ascii="Arial" w:hAnsi="Arial" w:cs="Arial"/>
                <w:sz w:val="18"/>
                <w:szCs w:val="18"/>
              </w:rPr>
            </w:pPr>
            <w:r>
              <w:rPr>
                <w:rFonts w:ascii="Arial" w:hAnsi="Arial" w:cs="Arial"/>
                <w:sz w:val="18"/>
                <w:szCs w:val="18"/>
              </w:rPr>
              <w:t>1/70</w:t>
            </w:r>
          </w:p>
        </w:tc>
        <w:tc>
          <w:tcPr>
            <w:tcW w:w="3096" w:type="dxa"/>
            <w:tcBorders>
              <w:top w:val="single" w:sz="6" w:space="0" w:color="auto"/>
              <w:left w:val="single" w:sz="6" w:space="0" w:color="auto"/>
              <w:bottom w:val="single" w:sz="6" w:space="0" w:color="auto"/>
              <w:right w:val="single" w:sz="6" w:space="0" w:color="auto"/>
            </w:tcBorders>
          </w:tcPr>
          <w:p w14:paraId="14880249"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5 158,00 Kč</w:t>
            </w:r>
          </w:p>
        </w:tc>
      </w:tr>
      <w:tr w:rsidR="006501F0" w:rsidRPr="00740FFB" w14:paraId="3267DB78" w14:textId="77777777" w:rsidTr="00CB2D94">
        <w:tc>
          <w:tcPr>
            <w:tcW w:w="3095" w:type="dxa"/>
            <w:tcBorders>
              <w:top w:val="single" w:sz="6" w:space="0" w:color="auto"/>
              <w:left w:val="single" w:sz="6" w:space="0" w:color="auto"/>
              <w:bottom w:val="single" w:sz="6" w:space="0" w:color="auto"/>
              <w:right w:val="single" w:sz="6" w:space="0" w:color="auto"/>
            </w:tcBorders>
          </w:tcPr>
          <w:p w14:paraId="7EE7E725"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Litoměřice</w:t>
            </w:r>
          </w:p>
        </w:tc>
        <w:tc>
          <w:tcPr>
            <w:tcW w:w="2004" w:type="dxa"/>
            <w:tcBorders>
              <w:top w:val="single" w:sz="6" w:space="0" w:color="auto"/>
              <w:left w:val="single" w:sz="6" w:space="0" w:color="auto"/>
              <w:bottom w:val="single" w:sz="6" w:space="0" w:color="auto"/>
              <w:right w:val="single" w:sz="4" w:space="0" w:color="auto"/>
            </w:tcBorders>
          </w:tcPr>
          <w:p w14:paraId="219B7572"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 xml:space="preserve"> 5288/71</w:t>
            </w:r>
          </w:p>
        </w:tc>
        <w:tc>
          <w:tcPr>
            <w:tcW w:w="1092" w:type="dxa"/>
            <w:tcBorders>
              <w:top w:val="single" w:sz="6" w:space="0" w:color="auto"/>
              <w:left w:val="single" w:sz="4" w:space="0" w:color="auto"/>
              <w:bottom w:val="single" w:sz="6" w:space="0" w:color="auto"/>
              <w:right w:val="single" w:sz="6" w:space="0" w:color="auto"/>
            </w:tcBorders>
          </w:tcPr>
          <w:p w14:paraId="63F56BC1" w14:textId="77777777" w:rsidR="006501F0" w:rsidRPr="00740FFB" w:rsidRDefault="006501F0" w:rsidP="00CB2D94">
            <w:pPr>
              <w:widowControl/>
              <w:jc w:val="center"/>
              <w:rPr>
                <w:rFonts w:ascii="Arial" w:hAnsi="Arial" w:cs="Arial"/>
                <w:sz w:val="18"/>
                <w:szCs w:val="18"/>
              </w:rPr>
            </w:pPr>
            <w:r>
              <w:rPr>
                <w:rFonts w:ascii="Arial" w:hAnsi="Arial" w:cs="Arial"/>
                <w:sz w:val="18"/>
                <w:szCs w:val="18"/>
              </w:rPr>
              <w:t>1/70</w:t>
            </w:r>
          </w:p>
        </w:tc>
        <w:tc>
          <w:tcPr>
            <w:tcW w:w="3096" w:type="dxa"/>
            <w:tcBorders>
              <w:top w:val="single" w:sz="6" w:space="0" w:color="auto"/>
              <w:left w:val="single" w:sz="6" w:space="0" w:color="auto"/>
              <w:bottom w:val="single" w:sz="6" w:space="0" w:color="auto"/>
              <w:right w:val="single" w:sz="6" w:space="0" w:color="auto"/>
            </w:tcBorders>
          </w:tcPr>
          <w:p w14:paraId="5933C70B"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2 438,00 Kč</w:t>
            </w:r>
          </w:p>
        </w:tc>
      </w:tr>
      <w:tr w:rsidR="006501F0" w:rsidRPr="00740FFB" w14:paraId="3C89EA6D" w14:textId="77777777" w:rsidTr="00CB2D94">
        <w:tc>
          <w:tcPr>
            <w:tcW w:w="3095" w:type="dxa"/>
            <w:tcBorders>
              <w:top w:val="single" w:sz="6" w:space="0" w:color="auto"/>
              <w:left w:val="single" w:sz="6" w:space="0" w:color="auto"/>
              <w:bottom w:val="single" w:sz="6" w:space="0" w:color="auto"/>
              <w:right w:val="single" w:sz="6" w:space="0" w:color="auto"/>
            </w:tcBorders>
          </w:tcPr>
          <w:p w14:paraId="555B68B4"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Litoměřice</w:t>
            </w:r>
          </w:p>
        </w:tc>
        <w:tc>
          <w:tcPr>
            <w:tcW w:w="2004" w:type="dxa"/>
            <w:tcBorders>
              <w:top w:val="single" w:sz="6" w:space="0" w:color="auto"/>
              <w:left w:val="single" w:sz="6" w:space="0" w:color="auto"/>
              <w:bottom w:val="single" w:sz="6" w:space="0" w:color="auto"/>
              <w:right w:val="single" w:sz="4" w:space="0" w:color="auto"/>
            </w:tcBorders>
          </w:tcPr>
          <w:p w14:paraId="2ECCA0A0"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 xml:space="preserve"> 5288/113</w:t>
            </w:r>
          </w:p>
        </w:tc>
        <w:tc>
          <w:tcPr>
            <w:tcW w:w="1092" w:type="dxa"/>
            <w:tcBorders>
              <w:top w:val="single" w:sz="6" w:space="0" w:color="auto"/>
              <w:left w:val="single" w:sz="4" w:space="0" w:color="auto"/>
              <w:bottom w:val="single" w:sz="6" w:space="0" w:color="auto"/>
              <w:right w:val="single" w:sz="6" w:space="0" w:color="auto"/>
            </w:tcBorders>
          </w:tcPr>
          <w:p w14:paraId="7B3AEECA" w14:textId="77777777" w:rsidR="006501F0" w:rsidRPr="00740FFB" w:rsidRDefault="006501F0" w:rsidP="00CB2D94">
            <w:pPr>
              <w:widowControl/>
              <w:jc w:val="center"/>
              <w:rPr>
                <w:rFonts w:ascii="Arial" w:hAnsi="Arial" w:cs="Arial"/>
                <w:sz w:val="18"/>
                <w:szCs w:val="18"/>
              </w:rPr>
            </w:pPr>
            <w:r>
              <w:rPr>
                <w:rFonts w:ascii="Arial" w:hAnsi="Arial" w:cs="Arial"/>
                <w:sz w:val="18"/>
                <w:szCs w:val="18"/>
              </w:rPr>
              <w:t>1/70</w:t>
            </w:r>
          </w:p>
        </w:tc>
        <w:tc>
          <w:tcPr>
            <w:tcW w:w="3096" w:type="dxa"/>
            <w:tcBorders>
              <w:top w:val="single" w:sz="6" w:space="0" w:color="auto"/>
              <w:left w:val="single" w:sz="6" w:space="0" w:color="auto"/>
              <w:bottom w:val="single" w:sz="6" w:space="0" w:color="auto"/>
              <w:right w:val="single" w:sz="6" w:space="0" w:color="auto"/>
            </w:tcBorders>
          </w:tcPr>
          <w:p w14:paraId="1EE7C554"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100,00 Kč</w:t>
            </w:r>
          </w:p>
        </w:tc>
      </w:tr>
      <w:tr w:rsidR="006501F0" w:rsidRPr="00740FFB" w14:paraId="3EBC10E1" w14:textId="77777777" w:rsidTr="00CB2D94">
        <w:tc>
          <w:tcPr>
            <w:tcW w:w="3095" w:type="dxa"/>
            <w:tcBorders>
              <w:top w:val="single" w:sz="6" w:space="0" w:color="auto"/>
              <w:left w:val="single" w:sz="6" w:space="0" w:color="auto"/>
              <w:bottom w:val="single" w:sz="6" w:space="0" w:color="auto"/>
              <w:right w:val="single" w:sz="6" w:space="0" w:color="auto"/>
            </w:tcBorders>
          </w:tcPr>
          <w:p w14:paraId="11F3394F"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Litoměřice</w:t>
            </w:r>
          </w:p>
        </w:tc>
        <w:tc>
          <w:tcPr>
            <w:tcW w:w="2004" w:type="dxa"/>
            <w:tcBorders>
              <w:top w:val="single" w:sz="6" w:space="0" w:color="auto"/>
              <w:left w:val="single" w:sz="6" w:space="0" w:color="auto"/>
              <w:bottom w:val="single" w:sz="6" w:space="0" w:color="auto"/>
              <w:right w:val="single" w:sz="4" w:space="0" w:color="auto"/>
            </w:tcBorders>
          </w:tcPr>
          <w:p w14:paraId="3AEA39C8"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 xml:space="preserve"> 5288/121</w:t>
            </w:r>
          </w:p>
        </w:tc>
        <w:tc>
          <w:tcPr>
            <w:tcW w:w="1092" w:type="dxa"/>
            <w:tcBorders>
              <w:top w:val="single" w:sz="6" w:space="0" w:color="auto"/>
              <w:left w:val="single" w:sz="4" w:space="0" w:color="auto"/>
              <w:bottom w:val="single" w:sz="6" w:space="0" w:color="auto"/>
              <w:right w:val="single" w:sz="6" w:space="0" w:color="auto"/>
            </w:tcBorders>
          </w:tcPr>
          <w:p w14:paraId="46B77C55" w14:textId="77777777" w:rsidR="006501F0" w:rsidRPr="00740FFB" w:rsidRDefault="006501F0" w:rsidP="00CB2D94">
            <w:pPr>
              <w:widowControl/>
              <w:jc w:val="center"/>
              <w:rPr>
                <w:rFonts w:ascii="Arial" w:hAnsi="Arial" w:cs="Arial"/>
                <w:sz w:val="18"/>
                <w:szCs w:val="18"/>
              </w:rPr>
            </w:pPr>
            <w:r>
              <w:rPr>
                <w:rFonts w:ascii="Arial" w:hAnsi="Arial" w:cs="Arial"/>
                <w:sz w:val="18"/>
                <w:szCs w:val="18"/>
              </w:rPr>
              <w:t>1/70</w:t>
            </w:r>
          </w:p>
        </w:tc>
        <w:tc>
          <w:tcPr>
            <w:tcW w:w="3096" w:type="dxa"/>
            <w:tcBorders>
              <w:top w:val="single" w:sz="6" w:space="0" w:color="auto"/>
              <w:left w:val="single" w:sz="6" w:space="0" w:color="auto"/>
              <w:bottom w:val="single" w:sz="6" w:space="0" w:color="auto"/>
              <w:right w:val="single" w:sz="6" w:space="0" w:color="auto"/>
            </w:tcBorders>
          </w:tcPr>
          <w:p w14:paraId="08299815"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1 114,00 Kč</w:t>
            </w:r>
          </w:p>
        </w:tc>
      </w:tr>
      <w:tr w:rsidR="006501F0" w:rsidRPr="00740FFB" w14:paraId="0F3BA0B8" w14:textId="77777777" w:rsidTr="00CB2D94">
        <w:tc>
          <w:tcPr>
            <w:tcW w:w="3095" w:type="dxa"/>
            <w:tcBorders>
              <w:top w:val="single" w:sz="6" w:space="0" w:color="auto"/>
              <w:left w:val="single" w:sz="6" w:space="0" w:color="auto"/>
              <w:bottom w:val="single" w:sz="6" w:space="0" w:color="auto"/>
              <w:right w:val="single" w:sz="6" w:space="0" w:color="auto"/>
            </w:tcBorders>
          </w:tcPr>
          <w:p w14:paraId="5255132B" w14:textId="22684178" w:rsidR="006501F0" w:rsidRPr="00740FFB" w:rsidRDefault="006501F0" w:rsidP="00CB2D94">
            <w:pPr>
              <w:widowControl/>
              <w:jc w:val="center"/>
              <w:rPr>
                <w:rFonts w:ascii="Arial" w:hAnsi="Arial" w:cs="Arial"/>
                <w:sz w:val="18"/>
                <w:szCs w:val="18"/>
              </w:rPr>
            </w:pPr>
            <w:r>
              <w:rPr>
                <w:rFonts w:ascii="Arial" w:hAnsi="Arial" w:cs="Arial"/>
                <w:sz w:val="18"/>
                <w:szCs w:val="18"/>
              </w:rPr>
              <w:t>Litoměřice</w:t>
            </w:r>
          </w:p>
        </w:tc>
        <w:tc>
          <w:tcPr>
            <w:tcW w:w="2004" w:type="dxa"/>
            <w:tcBorders>
              <w:top w:val="single" w:sz="6" w:space="0" w:color="auto"/>
              <w:left w:val="single" w:sz="6" w:space="0" w:color="auto"/>
              <w:bottom w:val="single" w:sz="6" w:space="0" w:color="auto"/>
              <w:right w:val="single" w:sz="4" w:space="0" w:color="auto"/>
            </w:tcBorders>
          </w:tcPr>
          <w:p w14:paraId="24CD3B9A" w14:textId="442203AD" w:rsidR="006501F0" w:rsidRPr="00740FFB" w:rsidRDefault="006501F0" w:rsidP="00CB2D94">
            <w:pPr>
              <w:widowControl/>
              <w:jc w:val="center"/>
              <w:rPr>
                <w:rFonts w:ascii="Arial" w:hAnsi="Arial" w:cs="Arial"/>
                <w:sz w:val="18"/>
                <w:szCs w:val="18"/>
              </w:rPr>
            </w:pPr>
            <w:r>
              <w:rPr>
                <w:rFonts w:ascii="Arial" w:hAnsi="Arial" w:cs="Arial"/>
                <w:sz w:val="18"/>
                <w:szCs w:val="18"/>
              </w:rPr>
              <w:t>5288/72</w:t>
            </w:r>
          </w:p>
        </w:tc>
        <w:tc>
          <w:tcPr>
            <w:tcW w:w="1092" w:type="dxa"/>
            <w:tcBorders>
              <w:top w:val="single" w:sz="6" w:space="0" w:color="auto"/>
              <w:left w:val="single" w:sz="4" w:space="0" w:color="auto"/>
              <w:bottom w:val="single" w:sz="6" w:space="0" w:color="auto"/>
              <w:right w:val="single" w:sz="6" w:space="0" w:color="auto"/>
            </w:tcBorders>
          </w:tcPr>
          <w:p w14:paraId="70745AC2" w14:textId="4F55A5A8" w:rsidR="006501F0" w:rsidRDefault="006501F0" w:rsidP="00CB2D94">
            <w:pPr>
              <w:widowControl/>
              <w:jc w:val="center"/>
              <w:rPr>
                <w:rFonts w:ascii="Arial" w:hAnsi="Arial" w:cs="Arial"/>
                <w:sz w:val="18"/>
                <w:szCs w:val="18"/>
              </w:rPr>
            </w:pPr>
            <w:r>
              <w:rPr>
                <w:rFonts w:ascii="Arial" w:hAnsi="Arial" w:cs="Arial"/>
                <w:sz w:val="18"/>
                <w:szCs w:val="18"/>
              </w:rPr>
              <w:t>1/1</w:t>
            </w:r>
          </w:p>
        </w:tc>
        <w:tc>
          <w:tcPr>
            <w:tcW w:w="3096" w:type="dxa"/>
            <w:tcBorders>
              <w:top w:val="single" w:sz="6" w:space="0" w:color="auto"/>
              <w:left w:val="single" w:sz="6" w:space="0" w:color="auto"/>
              <w:bottom w:val="single" w:sz="6" w:space="0" w:color="auto"/>
              <w:right w:val="single" w:sz="6" w:space="0" w:color="auto"/>
            </w:tcBorders>
          </w:tcPr>
          <w:p w14:paraId="3ACAC02F" w14:textId="2148CFBF" w:rsidR="006501F0" w:rsidRPr="00740FFB" w:rsidRDefault="006501F0" w:rsidP="00CB2D94">
            <w:pPr>
              <w:widowControl/>
              <w:jc w:val="center"/>
              <w:rPr>
                <w:rFonts w:ascii="Arial" w:hAnsi="Arial" w:cs="Arial"/>
                <w:sz w:val="18"/>
                <w:szCs w:val="18"/>
              </w:rPr>
            </w:pPr>
            <w:r>
              <w:rPr>
                <w:rFonts w:ascii="Arial" w:hAnsi="Arial" w:cs="Arial"/>
                <w:sz w:val="18"/>
                <w:szCs w:val="18"/>
              </w:rPr>
              <w:t>79 410,00 Kč</w:t>
            </w:r>
          </w:p>
        </w:tc>
      </w:tr>
    </w:tbl>
    <w:p w14:paraId="4FE06ADE" w14:textId="77777777" w:rsidR="006501F0" w:rsidRPr="00740FFB" w:rsidRDefault="006501F0" w:rsidP="006501F0">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6501F0" w:rsidRPr="00740FFB" w14:paraId="27BD9CB6" w14:textId="77777777" w:rsidTr="00CB2D94">
        <w:tc>
          <w:tcPr>
            <w:tcW w:w="6191" w:type="dxa"/>
            <w:tcBorders>
              <w:top w:val="single" w:sz="6" w:space="0" w:color="auto"/>
              <w:left w:val="single" w:sz="6" w:space="0" w:color="auto"/>
              <w:bottom w:val="single" w:sz="6" w:space="0" w:color="auto"/>
              <w:right w:val="single" w:sz="6" w:space="0" w:color="auto"/>
            </w:tcBorders>
          </w:tcPr>
          <w:p w14:paraId="6F70AC66" w14:textId="77777777"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092B885" w14:textId="2CF1312B" w:rsidR="006501F0" w:rsidRPr="00740FFB" w:rsidRDefault="006501F0" w:rsidP="00CB2D94">
            <w:pPr>
              <w:widowControl/>
              <w:jc w:val="center"/>
              <w:rPr>
                <w:rFonts w:ascii="Arial" w:hAnsi="Arial" w:cs="Arial"/>
                <w:sz w:val="18"/>
                <w:szCs w:val="18"/>
              </w:rPr>
            </w:pPr>
            <w:r w:rsidRPr="00740FFB">
              <w:rPr>
                <w:rFonts w:ascii="Arial" w:hAnsi="Arial" w:cs="Arial"/>
                <w:sz w:val="18"/>
                <w:szCs w:val="18"/>
              </w:rPr>
              <w:t>8</w:t>
            </w:r>
            <w:r>
              <w:rPr>
                <w:rFonts w:ascii="Arial" w:hAnsi="Arial" w:cs="Arial"/>
                <w:sz w:val="18"/>
                <w:szCs w:val="18"/>
              </w:rPr>
              <w:t>8</w:t>
            </w:r>
            <w:r w:rsidRPr="00740FFB">
              <w:rPr>
                <w:rFonts w:ascii="Arial" w:hAnsi="Arial" w:cs="Arial"/>
                <w:sz w:val="18"/>
                <w:szCs w:val="18"/>
              </w:rPr>
              <w:t> </w:t>
            </w:r>
            <w:r>
              <w:rPr>
                <w:rFonts w:ascii="Arial" w:hAnsi="Arial" w:cs="Arial"/>
                <w:sz w:val="18"/>
                <w:szCs w:val="18"/>
              </w:rPr>
              <w:t>220</w:t>
            </w:r>
            <w:r w:rsidRPr="00740FFB">
              <w:rPr>
                <w:rFonts w:ascii="Arial" w:hAnsi="Arial" w:cs="Arial"/>
                <w:sz w:val="18"/>
                <w:szCs w:val="18"/>
              </w:rPr>
              <w:t>,00 Kč</w:t>
            </w:r>
          </w:p>
        </w:tc>
      </w:tr>
    </w:tbl>
    <w:p w14:paraId="3031B627" w14:textId="77777777" w:rsidR="006501F0" w:rsidRPr="00740FFB" w:rsidRDefault="006501F0" w:rsidP="006501F0">
      <w:pPr>
        <w:widowControl/>
        <w:tabs>
          <w:tab w:val="left" w:pos="426"/>
        </w:tabs>
        <w:ind w:left="-142"/>
        <w:rPr>
          <w:rFonts w:ascii="Arial" w:hAnsi="Arial" w:cs="Arial"/>
          <w:sz w:val="18"/>
          <w:szCs w:val="18"/>
        </w:rPr>
      </w:pPr>
    </w:p>
    <w:p w14:paraId="7E25CD4E" w14:textId="77777777" w:rsidR="006501F0" w:rsidRPr="00740FFB" w:rsidRDefault="006501F0" w:rsidP="006501F0">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7F9D521" w14:textId="77777777" w:rsidR="00FE773F" w:rsidRDefault="00FE773F">
      <w:pPr>
        <w:widowControl/>
        <w:tabs>
          <w:tab w:val="left" w:pos="426"/>
        </w:tabs>
      </w:pPr>
    </w:p>
    <w:p w14:paraId="06721B1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285515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F8E3B3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9598415" w14:textId="25911710" w:rsidR="007A5D1C" w:rsidRPr="00FE773F" w:rsidRDefault="00136D24" w:rsidP="00FE773F">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52N25/38, kterou se Státním pozemkovým úřadem uzavřel Základní organizace Českého zahrádkářského svazu Litoměřice č.1, jakožto nájemce. S obsahem nájemní smlouvy byl kupující seznámen před podpisem této smlouvy, což stvrzuje svým podpisem.</w:t>
      </w:r>
    </w:p>
    <w:p w14:paraId="5A2D03F3" w14:textId="77777777" w:rsidR="00136D24" w:rsidRPr="00BA0CC9" w:rsidRDefault="0081728A">
      <w:pPr>
        <w:pStyle w:val="vnitrniText"/>
        <w:widowControl/>
        <w:rPr>
          <w:rFonts w:ascii="Arial" w:hAnsi="Arial" w:cs="Arial"/>
          <w:sz w:val="22"/>
          <w:szCs w:val="22"/>
        </w:rPr>
      </w:pPr>
      <w:bookmarkStart w:id="0" w:name="_Hlk154055174"/>
      <w:r w:rsidRPr="00FE773F">
        <w:rPr>
          <w:rFonts w:ascii="Arial" w:hAnsi="Arial" w:cs="Arial"/>
          <w:sz w:val="22"/>
          <w:szCs w:val="22"/>
        </w:rPr>
        <w:t>3) Kupující nabývá pozemky ve smyslu § 1918 zákona č. 89/2012 Sb., Občanský zákoník</w:t>
      </w:r>
      <w:r>
        <w:rPr>
          <w:rFonts w:ascii="Arial" w:hAnsi="Arial" w:cs="Arial"/>
          <w:sz w:val="22"/>
          <w:szCs w:val="22"/>
        </w:rPr>
        <w:t xml:space="preserve">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BFD77D1" w14:textId="77777777" w:rsidR="00F357C4" w:rsidRPr="00BA0CC9" w:rsidRDefault="00F357C4">
      <w:pPr>
        <w:pStyle w:val="para"/>
        <w:widowControl/>
        <w:rPr>
          <w:rFonts w:ascii="Arial" w:hAnsi="Arial" w:cs="Arial"/>
          <w:sz w:val="22"/>
          <w:szCs w:val="22"/>
        </w:rPr>
      </w:pPr>
    </w:p>
    <w:p w14:paraId="15EA4E0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E5452E0" w14:textId="77777777" w:rsidR="00236BC4" w:rsidRPr="00BA0CC9" w:rsidRDefault="00236BC4" w:rsidP="00236BC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723570D8" w14:textId="1316C336" w:rsidR="00F56E1F" w:rsidRDefault="00F56E1F" w:rsidP="00236BC4">
      <w:pPr>
        <w:pStyle w:val="vnintext"/>
        <w:tabs>
          <w:tab w:val="clear" w:pos="709"/>
        </w:tabs>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736FA85"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1A95CA3" w14:textId="77777777" w:rsidR="00236BC4" w:rsidRPr="001D58B7" w:rsidRDefault="00236BC4" w:rsidP="00236BC4">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4408914" w14:textId="77777777" w:rsidR="00136D24" w:rsidRPr="00BA0CC9" w:rsidRDefault="00136D24">
      <w:pPr>
        <w:widowControl/>
        <w:rPr>
          <w:rFonts w:ascii="Arial" w:hAnsi="Arial" w:cs="Arial"/>
          <w:b/>
          <w:bCs/>
          <w:sz w:val="22"/>
          <w:szCs w:val="22"/>
        </w:rPr>
      </w:pPr>
    </w:p>
    <w:p w14:paraId="0AD7723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644CF4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8D03B2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779D34F"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 xml:space="preserve">v Registru smluv dle zákona </w:t>
      </w:r>
      <w:r w:rsidRPr="00224A79">
        <w:rPr>
          <w:rFonts w:ascii="Arial" w:hAnsi="Arial" w:cs="Arial"/>
          <w:sz w:val="22"/>
          <w:szCs w:val="22"/>
        </w:rPr>
        <w:lastRenderedPageBreak/>
        <w:t>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7AC4182"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65A00D3"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5DE8E5F"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608A5AE" w14:textId="77777777" w:rsidR="00136D24" w:rsidRPr="00BA0CC9" w:rsidRDefault="00136D24">
      <w:pPr>
        <w:pStyle w:val="vnitrniText"/>
        <w:widowControl/>
        <w:rPr>
          <w:rFonts w:ascii="Arial" w:hAnsi="Arial" w:cs="Arial"/>
          <w:sz w:val="22"/>
          <w:szCs w:val="22"/>
        </w:rPr>
      </w:pPr>
    </w:p>
    <w:p w14:paraId="24C8F5E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C8D814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BA5074F" w14:textId="1FEAF39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6501F0">
        <w:rPr>
          <w:rFonts w:ascii="Arial" w:hAnsi="Arial" w:cs="Arial"/>
          <w:sz w:val="22"/>
          <w:szCs w:val="22"/>
        </w:rPr>
        <w:t>§ 10 odst.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35165A56"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745EF08" w14:textId="37B94BF6" w:rsidR="00136D24" w:rsidRPr="00BA0CC9" w:rsidRDefault="002750DE" w:rsidP="00B60FCC">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0EFCC69"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A81D56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1E5850D" w14:textId="77777777" w:rsidR="00136D24" w:rsidRPr="00BA0CC9" w:rsidRDefault="00136D24">
      <w:pPr>
        <w:widowControl/>
        <w:jc w:val="both"/>
        <w:rPr>
          <w:rFonts w:ascii="Arial" w:hAnsi="Arial" w:cs="Arial"/>
          <w:sz w:val="22"/>
          <w:szCs w:val="22"/>
        </w:rPr>
      </w:pPr>
    </w:p>
    <w:p w14:paraId="7D2DFE03" w14:textId="77777777" w:rsidR="00136D24" w:rsidRPr="00BA0CC9" w:rsidRDefault="00136D24">
      <w:pPr>
        <w:widowControl/>
        <w:jc w:val="both"/>
        <w:rPr>
          <w:rFonts w:ascii="Arial" w:hAnsi="Arial" w:cs="Arial"/>
          <w:sz w:val="22"/>
          <w:szCs w:val="22"/>
        </w:rPr>
      </w:pPr>
    </w:p>
    <w:p w14:paraId="6876C56E" w14:textId="6AAE7F0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280192">
        <w:rPr>
          <w:rFonts w:ascii="Arial" w:hAnsi="Arial" w:cs="Arial"/>
          <w:sz w:val="22"/>
          <w:szCs w:val="22"/>
        </w:rPr>
        <w:t>19.12.2025</w:t>
      </w:r>
      <w:r w:rsidRPr="00BA0CC9">
        <w:rPr>
          <w:rFonts w:ascii="Arial" w:hAnsi="Arial" w:cs="Arial"/>
          <w:sz w:val="22"/>
          <w:szCs w:val="22"/>
        </w:rPr>
        <w:tab/>
        <w:t xml:space="preserve">V </w:t>
      </w:r>
      <w:r w:rsidR="00280192">
        <w:rPr>
          <w:rFonts w:ascii="Arial" w:hAnsi="Arial" w:cs="Arial"/>
          <w:sz w:val="22"/>
          <w:szCs w:val="22"/>
        </w:rPr>
        <w:t>Teplicích</w:t>
      </w:r>
      <w:r w:rsidRPr="00BA0CC9">
        <w:rPr>
          <w:rFonts w:ascii="Arial" w:hAnsi="Arial" w:cs="Arial"/>
          <w:sz w:val="22"/>
          <w:szCs w:val="22"/>
        </w:rPr>
        <w:t xml:space="preserve"> dne </w:t>
      </w:r>
      <w:r w:rsidR="00280192">
        <w:rPr>
          <w:rFonts w:ascii="Arial" w:hAnsi="Arial" w:cs="Arial"/>
          <w:sz w:val="22"/>
          <w:szCs w:val="22"/>
        </w:rPr>
        <w:t>19.12.2025</w:t>
      </w:r>
    </w:p>
    <w:p w14:paraId="2F80EF0B" w14:textId="77777777" w:rsidR="00136D24" w:rsidRPr="00BA0CC9" w:rsidRDefault="00136D24">
      <w:pPr>
        <w:widowControl/>
        <w:rPr>
          <w:rFonts w:ascii="Arial" w:hAnsi="Arial" w:cs="Arial"/>
          <w:sz w:val="22"/>
          <w:szCs w:val="22"/>
        </w:rPr>
      </w:pPr>
    </w:p>
    <w:p w14:paraId="005F49EC" w14:textId="77777777" w:rsidR="00136D24" w:rsidRPr="00BA0CC9" w:rsidRDefault="00136D24">
      <w:pPr>
        <w:widowControl/>
        <w:rPr>
          <w:rFonts w:ascii="Arial" w:hAnsi="Arial" w:cs="Arial"/>
          <w:sz w:val="22"/>
          <w:szCs w:val="22"/>
        </w:rPr>
      </w:pPr>
    </w:p>
    <w:p w14:paraId="62A39CCD" w14:textId="77777777" w:rsidR="00136D24" w:rsidRPr="00BA0CC9" w:rsidRDefault="00136D24">
      <w:pPr>
        <w:widowControl/>
        <w:rPr>
          <w:rFonts w:ascii="Arial" w:hAnsi="Arial" w:cs="Arial"/>
          <w:sz w:val="22"/>
          <w:szCs w:val="22"/>
        </w:rPr>
      </w:pPr>
    </w:p>
    <w:p w14:paraId="39C35BE9" w14:textId="77777777" w:rsidR="00136D24" w:rsidRPr="00BA0CC9" w:rsidRDefault="00136D24">
      <w:pPr>
        <w:widowControl/>
        <w:rPr>
          <w:rFonts w:ascii="Arial" w:hAnsi="Arial" w:cs="Arial"/>
          <w:sz w:val="22"/>
          <w:szCs w:val="22"/>
        </w:rPr>
      </w:pPr>
    </w:p>
    <w:p w14:paraId="16A9D00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B9ED3AC"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Tichý Petr</w:t>
      </w:r>
    </w:p>
    <w:p w14:paraId="672B1E4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7C34D3B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p>
    <w:p w14:paraId="11AA27F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Mgr. Jaroslava Kosejková</w:t>
      </w:r>
      <w:r w:rsidRPr="00BA0CC9">
        <w:rPr>
          <w:rFonts w:ascii="Arial" w:hAnsi="Arial" w:cs="Arial"/>
          <w:sz w:val="22"/>
          <w:szCs w:val="22"/>
        </w:rPr>
        <w:tab/>
      </w:r>
    </w:p>
    <w:p w14:paraId="29972202" w14:textId="1BD1F783" w:rsidR="00136D24" w:rsidRPr="00BA0CC9" w:rsidRDefault="00136D24" w:rsidP="00B60FCC">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6006AFD"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1001038, 6698138, 6698038, 6693838, 6785638</w:t>
      </w:r>
      <w:r w:rsidRPr="00BA0CC9">
        <w:rPr>
          <w:rFonts w:ascii="Arial" w:hAnsi="Arial" w:cs="Arial"/>
          <w:color w:val="000000"/>
          <w:sz w:val="22"/>
          <w:szCs w:val="22"/>
        </w:rPr>
        <w:br/>
      </w:r>
    </w:p>
    <w:p w14:paraId="79153197" w14:textId="77777777" w:rsidR="00136D24" w:rsidRPr="00BA0CC9" w:rsidRDefault="00136D24">
      <w:pPr>
        <w:widowControl/>
        <w:jc w:val="both"/>
        <w:rPr>
          <w:rFonts w:ascii="Arial" w:hAnsi="Arial" w:cs="Arial"/>
          <w:sz w:val="22"/>
          <w:szCs w:val="22"/>
        </w:rPr>
      </w:pPr>
    </w:p>
    <w:p w14:paraId="3D1C6B3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0649CC1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582831A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19069C15" w14:textId="77777777" w:rsidR="008C265A" w:rsidRPr="00BA0CC9" w:rsidRDefault="008C265A" w:rsidP="008C265A">
      <w:pPr>
        <w:widowControl/>
        <w:rPr>
          <w:rFonts w:ascii="Arial" w:hAnsi="Arial" w:cs="Arial"/>
          <w:sz w:val="22"/>
          <w:szCs w:val="22"/>
        </w:rPr>
      </w:pPr>
    </w:p>
    <w:p w14:paraId="2D9E8A20"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625C5D1"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222B4BF" w14:textId="77777777" w:rsidR="008C265A" w:rsidRPr="00BA0CC9" w:rsidRDefault="008C265A">
      <w:pPr>
        <w:widowControl/>
        <w:tabs>
          <w:tab w:val="left" w:pos="120"/>
        </w:tabs>
        <w:jc w:val="both"/>
        <w:rPr>
          <w:rFonts w:ascii="Arial" w:hAnsi="Arial" w:cs="Arial"/>
          <w:sz w:val="22"/>
          <w:szCs w:val="22"/>
        </w:rPr>
      </w:pPr>
    </w:p>
    <w:p w14:paraId="687CEAB6"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Markéta Jovanović DiS.</w:t>
      </w:r>
    </w:p>
    <w:p w14:paraId="1B453477" w14:textId="77777777" w:rsidR="00136D24" w:rsidRPr="00BA0CC9" w:rsidRDefault="00136D24">
      <w:pPr>
        <w:widowControl/>
        <w:jc w:val="both"/>
        <w:rPr>
          <w:rFonts w:ascii="Arial" w:hAnsi="Arial" w:cs="Arial"/>
          <w:sz w:val="22"/>
          <w:szCs w:val="22"/>
        </w:rPr>
      </w:pPr>
    </w:p>
    <w:p w14:paraId="48FA85B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4DE9423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89EAF79" w14:textId="77777777" w:rsidR="00CD75A6" w:rsidRPr="00BA0CC9" w:rsidRDefault="00CD75A6" w:rsidP="00CD75A6">
      <w:pPr>
        <w:widowControl/>
        <w:rPr>
          <w:rFonts w:ascii="Arial" w:hAnsi="Arial" w:cs="Arial"/>
          <w:sz w:val="22"/>
          <w:szCs w:val="22"/>
        </w:rPr>
      </w:pPr>
    </w:p>
    <w:p w14:paraId="4ABE66DC" w14:textId="77777777" w:rsidR="00CD75A6" w:rsidRPr="00BA0CC9" w:rsidRDefault="00CD75A6" w:rsidP="00CD75A6">
      <w:pPr>
        <w:widowControl/>
        <w:rPr>
          <w:rFonts w:ascii="Arial" w:hAnsi="Arial" w:cs="Arial"/>
          <w:sz w:val="22"/>
          <w:szCs w:val="22"/>
        </w:rPr>
      </w:pPr>
    </w:p>
    <w:p w14:paraId="057CDEB7" w14:textId="77777777" w:rsidR="00CD75A6" w:rsidRPr="00BA0CC9" w:rsidRDefault="00CD75A6" w:rsidP="00CD75A6">
      <w:pPr>
        <w:widowControl/>
        <w:jc w:val="both"/>
        <w:rPr>
          <w:rFonts w:ascii="Arial" w:hAnsi="Arial" w:cs="Arial"/>
          <w:sz w:val="22"/>
          <w:szCs w:val="22"/>
        </w:rPr>
      </w:pPr>
    </w:p>
    <w:p w14:paraId="2278CF5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FB6698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3FA8F9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E62AABC" w14:textId="77777777" w:rsidR="00CD75A6" w:rsidRPr="00BA0CC9" w:rsidRDefault="00CD75A6" w:rsidP="00CD75A6">
      <w:pPr>
        <w:jc w:val="both"/>
        <w:rPr>
          <w:rFonts w:ascii="Arial" w:hAnsi="Arial" w:cs="Arial"/>
          <w:sz w:val="22"/>
          <w:szCs w:val="22"/>
        </w:rPr>
      </w:pPr>
    </w:p>
    <w:p w14:paraId="4A3CA7D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3FFD02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7E0407A" w14:textId="77777777" w:rsidR="00CD75A6" w:rsidRPr="00BA0CC9" w:rsidRDefault="00CD75A6" w:rsidP="00CD75A6">
      <w:pPr>
        <w:jc w:val="both"/>
        <w:rPr>
          <w:rFonts w:ascii="Arial" w:hAnsi="Arial" w:cs="Arial"/>
          <w:i/>
          <w:sz w:val="22"/>
          <w:szCs w:val="22"/>
        </w:rPr>
      </w:pPr>
    </w:p>
    <w:p w14:paraId="511674E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58F303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13A4CBB" w14:textId="77777777" w:rsidR="00224A79" w:rsidRDefault="00224A79" w:rsidP="00224A79">
      <w:pPr>
        <w:jc w:val="both"/>
        <w:rPr>
          <w:rFonts w:ascii="Arial" w:hAnsi="Arial" w:cs="Arial"/>
          <w:color w:val="FF0000"/>
          <w:sz w:val="22"/>
          <w:szCs w:val="22"/>
        </w:rPr>
      </w:pPr>
    </w:p>
    <w:p w14:paraId="749E8117" w14:textId="77777777" w:rsidR="00224A79" w:rsidRDefault="00224A79" w:rsidP="00224A79">
      <w:pPr>
        <w:jc w:val="both"/>
        <w:rPr>
          <w:rFonts w:ascii="Arial" w:hAnsi="Arial" w:cs="Arial"/>
          <w:sz w:val="22"/>
          <w:szCs w:val="22"/>
        </w:rPr>
      </w:pPr>
      <w:r>
        <w:rPr>
          <w:rFonts w:ascii="Arial" w:hAnsi="Arial" w:cs="Arial"/>
          <w:sz w:val="22"/>
          <w:szCs w:val="22"/>
        </w:rPr>
        <w:t>………………………</w:t>
      </w:r>
    </w:p>
    <w:p w14:paraId="7FCB436A" w14:textId="77777777" w:rsidR="00224A79" w:rsidRDefault="00224A79" w:rsidP="00224A79">
      <w:pPr>
        <w:jc w:val="both"/>
        <w:rPr>
          <w:rFonts w:ascii="Arial" w:hAnsi="Arial" w:cs="Arial"/>
          <w:sz w:val="22"/>
          <w:szCs w:val="22"/>
        </w:rPr>
      </w:pPr>
      <w:r>
        <w:rPr>
          <w:rFonts w:ascii="Arial" w:hAnsi="Arial" w:cs="Arial"/>
          <w:sz w:val="22"/>
          <w:szCs w:val="22"/>
        </w:rPr>
        <w:t>ID verze</w:t>
      </w:r>
    </w:p>
    <w:p w14:paraId="33E647A6" w14:textId="77777777" w:rsidR="00052C6E" w:rsidRPr="00BA0CC9" w:rsidRDefault="00052C6E" w:rsidP="00052C6E">
      <w:pPr>
        <w:jc w:val="both"/>
        <w:rPr>
          <w:rFonts w:ascii="Arial" w:hAnsi="Arial" w:cs="Arial"/>
          <w:sz w:val="22"/>
          <w:szCs w:val="22"/>
        </w:rPr>
      </w:pPr>
    </w:p>
    <w:p w14:paraId="245774D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A290A4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37D3BC3" w14:textId="77777777" w:rsidR="00052C6E" w:rsidRPr="00BA0CC9" w:rsidRDefault="00052C6E" w:rsidP="00052C6E">
      <w:pPr>
        <w:jc w:val="both"/>
        <w:rPr>
          <w:rFonts w:ascii="Arial" w:hAnsi="Arial" w:cs="Arial"/>
          <w:sz w:val="22"/>
          <w:szCs w:val="22"/>
        </w:rPr>
      </w:pPr>
    </w:p>
    <w:p w14:paraId="166A711F" w14:textId="77777777" w:rsidR="00052C6E" w:rsidRPr="00BA0CC9" w:rsidRDefault="00052C6E" w:rsidP="00052C6E">
      <w:pPr>
        <w:jc w:val="both"/>
        <w:rPr>
          <w:rFonts w:ascii="Arial" w:hAnsi="Arial" w:cs="Arial"/>
          <w:sz w:val="22"/>
          <w:szCs w:val="22"/>
        </w:rPr>
      </w:pPr>
    </w:p>
    <w:p w14:paraId="0C827E7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053A6AA9"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D1A773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B5B4334" w14:textId="77777777" w:rsidR="00136D24" w:rsidRPr="00BA0CC9" w:rsidRDefault="00136D24">
      <w:pPr>
        <w:widowControl/>
        <w:rPr>
          <w:rFonts w:ascii="Arial" w:hAnsi="Arial" w:cs="Arial"/>
          <w:sz w:val="22"/>
          <w:szCs w:val="22"/>
        </w:rPr>
      </w:pPr>
    </w:p>
    <w:sectPr w:rsidR="00136D24" w:rsidRPr="00BA0CC9">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8629" w14:textId="77777777" w:rsidR="006501F0" w:rsidRDefault="006501F0">
      <w:r>
        <w:separator/>
      </w:r>
    </w:p>
  </w:endnote>
  <w:endnote w:type="continuationSeparator" w:id="0">
    <w:p w14:paraId="03366B7D" w14:textId="77777777" w:rsidR="006501F0" w:rsidRDefault="0065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BADD" w14:textId="77777777" w:rsidR="00090F7E" w:rsidRDefault="00090F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E9B8" w14:textId="77777777" w:rsidR="00090F7E" w:rsidRDefault="00090F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9B52" w14:textId="77777777" w:rsidR="00090F7E" w:rsidRDefault="00090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302E" w14:textId="77777777" w:rsidR="006501F0" w:rsidRDefault="006501F0">
      <w:r>
        <w:separator/>
      </w:r>
    </w:p>
  </w:footnote>
  <w:footnote w:type="continuationSeparator" w:id="0">
    <w:p w14:paraId="72032B6C" w14:textId="77777777" w:rsidR="006501F0" w:rsidRDefault="0065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44C2" w14:textId="211630F3" w:rsidR="00090F7E" w:rsidRDefault="00090F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91FC" w14:textId="6B60A534" w:rsidR="00136D24" w:rsidRDefault="00136D24">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2BB8" w14:textId="1E00D5C9" w:rsidR="00090F7E" w:rsidRDefault="00090F7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35BE1"/>
    <w:rsid w:val="000478F2"/>
    <w:rsid w:val="00052C6E"/>
    <w:rsid w:val="00053339"/>
    <w:rsid w:val="00090F7E"/>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36BC4"/>
    <w:rsid w:val="002605CC"/>
    <w:rsid w:val="002750DE"/>
    <w:rsid w:val="00280192"/>
    <w:rsid w:val="003237EF"/>
    <w:rsid w:val="00365047"/>
    <w:rsid w:val="00371381"/>
    <w:rsid w:val="00371BEF"/>
    <w:rsid w:val="003B6AD2"/>
    <w:rsid w:val="0043604A"/>
    <w:rsid w:val="00474106"/>
    <w:rsid w:val="00493949"/>
    <w:rsid w:val="00495B42"/>
    <w:rsid w:val="004E58B0"/>
    <w:rsid w:val="00534FBE"/>
    <w:rsid w:val="00562C72"/>
    <w:rsid w:val="0056566C"/>
    <w:rsid w:val="005759A8"/>
    <w:rsid w:val="00585BDF"/>
    <w:rsid w:val="005A7486"/>
    <w:rsid w:val="005C47E0"/>
    <w:rsid w:val="00617DF1"/>
    <w:rsid w:val="00625710"/>
    <w:rsid w:val="00634F8F"/>
    <w:rsid w:val="006501F0"/>
    <w:rsid w:val="006B26DB"/>
    <w:rsid w:val="0070264E"/>
    <w:rsid w:val="00722FCE"/>
    <w:rsid w:val="00724A2B"/>
    <w:rsid w:val="00732D29"/>
    <w:rsid w:val="00740872"/>
    <w:rsid w:val="00740FFB"/>
    <w:rsid w:val="00776527"/>
    <w:rsid w:val="007A5D1C"/>
    <w:rsid w:val="007C0CEF"/>
    <w:rsid w:val="007C3097"/>
    <w:rsid w:val="007D53A0"/>
    <w:rsid w:val="007E3A0A"/>
    <w:rsid w:val="007F129E"/>
    <w:rsid w:val="007F4AFB"/>
    <w:rsid w:val="008058B7"/>
    <w:rsid w:val="0081111C"/>
    <w:rsid w:val="0081728A"/>
    <w:rsid w:val="00822906"/>
    <w:rsid w:val="00831AF0"/>
    <w:rsid w:val="00881E28"/>
    <w:rsid w:val="008A0853"/>
    <w:rsid w:val="008A3E4B"/>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0FCC"/>
    <w:rsid w:val="00B62856"/>
    <w:rsid w:val="00BA0CC9"/>
    <w:rsid w:val="00BF4C1B"/>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 w:val="00FE7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293276"/>
  <w14:defaultImageDpi w14:val="0"/>
  <w15:docId w15:val="{D10BE764-7549-49B4-AF12-6C939811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2866">
      <w:marLeft w:val="0"/>
      <w:marRight w:val="0"/>
      <w:marTop w:val="0"/>
      <w:marBottom w:val="0"/>
      <w:divBdr>
        <w:top w:val="none" w:sz="0" w:space="0" w:color="auto"/>
        <w:left w:val="none" w:sz="0" w:space="0" w:color="auto"/>
        <w:bottom w:val="none" w:sz="0" w:space="0" w:color="auto"/>
        <w:right w:val="none" w:sz="0" w:space="0" w:color="auto"/>
      </w:divBdr>
    </w:div>
    <w:div w:id="408772867">
      <w:marLeft w:val="0"/>
      <w:marRight w:val="0"/>
      <w:marTop w:val="0"/>
      <w:marBottom w:val="0"/>
      <w:divBdr>
        <w:top w:val="none" w:sz="0" w:space="0" w:color="auto"/>
        <w:left w:val="none" w:sz="0" w:space="0" w:color="auto"/>
        <w:bottom w:val="none" w:sz="0" w:space="0" w:color="auto"/>
        <w:right w:val="none" w:sz="0" w:space="0" w:color="auto"/>
      </w:divBdr>
    </w:div>
    <w:div w:id="408772868">
      <w:marLeft w:val="0"/>
      <w:marRight w:val="0"/>
      <w:marTop w:val="0"/>
      <w:marBottom w:val="0"/>
      <w:divBdr>
        <w:top w:val="none" w:sz="0" w:space="0" w:color="auto"/>
        <w:left w:val="none" w:sz="0" w:space="0" w:color="auto"/>
        <w:bottom w:val="none" w:sz="0" w:space="0" w:color="auto"/>
        <w:right w:val="none" w:sz="0" w:space="0" w:color="auto"/>
      </w:divBdr>
    </w:div>
    <w:div w:id="408772869">
      <w:marLeft w:val="0"/>
      <w:marRight w:val="0"/>
      <w:marTop w:val="0"/>
      <w:marBottom w:val="0"/>
      <w:divBdr>
        <w:top w:val="none" w:sz="0" w:space="0" w:color="auto"/>
        <w:left w:val="none" w:sz="0" w:space="0" w:color="auto"/>
        <w:bottom w:val="none" w:sz="0" w:space="0" w:color="auto"/>
        <w:right w:val="none" w:sz="0" w:space="0" w:color="auto"/>
      </w:divBdr>
    </w:div>
    <w:div w:id="408772870">
      <w:marLeft w:val="0"/>
      <w:marRight w:val="0"/>
      <w:marTop w:val="0"/>
      <w:marBottom w:val="0"/>
      <w:divBdr>
        <w:top w:val="none" w:sz="0" w:space="0" w:color="auto"/>
        <w:left w:val="none" w:sz="0" w:space="0" w:color="auto"/>
        <w:bottom w:val="none" w:sz="0" w:space="0" w:color="auto"/>
        <w:right w:val="none" w:sz="0" w:space="0" w:color="auto"/>
      </w:divBdr>
    </w:div>
    <w:div w:id="408772871">
      <w:marLeft w:val="0"/>
      <w:marRight w:val="0"/>
      <w:marTop w:val="0"/>
      <w:marBottom w:val="0"/>
      <w:divBdr>
        <w:top w:val="none" w:sz="0" w:space="0" w:color="auto"/>
        <w:left w:val="none" w:sz="0" w:space="0" w:color="auto"/>
        <w:bottom w:val="none" w:sz="0" w:space="0" w:color="auto"/>
        <w:right w:val="none" w:sz="0" w:space="0" w:color="auto"/>
      </w:divBdr>
    </w:div>
    <w:div w:id="408772872">
      <w:marLeft w:val="0"/>
      <w:marRight w:val="0"/>
      <w:marTop w:val="0"/>
      <w:marBottom w:val="0"/>
      <w:divBdr>
        <w:top w:val="none" w:sz="0" w:space="0" w:color="auto"/>
        <w:left w:val="none" w:sz="0" w:space="0" w:color="auto"/>
        <w:bottom w:val="none" w:sz="0" w:space="0" w:color="auto"/>
        <w:right w:val="none" w:sz="0" w:space="0" w:color="auto"/>
      </w:divBdr>
    </w:div>
    <w:div w:id="408772873">
      <w:marLeft w:val="0"/>
      <w:marRight w:val="0"/>
      <w:marTop w:val="0"/>
      <w:marBottom w:val="0"/>
      <w:divBdr>
        <w:top w:val="none" w:sz="0" w:space="0" w:color="auto"/>
        <w:left w:val="none" w:sz="0" w:space="0" w:color="auto"/>
        <w:bottom w:val="none" w:sz="0" w:space="0" w:color="auto"/>
        <w:right w:val="none" w:sz="0" w:space="0" w:color="auto"/>
      </w:divBdr>
    </w:div>
    <w:div w:id="408772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1440</Words>
  <Characters>8500</Characters>
  <Application>Microsoft Office Word</Application>
  <DocSecurity>0</DocSecurity>
  <Lines>70</Lines>
  <Paragraphs>19</Paragraphs>
  <ScaleCrop>false</ScaleCrop>
  <Company>Pozemkový Fond ČR</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6</cp:revision>
  <cp:lastPrinted>2000-06-22T10:13:00Z</cp:lastPrinted>
  <dcterms:created xsi:type="dcterms:W3CDTF">2025-09-29T12:40:00Z</dcterms:created>
  <dcterms:modified xsi:type="dcterms:W3CDTF">2025-12-19T08:56:00Z</dcterms:modified>
</cp:coreProperties>
</file>