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CED0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1638F93A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2BDDCB2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68C85C19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69821734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EC103DA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0DBD937F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3CD025AF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18428D68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640234">
        <w:rPr>
          <w:sz w:val="16"/>
          <w:szCs w:val="16"/>
        </w:rPr>
        <w:t xml:space="preserve">     Ing. Václavem Benediktem, ředitelem p.o.</w:t>
      </w:r>
    </w:p>
    <w:p w14:paraId="4C3798A9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0BE868FC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6E103A00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7F8E0383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0629BFFD" w14:textId="77777777" w:rsidR="00763AE8" w:rsidRDefault="00763AE8" w:rsidP="00763AE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Vojenská lázeňská a rekreační zařízení</w:t>
      </w:r>
      <w:r w:rsidR="0011633E">
        <w:rPr>
          <w:b/>
          <w:bCs/>
          <w:sz w:val="16"/>
          <w:szCs w:val="16"/>
        </w:rPr>
        <w:t>, p. o.</w:t>
      </w:r>
    </w:p>
    <w:p w14:paraId="0AB70915" w14:textId="77777777" w:rsidR="00EE4D68" w:rsidRDefault="00EE4D68" w:rsidP="00763AE8">
      <w:pPr>
        <w:rPr>
          <w:b/>
          <w:bCs/>
          <w:sz w:val="16"/>
          <w:szCs w:val="16"/>
        </w:rPr>
      </w:pPr>
      <w:r w:rsidRPr="00EE4D68">
        <w:rPr>
          <w:sz w:val="16"/>
          <w:szCs w:val="16"/>
        </w:rPr>
        <w:t>se sídlem</w:t>
      </w:r>
      <w:r w:rsidR="00763AE8">
        <w:rPr>
          <w:b/>
          <w:bCs/>
          <w:sz w:val="16"/>
          <w:szCs w:val="16"/>
        </w:rPr>
        <w:t xml:space="preserve">        </w:t>
      </w:r>
      <w:r>
        <w:rPr>
          <w:bCs/>
          <w:sz w:val="16"/>
          <w:szCs w:val="16"/>
        </w:rPr>
        <w:t>Magnitogorská 1494/12, 101 00 Praha</w:t>
      </w:r>
      <w:r w:rsidR="0011633E">
        <w:rPr>
          <w:bCs/>
          <w:sz w:val="16"/>
          <w:szCs w:val="16"/>
        </w:rPr>
        <w:t xml:space="preserve"> - Vršovice</w:t>
      </w:r>
      <w:r w:rsidR="00763AE8">
        <w:rPr>
          <w:b/>
          <w:bCs/>
          <w:sz w:val="16"/>
          <w:szCs w:val="16"/>
        </w:rPr>
        <w:t xml:space="preserve">          </w:t>
      </w:r>
    </w:p>
    <w:p w14:paraId="2AE418A3" w14:textId="77777777" w:rsidR="00763AE8" w:rsidRPr="009617F2" w:rsidRDefault="00EE4D68" w:rsidP="00763AE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</w:t>
      </w:r>
      <w:r w:rsidR="00763AE8">
        <w:rPr>
          <w:b/>
          <w:bCs/>
          <w:sz w:val="16"/>
          <w:szCs w:val="16"/>
        </w:rPr>
        <w:t>Vojenská lázeňská léčebna</w:t>
      </w:r>
      <w:r>
        <w:rPr>
          <w:b/>
          <w:bCs/>
          <w:sz w:val="16"/>
          <w:szCs w:val="16"/>
        </w:rPr>
        <w:t xml:space="preserve"> Karlovy Vary</w:t>
      </w:r>
    </w:p>
    <w:p w14:paraId="0B91ECED" w14:textId="77777777" w:rsidR="00EE4D68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 xml:space="preserve">se sídlem        </w:t>
      </w:r>
      <w:r w:rsidR="00EE4D68">
        <w:rPr>
          <w:sz w:val="16"/>
          <w:szCs w:val="16"/>
        </w:rPr>
        <w:t xml:space="preserve">Mlýnské nábřeží 7/574, 360 01 </w:t>
      </w:r>
      <w:r w:rsidR="00EE4D68">
        <w:rPr>
          <w:bCs/>
          <w:sz w:val="16"/>
          <w:szCs w:val="16"/>
        </w:rPr>
        <w:t>Karlovy Vary</w:t>
      </w:r>
    </w:p>
    <w:p w14:paraId="783AED0D" w14:textId="77777777" w:rsidR="00763AE8" w:rsidRPr="009617F2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>IČ                   00000582</w:t>
      </w:r>
    </w:p>
    <w:p w14:paraId="07A50B54" w14:textId="77777777" w:rsidR="00763AE8" w:rsidRPr="009617F2" w:rsidRDefault="00763AE8" w:rsidP="00763AE8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zastoupena     Ing. Pavlem Polákem, ředitelem Vojenské lázeňské léčebny Karlovy Vary</w:t>
      </w:r>
    </w:p>
    <w:p w14:paraId="61B055E1" w14:textId="77777777" w:rsidR="00763AE8" w:rsidRPr="009617F2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 xml:space="preserve">(dále jen jako </w:t>
      </w:r>
      <w:r w:rsidRPr="009617F2">
        <w:rPr>
          <w:b/>
          <w:bCs/>
          <w:sz w:val="16"/>
          <w:szCs w:val="16"/>
        </w:rPr>
        <w:t>„odběratel“</w:t>
      </w:r>
      <w:r w:rsidRPr="009617F2">
        <w:rPr>
          <w:bCs/>
          <w:sz w:val="16"/>
          <w:szCs w:val="16"/>
        </w:rPr>
        <w:t>)</w:t>
      </w:r>
    </w:p>
    <w:p w14:paraId="44DB73B4" w14:textId="77777777" w:rsidR="00B342CA" w:rsidRDefault="00B342CA" w:rsidP="00663405">
      <w:pPr>
        <w:rPr>
          <w:bCs/>
          <w:sz w:val="16"/>
          <w:szCs w:val="16"/>
        </w:rPr>
      </w:pPr>
    </w:p>
    <w:p w14:paraId="31F28780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4044FB70" w14:textId="77777777" w:rsidR="00B342CA" w:rsidRDefault="00B342CA" w:rsidP="00663405">
      <w:pPr>
        <w:rPr>
          <w:bCs/>
          <w:sz w:val="16"/>
          <w:szCs w:val="16"/>
        </w:rPr>
      </w:pPr>
    </w:p>
    <w:p w14:paraId="316ECB89" w14:textId="77777777" w:rsidR="00B342CA" w:rsidRDefault="00B342CA" w:rsidP="00663405">
      <w:pPr>
        <w:rPr>
          <w:bCs/>
          <w:sz w:val="16"/>
          <w:szCs w:val="16"/>
        </w:rPr>
      </w:pPr>
    </w:p>
    <w:p w14:paraId="02830411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773FA39D" w14:textId="77777777" w:rsidR="00DB4768" w:rsidRDefault="00DB4768" w:rsidP="00663405">
      <w:pPr>
        <w:rPr>
          <w:bCs/>
          <w:sz w:val="16"/>
          <w:szCs w:val="16"/>
        </w:rPr>
      </w:pPr>
    </w:p>
    <w:p w14:paraId="5F74BB04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63AE8">
        <w:rPr>
          <w:bCs/>
          <w:sz w:val="16"/>
          <w:szCs w:val="16"/>
        </w:rPr>
        <w:t>8</w:t>
      </w:r>
      <w:r w:rsidR="00A25CD7">
        <w:rPr>
          <w:bCs/>
          <w:sz w:val="16"/>
          <w:szCs w:val="16"/>
        </w:rPr>
        <w:t>. 201</w:t>
      </w:r>
      <w:r w:rsidR="00763AE8">
        <w:rPr>
          <w:bCs/>
          <w:sz w:val="16"/>
          <w:szCs w:val="16"/>
        </w:rPr>
        <w:t>8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1C37787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171582A4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2F418866" w14:textId="77777777" w:rsidR="00B342CA" w:rsidRDefault="00B342CA" w:rsidP="00663405">
      <w:pPr>
        <w:rPr>
          <w:bCs/>
          <w:sz w:val="16"/>
          <w:szCs w:val="16"/>
        </w:rPr>
      </w:pPr>
    </w:p>
    <w:p w14:paraId="001A7B17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12F0C027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390864BF" w14:textId="77777777" w:rsidR="00F96281" w:rsidRDefault="00F96281" w:rsidP="00F96281"/>
    <w:p w14:paraId="120DCDA9" w14:textId="77777777" w:rsidR="00CF3176" w:rsidRDefault="00CF3176" w:rsidP="00F96281"/>
    <w:p w14:paraId="36978305" w14:textId="77777777" w:rsidR="0077670D" w:rsidRPr="00423CC9" w:rsidRDefault="0077670D" w:rsidP="00F96281"/>
    <w:p w14:paraId="6D8A1A40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661DF55F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265B1B8C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103CA221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01247E6B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0128BB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763AE8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1286B1D8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763AE8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546159B3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35BB04A4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2ADCE89" w14:textId="77777777" w:rsidR="00663405" w:rsidRPr="00F85614" w:rsidRDefault="00593C81" w:rsidP="00663405">
      <w:pPr>
        <w:rPr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663405">
        <w:rPr>
          <w:sz w:val="16"/>
          <w:szCs w:val="16"/>
        </w:rPr>
        <w:t xml:space="preserve"> </w:t>
      </w:r>
      <w:r w:rsidR="00763AE8">
        <w:rPr>
          <w:sz w:val="16"/>
          <w:szCs w:val="16"/>
        </w:rPr>
        <w:t>L</w:t>
      </w:r>
      <w:r w:rsidR="00771C81">
        <w:rPr>
          <w:sz w:val="16"/>
          <w:szCs w:val="16"/>
        </w:rPr>
        <w:t>ázeňský hote</w:t>
      </w:r>
      <w:r w:rsidR="00F85614">
        <w:rPr>
          <w:sz w:val="16"/>
          <w:szCs w:val="16"/>
        </w:rPr>
        <w:t xml:space="preserve">l </w:t>
      </w:r>
      <w:r w:rsidR="00763AE8">
        <w:rPr>
          <w:sz w:val="16"/>
          <w:szCs w:val="16"/>
        </w:rPr>
        <w:t xml:space="preserve">Sadový </w:t>
      </w:r>
      <w:r w:rsidR="00C60B37">
        <w:rPr>
          <w:sz w:val="16"/>
          <w:szCs w:val="16"/>
        </w:rPr>
        <w:t>P</w:t>
      </w:r>
      <w:r w:rsidR="00763AE8">
        <w:rPr>
          <w:sz w:val="16"/>
          <w:szCs w:val="16"/>
        </w:rPr>
        <w:t xml:space="preserve">ramen, Mlýnské nábřeží 7/574, 360 01 </w:t>
      </w:r>
      <w:r w:rsidR="00763AE8">
        <w:rPr>
          <w:bCs/>
          <w:sz w:val="16"/>
          <w:szCs w:val="16"/>
        </w:rPr>
        <w:t>Karlovy Vary</w:t>
      </w:r>
    </w:p>
    <w:p w14:paraId="40D93822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84B4C70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2BC04798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0A876312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06F05CA5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4E1ED4C5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0FD57790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657FB909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0B589BAB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6158A61E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20E9B32E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08B9CD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70DAA1E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24426F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3B972141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FE3808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5C65A3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06F275D4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FEA6BE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0F3B654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4A80F5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6E61FE5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067E34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6C868B6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09FF21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3177BB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1E9EEA2C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518A52E4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429AE02A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4A9679A2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09C5158B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68D8393B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4A186E11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6434FA7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7F538C76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4340800E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1C7D7639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142D3A15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2619F526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4CDE6B26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0BC1816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198EE64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A25D83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38E37677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09448295" w14:textId="77777777" w:rsidR="005F13EA" w:rsidRDefault="005F13EA" w:rsidP="00736B7C">
      <w:pPr>
        <w:jc w:val="both"/>
        <w:rPr>
          <w:sz w:val="16"/>
          <w:szCs w:val="16"/>
        </w:rPr>
      </w:pPr>
    </w:p>
    <w:p w14:paraId="24524F52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04B9B151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62D43090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157F0BD" w14:textId="77777777" w:rsidR="00AA448D" w:rsidRDefault="00AA448D" w:rsidP="004F7219">
      <w:pPr>
        <w:rPr>
          <w:b/>
          <w:sz w:val="16"/>
          <w:szCs w:val="16"/>
        </w:rPr>
      </w:pPr>
    </w:p>
    <w:p w14:paraId="25BB2FC5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19245962" w14:textId="77777777" w:rsidR="000C2259" w:rsidRDefault="00871E76" w:rsidP="00871E76">
      <w:pPr>
        <w:ind w:left="36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</w:t>
      </w:r>
      <w:r w:rsidR="009D5B76">
        <w:rPr>
          <w:b/>
          <w:sz w:val="16"/>
          <w:szCs w:val="16"/>
        </w:rPr>
        <w:t>5. Kontaktní údaje</w:t>
      </w:r>
    </w:p>
    <w:p w14:paraId="2285C827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015C3D34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4AA49220" w14:textId="77777777" w:rsidR="00175418" w:rsidRDefault="00175418" w:rsidP="00175418">
      <w:pPr>
        <w:ind w:firstLine="360"/>
        <w:rPr>
          <w:sz w:val="16"/>
          <w:szCs w:val="16"/>
        </w:rPr>
      </w:pPr>
    </w:p>
    <w:p w14:paraId="2686A77D" w14:textId="77777777" w:rsidR="00763AE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16D4232E" w14:textId="70E345C3" w:rsidR="00763AE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spellStart"/>
      <w:r w:rsidR="00D22032"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D22032">
        <w:rPr>
          <w:sz w:val="16"/>
          <w:szCs w:val="16"/>
        </w:rPr>
        <w:t>xxxx</w:t>
      </w:r>
      <w:proofErr w:type="spellEnd"/>
      <w:r w:rsidR="00D2203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="00A22A63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>tel:</w:t>
      </w:r>
      <w:r w:rsidRPr="001F1339">
        <w:rPr>
          <w:sz w:val="16"/>
          <w:szCs w:val="16"/>
        </w:rPr>
        <w:t xml:space="preserve">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>
        <w:rPr>
          <w:sz w:val="16"/>
          <w:szCs w:val="16"/>
        </w:rPr>
        <w:t>f</w:t>
      </w:r>
      <w:r w:rsidRPr="001F1339">
        <w:rPr>
          <w:sz w:val="16"/>
          <w:szCs w:val="16"/>
        </w:rPr>
        <w:t>unkce</w:t>
      </w:r>
      <w:r>
        <w:rPr>
          <w:sz w:val="16"/>
          <w:szCs w:val="16"/>
        </w:rPr>
        <w:t xml:space="preserve">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</w:p>
    <w:p w14:paraId="63565B19" w14:textId="77777777" w:rsidR="00763AE8" w:rsidRDefault="00763AE8" w:rsidP="00763AE8">
      <w:pPr>
        <w:ind w:left="360"/>
        <w:jc w:val="both"/>
        <w:rPr>
          <w:sz w:val="16"/>
          <w:szCs w:val="16"/>
        </w:rPr>
      </w:pPr>
    </w:p>
    <w:p w14:paraId="02F1C18D" w14:textId="77777777" w:rsidR="00763AE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0F9AEE2E" w14:textId="61248208" w:rsidR="00763AE8" w:rsidRPr="0052434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Jméno a příjmení: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</w:p>
    <w:p w14:paraId="45B017C8" w14:textId="77777777" w:rsidR="00763AE8" w:rsidRPr="00524348" w:rsidRDefault="00763AE8" w:rsidP="00763AE8">
      <w:pPr>
        <w:jc w:val="both"/>
        <w:rPr>
          <w:sz w:val="16"/>
          <w:szCs w:val="16"/>
        </w:rPr>
      </w:pPr>
    </w:p>
    <w:p w14:paraId="0F8D1F90" w14:textId="77777777" w:rsidR="00763AE8" w:rsidRPr="00524348" w:rsidRDefault="00763AE8" w:rsidP="00763AE8">
      <w:pPr>
        <w:jc w:val="both"/>
        <w:rPr>
          <w:sz w:val="16"/>
          <w:szCs w:val="16"/>
        </w:rPr>
      </w:pPr>
    </w:p>
    <w:p w14:paraId="34008ADD" w14:textId="77777777" w:rsidR="00763AE8" w:rsidRPr="0052434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13DC18EE" w14:textId="77777777" w:rsidR="00763AE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DB5115D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266811C0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017DBB0F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</w:p>
    <w:p w14:paraId="4F7DECCA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2CF1E005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</w:p>
    <w:p w14:paraId="562BEE91" w14:textId="77777777" w:rsidR="00763AE8" w:rsidRPr="0052434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6E6C06D7" w14:textId="4B94CBC4" w:rsidR="00763AE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funkce: </w:t>
      </w:r>
      <w:proofErr w:type="spellStart"/>
      <w:r w:rsidR="00186928">
        <w:rPr>
          <w:sz w:val="16"/>
          <w:szCs w:val="16"/>
        </w:rPr>
        <w:t>xxxx</w:t>
      </w:r>
      <w:proofErr w:type="spellEnd"/>
      <w:r w:rsidR="00186928">
        <w:rPr>
          <w:sz w:val="16"/>
          <w:szCs w:val="16"/>
        </w:rPr>
        <w:t xml:space="preserve">     </w:t>
      </w:r>
    </w:p>
    <w:p w14:paraId="414F61F6" w14:textId="77777777" w:rsidR="00763AE8" w:rsidRPr="0052434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1D6DFDF3" w14:textId="77777777" w:rsidR="00D86CF3" w:rsidRDefault="00D86CF3" w:rsidP="00533BBB">
      <w:pPr>
        <w:jc w:val="both"/>
        <w:rPr>
          <w:sz w:val="16"/>
          <w:szCs w:val="16"/>
        </w:rPr>
      </w:pPr>
    </w:p>
    <w:p w14:paraId="1FB4161E" w14:textId="77777777" w:rsidR="00224BE1" w:rsidRDefault="00224BE1" w:rsidP="00533BBB">
      <w:pPr>
        <w:jc w:val="both"/>
        <w:rPr>
          <w:sz w:val="16"/>
          <w:szCs w:val="16"/>
        </w:rPr>
      </w:pPr>
    </w:p>
    <w:p w14:paraId="5AC13146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408C22FF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5B275EEF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1071EFE9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7E0D857F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7C760C1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6D7C39F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7E78A019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74A2CA2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43229B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377FCF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D30909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6B28745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A03BB8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4C3E953E" w14:textId="77777777" w:rsidR="00116D35" w:rsidRPr="00116D35" w:rsidRDefault="00116D35" w:rsidP="00116D35">
      <w:pPr>
        <w:rPr>
          <w:sz w:val="16"/>
          <w:szCs w:val="16"/>
        </w:rPr>
      </w:pPr>
    </w:p>
    <w:p w14:paraId="17F04BE2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789BE734" w14:textId="77777777" w:rsidR="00DB4768" w:rsidRPr="00116D35" w:rsidRDefault="00A22A63" w:rsidP="00A22A63">
      <w:pPr>
        <w:rPr>
          <w:sz w:val="16"/>
          <w:szCs w:val="16"/>
        </w:rPr>
      </w:pPr>
      <w:r>
        <w:rPr>
          <w:sz w:val="16"/>
          <w:szCs w:val="16"/>
        </w:rPr>
        <w:t xml:space="preserve">           - pronájem průtokoměru       2 500,- Kč za kalendářní měsíc</w:t>
      </w:r>
    </w:p>
    <w:p w14:paraId="1001A862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2AA5800F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</w:p>
    <w:p w14:paraId="2A2E8BBA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56B334F6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3403ABC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0BE1555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5E93F45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53A4B">
        <w:rPr>
          <w:b/>
          <w:bCs/>
          <w:sz w:val="16"/>
          <w:szCs w:val="16"/>
        </w:rPr>
        <w:t>od 1. 1. 202</w:t>
      </w:r>
      <w:r w:rsidR="00C96774">
        <w:rPr>
          <w:b/>
          <w:bCs/>
          <w:sz w:val="16"/>
          <w:szCs w:val="16"/>
        </w:rPr>
        <w:t>6</w:t>
      </w:r>
      <w:r w:rsidRPr="00853A4B">
        <w:rPr>
          <w:b/>
          <w:bCs/>
          <w:sz w:val="16"/>
          <w:szCs w:val="16"/>
        </w:rPr>
        <w:t xml:space="preserve"> do 31. 12. 202</w:t>
      </w:r>
      <w:r w:rsidR="00C96774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6D10E87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CB2448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1DFB536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4DBB228E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1F298BC3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17E37A14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A22A63">
        <w:rPr>
          <w:sz w:val="16"/>
          <w:szCs w:val="16"/>
        </w:rPr>
        <w:t>8</w:t>
      </w:r>
      <w:r w:rsidR="00175418">
        <w:rPr>
          <w:sz w:val="16"/>
          <w:szCs w:val="16"/>
        </w:rPr>
        <w:t>. 201</w:t>
      </w:r>
      <w:r w:rsidR="00A22A63">
        <w:rPr>
          <w:sz w:val="16"/>
          <w:szCs w:val="16"/>
        </w:rPr>
        <w:t>8</w:t>
      </w:r>
      <w:r>
        <w:rPr>
          <w:sz w:val="16"/>
          <w:szCs w:val="16"/>
        </w:rPr>
        <w:t>.</w:t>
      </w:r>
    </w:p>
    <w:p w14:paraId="0CCF1AA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03D18F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2F2542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5923E85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67555F3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4E6F18C1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171576E9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A22A63">
        <w:rPr>
          <w:bCs/>
          <w:sz w:val="16"/>
          <w:szCs w:val="16"/>
        </w:rPr>
        <w:t>8</w:t>
      </w:r>
      <w:r w:rsidR="00175418">
        <w:rPr>
          <w:bCs/>
          <w:sz w:val="16"/>
          <w:szCs w:val="16"/>
        </w:rPr>
        <w:t>. 201</w:t>
      </w:r>
      <w:r w:rsidR="00A22A63">
        <w:rPr>
          <w:bCs/>
          <w:sz w:val="16"/>
          <w:szCs w:val="16"/>
        </w:rPr>
        <w:t>8</w:t>
      </w:r>
      <w:r w:rsidR="00175418">
        <w:rPr>
          <w:bCs/>
          <w:sz w:val="16"/>
          <w:szCs w:val="16"/>
        </w:rPr>
        <w:t>.</w:t>
      </w:r>
    </w:p>
    <w:p w14:paraId="2D7F9778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12E2B3BC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1E15DE4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47FE3A37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7F0C2EB0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168068F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5ED04FB9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88F59C0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2E730A05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E54319E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F003F08" w14:textId="77777777" w:rsidR="00D93DBD" w:rsidRPr="00F55FC3" w:rsidRDefault="00DE0BAC" w:rsidP="00F55FC3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577EFE6E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3DF3AAB6" w14:textId="77777777" w:rsidR="00DB4768" w:rsidRDefault="00DB4768" w:rsidP="00DB4768">
      <w:pPr>
        <w:jc w:val="both"/>
        <w:rPr>
          <w:sz w:val="16"/>
          <w:szCs w:val="16"/>
        </w:rPr>
      </w:pPr>
    </w:p>
    <w:p w14:paraId="47E8DF69" w14:textId="77777777" w:rsidR="00DB4768" w:rsidRDefault="00DB4768" w:rsidP="00DB4768">
      <w:pPr>
        <w:jc w:val="both"/>
        <w:rPr>
          <w:sz w:val="16"/>
          <w:szCs w:val="16"/>
        </w:rPr>
      </w:pPr>
    </w:p>
    <w:p w14:paraId="4BCF8A13" w14:textId="77777777" w:rsidR="00DB4768" w:rsidRDefault="00DB4768" w:rsidP="00DB4768">
      <w:pPr>
        <w:jc w:val="both"/>
        <w:rPr>
          <w:sz w:val="16"/>
          <w:szCs w:val="16"/>
        </w:rPr>
      </w:pPr>
    </w:p>
    <w:p w14:paraId="73F0C6F4" w14:textId="77777777" w:rsidR="00DB4768" w:rsidRDefault="00DB4768" w:rsidP="00DB4768">
      <w:pPr>
        <w:jc w:val="both"/>
        <w:rPr>
          <w:sz w:val="16"/>
          <w:szCs w:val="16"/>
        </w:rPr>
      </w:pPr>
    </w:p>
    <w:p w14:paraId="770D667D" w14:textId="77777777" w:rsidR="00DB4768" w:rsidRDefault="00DB4768" w:rsidP="00DB4768">
      <w:pPr>
        <w:jc w:val="both"/>
        <w:rPr>
          <w:sz w:val="16"/>
          <w:szCs w:val="16"/>
        </w:rPr>
      </w:pPr>
    </w:p>
    <w:p w14:paraId="5821C052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21DBEDD2" w14:textId="77777777" w:rsidR="00683E8C" w:rsidRDefault="00683E8C" w:rsidP="00683E8C">
      <w:pPr>
        <w:jc w:val="both"/>
        <w:rPr>
          <w:sz w:val="16"/>
          <w:szCs w:val="16"/>
        </w:rPr>
      </w:pPr>
    </w:p>
    <w:p w14:paraId="0D3F5793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520F646A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338C1152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F815653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3FD97855" w14:textId="77777777" w:rsidR="00153E32" w:rsidRDefault="00153E32" w:rsidP="00AE0C66">
      <w:pPr>
        <w:jc w:val="both"/>
        <w:rPr>
          <w:sz w:val="16"/>
          <w:szCs w:val="16"/>
        </w:rPr>
      </w:pPr>
    </w:p>
    <w:p w14:paraId="14EA27FA" w14:textId="77777777" w:rsidR="00153E32" w:rsidRDefault="00153E32" w:rsidP="00AE0C66">
      <w:pPr>
        <w:jc w:val="both"/>
        <w:rPr>
          <w:sz w:val="16"/>
          <w:szCs w:val="16"/>
        </w:rPr>
      </w:pPr>
    </w:p>
    <w:p w14:paraId="760C6627" w14:textId="77777777" w:rsidR="00153E32" w:rsidRDefault="00153E32" w:rsidP="00AE0C66">
      <w:pPr>
        <w:jc w:val="both"/>
        <w:rPr>
          <w:sz w:val="16"/>
          <w:szCs w:val="16"/>
        </w:rPr>
      </w:pPr>
    </w:p>
    <w:p w14:paraId="54B7D92F" w14:textId="77777777" w:rsidR="00153E32" w:rsidRDefault="00153E32" w:rsidP="00AE0C66">
      <w:pPr>
        <w:jc w:val="both"/>
        <w:rPr>
          <w:sz w:val="16"/>
          <w:szCs w:val="16"/>
        </w:rPr>
      </w:pPr>
    </w:p>
    <w:p w14:paraId="2C13B305" w14:textId="77777777" w:rsidR="00153E32" w:rsidRDefault="00153E32" w:rsidP="00AE0C66">
      <w:pPr>
        <w:jc w:val="both"/>
        <w:rPr>
          <w:sz w:val="16"/>
          <w:szCs w:val="16"/>
        </w:rPr>
      </w:pPr>
    </w:p>
    <w:p w14:paraId="0AC7A395" w14:textId="77777777" w:rsidR="00DB4768" w:rsidRDefault="00DB4768" w:rsidP="00AE0C66">
      <w:pPr>
        <w:jc w:val="both"/>
        <w:rPr>
          <w:sz w:val="16"/>
          <w:szCs w:val="16"/>
        </w:rPr>
      </w:pPr>
    </w:p>
    <w:p w14:paraId="27DB39A9" w14:textId="77777777" w:rsidR="00DB4768" w:rsidRDefault="00DB4768" w:rsidP="00AE0C66">
      <w:pPr>
        <w:jc w:val="both"/>
        <w:rPr>
          <w:sz w:val="16"/>
          <w:szCs w:val="16"/>
        </w:rPr>
      </w:pPr>
    </w:p>
    <w:p w14:paraId="203FDA85" w14:textId="77777777" w:rsidR="00FD724D" w:rsidRDefault="00FD724D" w:rsidP="00AE0C66">
      <w:pPr>
        <w:jc w:val="both"/>
        <w:rPr>
          <w:sz w:val="16"/>
          <w:szCs w:val="16"/>
        </w:rPr>
      </w:pPr>
    </w:p>
    <w:p w14:paraId="4CAED6CA" w14:textId="77777777" w:rsidR="00FD724D" w:rsidRDefault="00FD724D" w:rsidP="00AE0C66">
      <w:pPr>
        <w:jc w:val="both"/>
        <w:rPr>
          <w:sz w:val="16"/>
          <w:szCs w:val="16"/>
        </w:rPr>
      </w:pPr>
    </w:p>
    <w:p w14:paraId="6A72DF3E" w14:textId="77777777" w:rsidR="00683E8C" w:rsidRDefault="00683E8C" w:rsidP="00AE0C66">
      <w:pPr>
        <w:jc w:val="both"/>
        <w:rPr>
          <w:sz w:val="16"/>
          <w:szCs w:val="16"/>
        </w:rPr>
      </w:pPr>
    </w:p>
    <w:p w14:paraId="53EB41E3" w14:textId="77777777" w:rsidR="00683E8C" w:rsidRDefault="00683E8C" w:rsidP="00AE0C66">
      <w:pPr>
        <w:jc w:val="both"/>
        <w:rPr>
          <w:sz w:val="16"/>
          <w:szCs w:val="16"/>
        </w:rPr>
      </w:pPr>
    </w:p>
    <w:p w14:paraId="034B7EAE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02478B31" w14:textId="77777777" w:rsidR="00A84DD3" w:rsidRPr="00A84DD3" w:rsidRDefault="00A84DD3" w:rsidP="00A84DD3">
      <w:pPr>
        <w:rPr>
          <w:sz w:val="16"/>
          <w:szCs w:val="16"/>
        </w:rPr>
      </w:pPr>
    </w:p>
    <w:p w14:paraId="0DB39034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3CAFC43F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A22A63">
        <w:rPr>
          <w:b/>
          <w:sz w:val="16"/>
          <w:szCs w:val="16"/>
        </w:rPr>
        <w:t>VLRZ Praha</w:t>
      </w:r>
    </w:p>
    <w:p w14:paraId="3E08814B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A22A63">
        <w:rPr>
          <w:sz w:val="16"/>
          <w:szCs w:val="16"/>
        </w:rPr>
        <w:t xml:space="preserve">        Vojenská lázeňská léčebna Karlovy Vary</w:t>
      </w:r>
    </w:p>
    <w:p w14:paraId="6754EACB" w14:textId="77777777" w:rsidR="00A84DD3" w:rsidRPr="00175418" w:rsidRDefault="00F55FC3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A22A63">
        <w:rPr>
          <w:sz w:val="16"/>
          <w:szCs w:val="16"/>
        </w:rPr>
        <w:t xml:space="preserve">Ing. Pavel Polák, ředitel </w:t>
      </w:r>
    </w:p>
    <w:p w14:paraId="3FC051B3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3ABF" w14:textId="77777777" w:rsidR="00567EB5" w:rsidRDefault="00567EB5">
      <w:r>
        <w:separator/>
      </w:r>
    </w:p>
  </w:endnote>
  <w:endnote w:type="continuationSeparator" w:id="0">
    <w:p w14:paraId="28819F79" w14:textId="77777777" w:rsidR="00567EB5" w:rsidRDefault="0056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56E3" w14:textId="77777777" w:rsidR="00567EB5" w:rsidRDefault="00567EB5">
      <w:r>
        <w:separator/>
      </w:r>
    </w:p>
  </w:footnote>
  <w:footnote w:type="continuationSeparator" w:id="0">
    <w:p w14:paraId="55ADACF9" w14:textId="77777777" w:rsidR="00567EB5" w:rsidRDefault="0056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F5A0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20D8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3735F53B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3061875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04069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236665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6419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854654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422256">
    <w:abstractNumId w:val="22"/>
    <w:lvlOverride w:ilvl="0"/>
  </w:num>
  <w:num w:numId="7" w16cid:durableId="1696350096">
    <w:abstractNumId w:val="2"/>
    <w:lvlOverride w:ilvl="0"/>
  </w:num>
  <w:num w:numId="8" w16cid:durableId="645009688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422123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21882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430688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350955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667255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2513335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449698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8160814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169323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631838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02610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9495214">
    <w:abstractNumId w:val="34"/>
  </w:num>
  <w:num w:numId="21" w16cid:durableId="11908788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64957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0508752">
    <w:abstractNumId w:val="27"/>
  </w:num>
  <w:num w:numId="24" w16cid:durableId="799149230">
    <w:abstractNumId w:val="1"/>
  </w:num>
  <w:num w:numId="25" w16cid:durableId="597979794">
    <w:abstractNumId w:val="6"/>
  </w:num>
  <w:num w:numId="26" w16cid:durableId="764809721">
    <w:abstractNumId w:val="9"/>
  </w:num>
  <w:num w:numId="27" w16cid:durableId="733965172">
    <w:abstractNumId w:val="21"/>
  </w:num>
  <w:num w:numId="28" w16cid:durableId="300421710">
    <w:abstractNumId w:val="14"/>
  </w:num>
  <w:num w:numId="29" w16cid:durableId="2113014465">
    <w:abstractNumId w:val="19"/>
  </w:num>
  <w:num w:numId="30" w16cid:durableId="834493848">
    <w:abstractNumId w:val="5"/>
  </w:num>
  <w:num w:numId="31" w16cid:durableId="1198083010">
    <w:abstractNumId w:val="11"/>
  </w:num>
  <w:num w:numId="32" w16cid:durableId="106197565">
    <w:abstractNumId w:val="31"/>
  </w:num>
  <w:num w:numId="33" w16cid:durableId="1543208626">
    <w:abstractNumId w:val="13"/>
  </w:num>
  <w:num w:numId="34" w16cid:durableId="1424952260">
    <w:abstractNumId w:val="32"/>
  </w:num>
  <w:num w:numId="35" w16cid:durableId="296761241">
    <w:abstractNumId w:val="30"/>
  </w:num>
  <w:num w:numId="36" w16cid:durableId="66251531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A3E47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33E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3E32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6928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BE1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4C45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B5"/>
    <w:rsid w:val="00567ED5"/>
    <w:rsid w:val="00571052"/>
    <w:rsid w:val="00577164"/>
    <w:rsid w:val="00580A08"/>
    <w:rsid w:val="00583121"/>
    <w:rsid w:val="0058416C"/>
    <w:rsid w:val="005844C0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13B8C"/>
    <w:rsid w:val="00626DD6"/>
    <w:rsid w:val="00631113"/>
    <w:rsid w:val="00632F2E"/>
    <w:rsid w:val="00634A7C"/>
    <w:rsid w:val="0063589E"/>
    <w:rsid w:val="00640234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47812"/>
    <w:rsid w:val="0075240F"/>
    <w:rsid w:val="00754750"/>
    <w:rsid w:val="00755F81"/>
    <w:rsid w:val="00763AE8"/>
    <w:rsid w:val="007711DC"/>
    <w:rsid w:val="00771C81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7F4895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A4B"/>
    <w:rsid w:val="00853B3E"/>
    <w:rsid w:val="00854CD7"/>
    <w:rsid w:val="008550BE"/>
    <w:rsid w:val="0085753B"/>
    <w:rsid w:val="008579A2"/>
    <w:rsid w:val="00860DC6"/>
    <w:rsid w:val="00860EA8"/>
    <w:rsid w:val="008635C9"/>
    <w:rsid w:val="00871E76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2A63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0B37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6774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032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5CCC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B63F9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4D68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5FC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5614"/>
    <w:rsid w:val="00F8663D"/>
    <w:rsid w:val="00F86DE8"/>
    <w:rsid w:val="00F873FF"/>
    <w:rsid w:val="00F90662"/>
    <w:rsid w:val="00F918E8"/>
    <w:rsid w:val="00F94213"/>
    <w:rsid w:val="00F9600B"/>
    <w:rsid w:val="00F96281"/>
    <w:rsid w:val="00F97222"/>
    <w:rsid w:val="00FA54A5"/>
    <w:rsid w:val="00FA73CC"/>
    <w:rsid w:val="00FB288F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366CA0"/>
  <w15:chartTrackingRefBased/>
  <w15:docId w15:val="{FB8F44CE-C8CE-4DF4-A3A5-630F68B2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D0753-42AC-4024-A360-D39DF31C4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1445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Hana Křimská</cp:lastModifiedBy>
  <cp:revision>4</cp:revision>
  <cp:lastPrinted>2023-11-14T09:36:00Z</cp:lastPrinted>
  <dcterms:created xsi:type="dcterms:W3CDTF">2025-12-19T10:11:00Z</dcterms:created>
  <dcterms:modified xsi:type="dcterms:W3CDTF">2025-12-19T10:13:00Z</dcterms:modified>
</cp:coreProperties>
</file>