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77E" w:rsidRDefault="00B0577E" w:rsidP="00B0577E">
      <w:pPr>
        <w:pStyle w:val="Nzev"/>
        <w:shd w:val="pct30" w:color="808080" w:fill="auto"/>
        <w:jc w:val="right"/>
        <w:rPr>
          <w:rFonts w:ascii="Garamond" w:hAnsi="Garamond"/>
          <w:sz w:val="16"/>
        </w:rPr>
      </w:pPr>
    </w:p>
    <w:p w:rsidR="00B0577E" w:rsidRDefault="00B0577E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  <w:sz w:val="40"/>
        </w:rPr>
      </w:pPr>
      <w:r>
        <w:rPr>
          <w:rFonts w:ascii="Bookman Old Style" w:hAnsi="Bookman Old Style"/>
          <w:b w:val="0"/>
          <w:smallCaps/>
          <w:spacing w:val="60"/>
          <w:sz w:val="40"/>
        </w:rPr>
        <w:t xml:space="preserve">smlouva </w:t>
      </w:r>
    </w:p>
    <w:p w:rsidR="00B0577E" w:rsidRDefault="00B0577E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</w:rPr>
      </w:pPr>
      <w:r>
        <w:rPr>
          <w:rFonts w:ascii="Bookman Old Style" w:hAnsi="Bookman Old Style"/>
          <w:b w:val="0"/>
          <w:smallCaps/>
          <w:spacing w:val="60"/>
          <w:sz w:val="36"/>
        </w:rPr>
        <w:t xml:space="preserve">o </w:t>
      </w:r>
      <w:r>
        <w:rPr>
          <w:rFonts w:ascii="Bookman Old Style" w:hAnsi="Bookman Old Style"/>
          <w:b w:val="0"/>
          <w:smallCaps/>
          <w:spacing w:val="60"/>
        </w:rPr>
        <w:t>POSKYTNUTÍ DOTACE</w:t>
      </w:r>
    </w:p>
    <w:p w:rsidR="00773AF6" w:rsidRDefault="00773AF6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</w:rPr>
      </w:pPr>
    </w:p>
    <w:p w:rsidR="00B0577E" w:rsidRDefault="00B0577E" w:rsidP="00B0577E">
      <w:pPr>
        <w:pStyle w:val="Zkladntext"/>
        <w:rPr>
          <w:rFonts w:ascii="Bookman Old Style" w:hAnsi="Bookman Old Style"/>
          <w:sz w:val="32"/>
        </w:rPr>
      </w:pPr>
      <w:r>
        <w:rPr>
          <w:rFonts w:ascii="Times New Roman" w:hAnsi="Times New Roman"/>
          <w:i/>
        </w:rPr>
        <w:t xml:space="preserve"> podle § </w:t>
      </w:r>
      <w:proofErr w:type="gramStart"/>
      <w:r>
        <w:rPr>
          <w:rFonts w:ascii="Times New Roman" w:hAnsi="Times New Roman"/>
          <w:i/>
        </w:rPr>
        <w:t>10a</w:t>
      </w:r>
      <w:proofErr w:type="gramEnd"/>
      <w:r>
        <w:rPr>
          <w:rFonts w:ascii="Times New Roman" w:hAnsi="Times New Roman"/>
          <w:i/>
        </w:rPr>
        <w:t xml:space="preserve"> a násl. zákona č. 250/2000 Sb., o rozpočtových pravidlech územních rozpočtů, v platném znění a podle</w:t>
      </w:r>
      <w:r w:rsidR="00092F09">
        <w:rPr>
          <w:rFonts w:ascii="Times New Roman" w:hAnsi="Times New Roman"/>
          <w:i/>
        </w:rPr>
        <w:t xml:space="preserve"> § 102 odst. 3</w:t>
      </w:r>
      <w:r>
        <w:rPr>
          <w:rFonts w:ascii="Times New Roman" w:hAnsi="Times New Roman"/>
          <w:i/>
        </w:rPr>
        <w:t xml:space="preserve"> zákona č. 128/2000 Sb., o obcích, v platném znění.</w:t>
      </w:r>
    </w:p>
    <w:p w:rsidR="00B0577E" w:rsidRDefault="00B0577E" w:rsidP="00B0577E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</w:p>
    <w:p w:rsidR="00B0577E" w:rsidRDefault="00B0577E" w:rsidP="00B0577E">
      <w:pPr>
        <w:pStyle w:val="Nadpis4"/>
        <w:rPr>
          <w:rFonts w:ascii="Bookman Old Style" w:hAnsi="Bookman Old Style"/>
          <w:sz w:val="24"/>
        </w:rPr>
      </w:pPr>
      <w:r>
        <w:rPr>
          <w:rFonts w:ascii="Bookman Old Style" w:hAnsi="Bookman Old Style"/>
        </w:rPr>
        <w:t>SMLUVNÍ STRANY</w:t>
      </w:r>
    </w:p>
    <w:p w:rsidR="00B0577E" w:rsidRDefault="00B0577E" w:rsidP="00B0577E">
      <w:pPr>
        <w:jc w:val="center"/>
        <w:rPr>
          <w:rFonts w:ascii="Bookman" w:hAnsi="Bookman"/>
          <w:b/>
        </w:rPr>
      </w:pP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</w:rPr>
        <w:t>Poskytovatel:</w:t>
      </w:r>
      <w:r>
        <w:rPr>
          <w:rFonts w:ascii="Garamond" w:hAnsi="Garamond"/>
        </w:rPr>
        <w:tab/>
      </w:r>
      <w:r w:rsidRPr="005D60C3">
        <w:rPr>
          <w:rFonts w:ascii="Garamond" w:hAnsi="Garamond"/>
          <w:b/>
        </w:rPr>
        <w:t>statutární</w:t>
      </w:r>
      <w:r>
        <w:rPr>
          <w:rFonts w:ascii="Garamond" w:hAnsi="Garamond"/>
          <w:b/>
        </w:rPr>
        <w:t xml:space="preserve"> město Plzeň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Adresa: </w:t>
      </w:r>
      <w:r>
        <w:rPr>
          <w:rFonts w:ascii="Garamond" w:hAnsi="Garamond"/>
          <w:b/>
        </w:rPr>
        <w:tab/>
        <w:t>ná</w:t>
      </w:r>
      <w:r w:rsidR="00FB04D5">
        <w:rPr>
          <w:rFonts w:ascii="Garamond" w:hAnsi="Garamond"/>
          <w:b/>
        </w:rPr>
        <w:t>městí Republiky 1, 301 00 Plzeň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IČO: 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075370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DIČ: </w:t>
      </w:r>
      <w:r>
        <w:rPr>
          <w:rFonts w:ascii="Garamond" w:hAnsi="Garamond"/>
        </w:rPr>
        <w:tab/>
      </w:r>
      <w:r w:rsidR="00FB04D5">
        <w:rPr>
          <w:rFonts w:ascii="Garamond" w:hAnsi="Garamond"/>
          <w:b/>
        </w:rPr>
        <w:t>CZ 00075370</w:t>
      </w:r>
    </w:p>
    <w:p w:rsidR="00B0577E" w:rsidRDefault="00B0577E" w:rsidP="00B0577E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Bankovní spojení: 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Komerční ban</w:t>
      </w:r>
      <w:r w:rsidR="00FB04D5">
        <w:rPr>
          <w:rFonts w:ascii="Garamond" w:hAnsi="Garamond"/>
          <w:b/>
        </w:rPr>
        <w:t xml:space="preserve">ka a.s., pobočka </w:t>
      </w:r>
      <w:proofErr w:type="gramStart"/>
      <w:r w:rsidR="00FB04D5">
        <w:rPr>
          <w:rFonts w:ascii="Garamond" w:hAnsi="Garamond"/>
          <w:b/>
        </w:rPr>
        <w:t>Plzeň - město</w:t>
      </w:r>
      <w:proofErr w:type="gramEnd"/>
      <w:r w:rsidR="00FB04D5">
        <w:rPr>
          <w:rFonts w:ascii="Garamond" w:hAnsi="Garamond"/>
          <w:b/>
        </w:rPr>
        <w:t>,</w:t>
      </w:r>
    </w:p>
    <w:p w:rsidR="00B0577E" w:rsidRDefault="00B0577E" w:rsidP="00B0577E">
      <w:pPr>
        <w:ind w:left="2835" w:right="283" w:hanging="3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č.</w:t>
      </w:r>
      <w:r w:rsidR="0073533F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ú. 1120311/0100</w:t>
      </w:r>
    </w:p>
    <w:p w:rsidR="00B0577E" w:rsidRDefault="00B0577E" w:rsidP="00B0577E">
      <w:pPr>
        <w:ind w:right="283"/>
        <w:jc w:val="both"/>
        <w:rPr>
          <w:rFonts w:ascii="Garamond" w:hAnsi="Garamond"/>
          <w:b/>
        </w:rPr>
      </w:pPr>
    </w:p>
    <w:p w:rsidR="00B0577E" w:rsidRDefault="00B0577E" w:rsidP="00B0577E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Zastoupený: </w:t>
      </w:r>
      <w:r>
        <w:rPr>
          <w:rFonts w:ascii="Garamond" w:hAnsi="Garamond"/>
        </w:rPr>
        <w:tab/>
      </w:r>
      <w:r w:rsidR="003C3727">
        <w:rPr>
          <w:rFonts w:ascii="Garamond" w:hAnsi="Garamond"/>
          <w:b/>
        </w:rPr>
        <w:t>Bc. Alešem Tolarem</w:t>
      </w:r>
    </w:p>
    <w:p w:rsidR="00B0577E" w:rsidRDefault="00FC46FE" w:rsidP="00B0577E">
      <w:pPr>
        <w:pStyle w:val="Zkladntext"/>
        <w:tabs>
          <w:tab w:val="left" w:pos="2865"/>
        </w:tabs>
        <w:rPr>
          <w:b/>
        </w:rPr>
      </w:pPr>
      <w:r>
        <w:rPr>
          <w:b/>
        </w:rPr>
        <w:tab/>
      </w:r>
      <w:r w:rsidR="00B0577E">
        <w:rPr>
          <w:b/>
        </w:rPr>
        <w:t>náměstkem primátora</w:t>
      </w:r>
    </w:p>
    <w:p w:rsidR="00B0577E" w:rsidRDefault="00FB04D5" w:rsidP="00B0577E">
      <w:pPr>
        <w:pStyle w:val="Zkladntext"/>
        <w:tabs>
          <w:tab w:val="left" w:pos="2865"/>
        </w:tabs>
        <w:rPr>
          <w:b/>
          <w:bCs/>
        </w:rPr>
      </w:pPr>
      <w:r>
        <w:rPr>
          <w:b/>
        </w:rPr>
        <w:tab/>
      </w:r>
      <w:r w:rsidR="00B0577E">
        <w:rPr>
          <w:b/>
        </w:rPr>
        <w:t xml:space="preserve">na základě </w:t>
      </w:r>
      <w:r w:rsidR="00EA6715">
        <w:rPr>
          <w:b/>
        </w:rPr>
        <w:t xml:space="preserve">plné moci </w:t>
      </w:r>
      <w:r w:rsidR="002A7D88">
        <w:rPr>
          <w:b/>
        </w:rPr>
        <w:t xml:space="preserve">ze </w:t>
      </w:r>
      <w:r w:rsidR="00EA6715">
        <w:rPr>
          <w:b/>
        </w:rPr>
        <w:t xml:space="preserve">dne 20. </w:t>
      </w:r>
      <w:r w:rsidR="001755CA">
        <w:rPr>
          <w:b/>
        </w:rPr>
        <w:t>října</w:t>
      </w:r>
      <w:r w:rsidR="00EA6715">
        <w:rPr>
          <w:b/>
        </w:rPr>
        <w:t xml:space="preserve"> 20</w:t>
      </w:r>
      <w:r w:rsidR="001755CA">
        <w:rPr>
          <w:b/>
        </w:rPr>
        <w:t>22</w:t>
      </w:r>
    </w:p>
    <w:p w:rsidR="00B0577E" w:rsidRDefault="00B0577E" w:rsidP="00B0577E">
      <w:pPr>
        <w:pStyle w:val="Zkladntext"/>
        <w:rPr>
          <w:b/>
        </w:rPr>
      </w:pPr>
    </w:p>
    <w:p w:rsidR="0020416B" w:rsidRDefault="0020416B" w:rsidP="00B0577E">
      <w:pPr>
        <w:pStyle w:val="Zkladntext"/>
        <w:rPr>
          <w:b/>
        </w:rPr>
      </w:pPr>
    </w:p>
    <w:p w:rsidR="00B0577E" w:rsidRDefault="00B0577E" w:rsidP="00B0577E">
      <w:pPr>
        <w:pStyle w:val="Zkladntext"/>
        <w:jc w:val="center"/>
      </w:pPr>
      <w:r>
        <w:t>a</w:t>
      </w:r>
    </w:p>
    <w:p w:rsidR="00B0577E" w:rsidRDefault="00B0577E" w:rsidP="00B0577E">
      <w:pPr>
        <w:pStyle w:val="Zkladntext"/>
      </w:pPr>
    </w:p>
    <w:p w:rsidR="0020416B" w:rsidRDefault="0020416B" w:rsidP="00B0577E">
      <w:pPr>
        <w:pStyle w:val="Zkladntext"/>
      </w:pPr>
    </w:p>
    <w:p w:rsidR="0020416B" w:rsidRDefault="0020416B" w:rsidP="00B0577E">
      <w:pPr>
        <w:pStyle w:val="Zkladntext"/>
      </w:pPr>
    </w:p>
    <w:p w:rsidR="00B0577E" w:rsidRDefault="00B0577E" w:rsidP="00B0577E">
      <w:pPr>
        <w:pStyle w:val="Zkladntext"/>
      </w:pPr>
    </w:p>
    <w:p w:rsidR="00C35A2B" w:rsidRPr="00C16A44" w:rsidRDefault="00B0577E" w:rsidP="00C35A2B">
      <w:pPr>
        <w:ind w:left="2835" w:right="-258" w:hanging="2835"/>
        <w:rPr>
          <w:b/>
        </w:rPr>
      </w:pPr>
      <w:r>
        <w:rPr>
          <w:rFonts w:ascii="Garamond" w:hAnsi="Garamond"/>
        </w:rPr>
        <w:t>Příjemce:</w:t>
      </w:r>
      <w:r>
        <w:rPr>
          <w:rFonts w:ascii="Garamond" w:hAnsi="Garamond"/>
        </w:rPr>
        <w:tab/>
      </w:r>
      <w:r w:rsidR="00C16A44" w:rsidRPr="00C16A44">
        <w:rPr>
          <w:rFonts w:ascii="Garamond" w:hAnsi="Garamond"/>
          <w:b/>
        </w:rPr>
        <w:t xml:space="preserve">Myslivecký spolek </w:t>
      </w:r>
      <w:r w:rsidR="002D6AC0">
        <w:rPr>
          <w:rFonts w:ascii="Garamond" w:hAnsi="Garamond"/>
          <w:b/>
        </w:rPr>
        <w:t>Litice</w:t>
      </w:r>
      <w:r w:rsidR="00C16A44" w:rsidRPr="00C16A44">
        <w:rPr>
          <w:rFonts w:ascii="Garamond" w:hAnsi="Garamond"/>
          <w:b/>
        </w:rPr>
        <w:t>, z.s.</w:t>
      </w:r>
    </w:p>
    <w:p w:rsidR="00C35A2B" w:rsidRPr="004D2B30" w:rsidRDefault="00C35A2B" w:rsidP="00C35A2B">
      <w:pPr>
        <w:pStyle w:val="Nadpis3"/>
        <w:rPr>
          <w:b/>
        </w:rPr>
      </w:pPr>
      <w:r>
        <w:t>Právní forma:</w:t>
      </w:r>
      <w:r>
        <w:tab/>
      </w:r>
      <w:r w:rsidR="0015009F" w:rsidRPr="004D2B30">
        <w:rPr>
          <w:b/>
        </w:rPr>
        <w:t>spolek</w:t>
      </w:r>
    </w:p>
    <w:p w:rsidR="00C35A2B" w:rsidRPr="002D6AC0" w:rsidRDefault="00C35A2B" w:rsidP="00C35A2B">
      <w:pPr>
        <w:ind w:left="2835" w:right="283" w:hanging="2835"/>
        <w:jc w:val="both"/>
        <w:rPr>
          <w:rFonts w:ascii="Garamond" w:hAnsi="Garamond"/>
          <w:b/>
          <w:color w:val="FF00FF"/>
        </w:rPr>
      </w:pPr>
      <w:r>
        <w:rPr>
          <w:rFonts w:ascii="Garamond" w:hAnsi="Garamond"/>
        </w:rPr>
        <w:t>Sídlo:</w:t>
      </w:r>
      <w:r>
        <w:rPr>
          <w:rFonts w:ascii="Garamond" w:hAnsi="Garamond"/>
        </w:rPr>
        <w:tab/>
      </w:r>
      <w:r w:rsidR="002D6AC0" w:rsidRPr="002D6AC0">
        <w:rPr>
          <w:rFonts w:ascii="Garamond" w:hAnsi="Garamond"/>
          <w:b/>
        </w:rPr>
        <w:t>Přehradní 566/13, 321</w:t>
      </w:r>
      <w:r w:rsidR="005419DC">
        <w:rPr>
          <w:rFonts w:ascii="Garamond" w:hAnsi="Garamond"/>
          <w:b/>
        </w:rPr>
        <w:t xml:space="preserve"> </w:t>
      </w:r>
      <w:r w:rsidR="002D6AC0" w:rsidRPr="002D6AC0">
        <w:rPr>
          <w:rFonts w:ascii="Garamond" w:hAnsi="Garamond"/>
          <w:b/>
        </w:rPr>
        <w:t>00 Plzeň</w:t>
      </w:r>
    </w:p>
    <w:p w:rsidR="00C35A2B" w:rsidRPr="00410896" w:rsidRDefault="00C35A2B" w:rsidP="00C35A2B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IČO:</w:t>
      </w:r>
      <w:r>
        <w:rPr>
          <w:rFonts w:ascii="Garamond" w:hAnsi="Garamond"/>
        </w:rPr>
        <w:tab/>
      </w:r>
      <w:r w:rsidR="002D6AC0" w:rsidRPr="002D6AC0">
        <w:rPr>
          <w:rFonts w:ascii="Garamond" w:hAnsi="Garamond"/>
          <w:b/>
        </w:rPr>
        <w:t>22874704</w:t>
      </w:r>
    </w:p>
    <w:p w:rsidR="000B557F" w:rsidRDefault="00C35A2B" w:rsidP="004761DB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bankovní spojení:</w:t>
      </w:r>
      <w:r w:rsidRPr="00CE753D">
        <w:rPr>
          <w:rFonts w:ascii="Garamond" w:hAnsi="Garamond"/>
          <w:b/>
        </w:rPr>
        <w:tab/>
      </w:r>
      <w:r w:rsidR="004761DB" w:rsidRPr="004761DB">
        <w:rPr>
          <w:rFonts w:ascii="Garamond" w:hAnsi="Garamond"/>
          <w:b/>
        </w:rPr>
        <w:t>Československá obchodní banka, a. s.</w:t>
      </w:r>
      <w:r w:rsidR="000B557F">
        <w:rPr>
          <w:rFonts w:ascii="Garamond" w:hAnsi="Garamond"/>
          <w:b/>
        </w:rPr>
        <w:t>,</w:t>
      </w:r>
      <w:r w:rsidR="004761DB" w:rsidRPr="004761DB">
        <w:rPr>
          <w:rFonts w:ascii="Garamond" w:hAnsi="Garamond"/>
          <w:b/>
        </w:rPr>
        <w:t xml:space="preserve"> </w:t>
      </w:r>
    </w:p>
    <w:p w:rsidR="00C35A2B" w:rsidRDefault="004761DB" w:rsidP="000B557F">
      <w:pPr>
        <w:ind w:left="2835" w:right="283" w:hanging="3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č. ú. </w:t>
      </w:r>
      <w:r w:rsidR="002D6AC0" w:rsidRPr="002D6AC0">
        <w:rPr>
          <w:rFonts w:ascii="Garamond" w:hAnsi="Garamond"/>
          <w:b/>
        </w:rPr>
        <w:t>348434774/0300</w:t>
      </w:r>
    </w:p>
    <w:p w:rsidR="005419DC" w:rsidRDefault="005419DC" w:rsidP="00C35A2B">
      <w:pPr>
        <w:tabs>
          <w:tab w:val="left" w:pos="9781"/>
        </w:tabs>
        <w:ind w:left="2835" w:right="-567" w:hanging="2835"/>
        <w:jc w:val="both"/>
        <w:rPr>
          <w:rFonts w:ascii="Garamond" w:hAnsi="Garamond"/>
        </w:rPr>
      </w:pPr>
    </w:p>
    <w:p w:rsidR="00C35A2B" w:rsidRPr="00444C80" w:rsidRDefault="00C35A2B" w:rsidP="00C35A2B">
      <w:pPr>
        <w:tabs>
          <w:tab w:val="left" w:pos="9781"/>
        </w:tabs>
        <w:ind w:left="2835" w:right="-567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Zastoupený:</w:t>
      </w:r>
      <w:r>
        <w:rPr>
          <w:rFonts w:ascii="Garamond" w:hAnsi="Garamond"/>
        </w:rPr>
        <w:tab/>
      </w:r>
      <w:r w:rsidR="002D6AC0">
        <w:rPr>
          <w:rFonts w:ascii="Garamond" w:hAnsi="Garamond"/>
          <w:b/>
        </w:rPr>
        <w:t xml:space="preserve">Vladimírem </w:t>
      </w:r>
      <w:proofErr w:type="spellStart"/>
      <w:r w:rsidR="002D6AC0">
        <w:rPr>
          <w:rFonts w:ascii="Garamond" w:hAnsi="Garamond"/>
          <w:b/>
        </w:rPr>
        <w:t>Jurčem</w:t>
      </w:r>
      <w:proofErr w:type="spellEnd"/>
      <w:r w:rsidR="00FE434B">
        <w:rPr>
          <w:rFonts w:ascii="Garamond" w:hAnsi="Garamond"/>
          <w:b/>
        </w:rPr>
        <w:t>, předsedou spolku</w:t>
      </w:r>
    </w:p>
    <w:p w:rsidR="00B0577E" w:rsidRDefault="00B0577E" w:rsidP="00C35A2B">
      <w:pPr>
        <w:ind w:right="-258"/>
        <w:rPr>
          <w:rFonts w:ascii="Garamond" w:hAnsi="Garamond"/>
          <w:b/>
        </w:rPr>
      </w:pPr>
    </w:p>
    <w:p w:rsidR="00773AF6" w:rsidRDefault="00773AF6" w:rsidP="00B0577E">
      <w:pPr>
        <w:tabs>
          <w:tab w:val="left" w:pos="9781"/>
        </w:tabs>
        <w:ind w:left="2835" w:right="-567" w:hanging="2835"/>
        <w:jc w:val="both"/>
        <w:rPr>
          <w:rFonts w:ascii="Garamond" w:hAnsi="Garamond"/>
          <w:b/>
        </w:rPr>
      </w:pPr>
    </w:p>
    <w:p w:rsidR="00B0577E" w:rsidRDefault="00B0577E" w:rsidP="00B0577E">
      <w:pPr>
        <w:tabs>
          <w:tab w:val="left" w:pos="9781"/>
        </w:tabs>
        <w:ind w:left="2835" w:right="-567" w:hanging="2835"/>
        <w:jc w:val="both"/>
      </w:pPr>
    </w:p>
    <w:p w:rsidR="00B0577E" w:rsidRDefault="00FB04D5" w:rsidP="00B0577E">
      <w:pPr>
        <w:pStyle w:val="Zkladntext"/>
        <w:ind w:right="-1"/>
      </w:pPr>
      <w:r>
        <w:t xml:space="preserve">uzavírají na základě </w:t>
      </w:r>
      <w:r>
        <w:rPr>
          <w:b/>
        </w:rPr>
        <w:t xml:space="preserve">usnesení </w:t>
      </w:r>
      <w:r w:rsidR="009D7B25">
        <w:rPr>
          <w:b/>
        </w:rPr>
        <w:t>Rady města Plzně</w:t>
      </w:r>
      <w:r w:rsidR="00B0577E">
        <w:rPr>
          <w:b/>
        </w:rPr>
        <w:t xml:space="preserve"> č</w:t>
      </w:r>
      <w:r w:rsidR="005C2E33">
        <w:rPr>
          <w:b/>
        </w:rPr>
        <w:t>.</w:t>
      </w:r>
      <w:r w:rsidR="001245F0">
        <w:rPr>
          <w:b/>
        </w:rPr>
        <w:t xml:space="preserve"> 1 </w:t>
      </w:r>
      <w:r w:rsidR="00B4719F">
        <w:rPr>
          <w:b/>
        </w:rPr>
        <w:t>014</w:t>
      </w:r>
      <w:r w:rsidR="00B0577E">
        <w:rPr>
          <w:b/>
        </w:rPr>
        <w:t xml:space="preserve"> ze dne </w:t>
      </w:r>
      <w:r w:rsidR="009D7B25">
        <w:rPr>
          <w:b/>
        </w:rPr>
        <w:t>2</w:t>
      </w:r>
      <w:r w:rsidR="00B4719F">
        <w:rPr>
          <w:b/>
        </w:rPr>
        <w:t>7</w:t>
      </w:r>
      <w:r w:rsidR="009D7B25">
        <w:rPr>
          <w:b/>
        </w:rPr>
        <w:t>. listopadu</w:t>
      </w:r>
      <w:r w:rsidR="00EA149A">
        <w:rPr>
          <w:b/>
        </w:rPr>
        <w:t xml:space="preserve"> </w:t>
      </w:r>
      <w:r w:rsidR="004174B6">
        <w:rPr>
          <w:b/>
        </w:rPr>
        <w:t>20</w:t>
      </w:r>
      <w:r w:rsidR="00805F63">
        <w:rPr>
          <w:b/>
        </w:rPr>
        <w:t>2</w:t>
      </w:r>
      <w:r w:rsidR="00B4719F">
        <w:rPr>
          <w:b/>
        </w:rPr>
        <w:t>5</w:t>
      </w:r>
      <w:r>
        <w:t xml:space="preserve"> smlouvu </w:t>
      </w:r>
      <w:r w:rsidR="00FB3A77">
        <w:br/>
      </w:r>
      <w:r w:rsidR="00B0577E">
        <w:t>o dotaci z rozpočtu města Plzně (</w:t>
      </w:r>
      <w:r w:rsidR="00B0577E">
        <w:rPr>
          <w:i/>
        </w:rPr>
        <w:t>dále jen „dotace“</w:t>
      </w:r>
      <w:r w:rsidR="00B0577E">
        <w:t>).</w:t>
      </w:r>
    </w:p>
    <w:p w:rsidR="00B0577E" w:rsidRDefault="00B0577E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7353A1" w:rsidRDefault="007353A1">
      <w:pPr>
        <w:pStyle w:val="Zkladntext"/>
      </w:pPr>
    </w:p>
    <w:p w:rsidR="00570B65" w:rsidRDefault="00570B65">
      <w:pPr>
        <w:pStyle w:val="Zkladntext"/>
      </w:pPr>
    </w:p>
    <w:p w:rsidR="00570B65" w:rsidRDefault="00570B65">
      <w:pPr>
        <w:pStyle w:val="Zkladntext"/>
      </w:pPr>
    </w:p>
    <w:p w:rsidR="00773AF6" w:rsidRDefault="00773AF6">
      <w:pPr>
        <w:pStyle w:val="Zkladntext"/>
      </w:pPr>
    </w:p>
    <w:p w:rsidR="00570B65" w:rsidRDefault="00570B65" w:rsidP="00570B65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II.</w:t>
      </w:r>
    </w:p>
    <w:p w:rsidR="00570B65" w:rsidRDefault="00570B65" w:rsidP="00570B65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ZÁKLADNÍ USTANOVENÍ</w:t>
      </w:r>
    </w:p>
    <w:p w:rsidR="00570B65" w:rsidRDefault="00570B65" w:rsidP="00570B65"/>
    <w:p w:rsidR="00504E19" w:rsidRPr="00EA2ECC" w:rsidRDefault="00504E19" w:rsidP="00504E19">
      <w:pPr>
        <w:pStyle w:val="Zkladntext21"/>
        <w:numPr>
          <w:ilvl w:val="0"/>
          <w:numId w:val="16"/>
        </w:numPr>
        <w:rPr>
          <w:rFonts w:ascii="Garamond" w:hAnsi="Garamond"/>
          <w:color w:val="auto"/>
          <w:szCs w:val="24"/>
        </w:rPr>
      </w:pPr>
      <w:r w:rsidRPr="00EA2ECC">
        <w:rPr>
          <w:rFonts w:ascii="Garamond" w:hAnsi="Garamond"/>
          <w:color w:val="auto"/>
          <w:szCs w:val="24"/>
        </w:rPr>
        <w:t xml:space="preserve">Příjemce zajistí, že čerpání poskytnuté dotace bude probíhat v souladu se Závaznými pokyny </w:t>
      </w:r>
      <w:r w:rsidR="00C11CF8">
        <w:rPr>
          <w:rFonts w:ascii="Garamond" w:hAnsi="Garamond"/>
          <w:color w:val="auto"/>
          <w:szCs w:val="24"/>
        </w:rPr>
        <w:br/>
      </w:r>
      <w:r w:rsidRPr="00EA2ECC">
        <w:rPr>
          <w:rFonts w:ascii="Garamond" w:hAnsi="Garamond"/>
          <w:color w:val="auto"/>
          <w:szCs w:val="24"/>
        </w:rPr>
        <w:t xml:space="preserve">a podmínkami pro žadatele o dotace z rozpočtu statutárního města </w:t>
      </w:r>
      <w:proofErr w:type="gramStart"/>
      <w:r w:rsidRPr="00EA2ECC">
        <w:rPr>
          <w:rFonts w:ascii="Garamond" w:hAnsi="Garamond"/>
          <w:color w:val="auto"/>
          <w:szCs w:val="24"/>
        </w:rPr>
        <w:t>Plzně - Příloha</w:t>
      </w:r>
      <w:proofErr w:type="gramEnd"/>
      <w:r w:rsidRPr="00EA2ECC">
        <w:rPr>
          <w:rFonts w:ascii="Garamond" w:hAnsi="Garamond"/>
          <w:color w:val="auto"/>
          <w:szCs w:val="24"/>
        </w:rPr>
        <w:t xml:space="preserve"> č. 2 vnitřní řídící dokumentace Magistrátu města Plzně QS 61-27 Zásady poskytování dotací z rozpočtu statutárního města Plzně, platnými ke dni podpisu smlouvy ze strany příjemce (dále jen „Závazné pokyny“</w:t>
      </w:r>
      <w:r w:rsidR="0028522B">
        <w:rPr>
          <w:rFonts w:ascii="Garamond" w:hAnsi="Garamond"/>
          <w:color w:val="auto"/>
          <w:szCs w:val="24"/>
        </w:rPr>
        <w:t xml:space="preserve"> nebo „Zásady“</w:t>
      </w:r>
      <w:r w:rsidRPr="00EA2ECC">
        <w:rPr>
          <w:rFonts w:ascii="Garamond" w:hAnsi="Garamond"/>
          <w:color w:val="auto"/>
          <w:szCs w:val="24"/>
        </w:rPr>
        <w:t xml:space="preserve">). </w:t>
      </w:r>
    </w:p>
    <w:p w:rsidR="00570B65" w:rsidRPr="00C90DED" w:rsidRDefault="00504E19" w:rsidP="004D6CF6">
      <w:pPr>
        <w:pStyle w:val="Zkladntext21"/>
        <w:numPr>
          <w:ilvl w:val="0"/>
          <w:numId w:val="16"/>
        </w:numPr>
        <w:spacing w:before="240"/>
        <w:rPr>
          <w:rFonts w:ascii="Garamond" w:hAnsi="Garamond"/>
          <w:color w:val="auto"/>
          <w:szCs w:val="24"/>
        </w:rPr>
      </w:pPr>
      <w:r w:rsidRPr="00EA2ECC">
        <w:rPr>
          <w:rFonts w:ascii="Garamond" w:hAnsi="Garamond"/>
          <w:color w:val="auto"/>
          <w:szCs w:val="24"/>
        </w:rPr>
        <w:t>Příjemce podpisem této smlouvy potvrzuje, že se seznámil se zněním Závazných pokynů (</w:t>
      </w:r>
      <w:hyperlink r:id="rId8" w:history="1">
        <w:r w:rsidR="00C90DED" w:rsidRPr="000350B7">
          <w:rPr>
            <w:rStyle w:val="Hypertextovodkaz"/>
            <w:rFonts w:ascii="Garamond" w:hAnsi="Garamond"/>
            <w:szCs w:val="24"/>
          </w:rPr>
          <w:t>https://s3.eu-central-1.amazonaws.com/tf-prod-plzen/data/folders/7n2ajv0f9q/88j96vd3s3/g8c8yztlo7/240702_zavazne_pokyny_podminky_pro_zadatele_o_dotace.pdf</w:t>
        </w:r>
      </w:hyperlink>
      <w:r w:rsidR="00C90DED">
        <w:rPr>
          <w:rFonts w:ascii="Garamond" w:hAnsi="Garamond"/>
          <w:color w:val="auto"/>
          <w:szCs w:val="24"/>
        </w:rPr>
        <w:t xml:space="preserve"> </w:t>
      </w:r>
      <w:r w:rsidRPr="00C90DED">
        <w:rPr>
          <w:rFonts w:ascii="Garamond" w:hAnsi="Garamond"/>
          <w:color w:val="auto"/>
          <w:szCs w:val="24"/>
        </w:rPr>
        <w:t>a zavazuje se podmínkami v nich uvedenými řídit.</w:t>
      </w:r>
    </w:p>
    <w:p w:rsidR="008451A9" w:rsidRDefault="008451A9" w:rsidP="008451A9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III.</w:t>
      </w:r>
    </w:p>
    <w:p w:rsidR="008451A9" w:rsidRDefault="00D24777" w:rsidP="008451A9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PŘEDMĚT SMLOUVY</w:t>
      </w:r>
    </w:p>
    <w:p w:rsidR="008451A9" w:rsidRDefault="008451A9" w:rsidP="00570B65"/>
    <w:p w:rsidR="00092F09" w:rsidRDefault="008451A9" w:rsidP="009C2C85">
      <w:pPr>
        <w:pStyle w:val="Zkladntext"/>
        <w:numPr>
          <w:ilvl w:val="0"/>
          <w:numId w:val="14"/>
        </w:numPr>
        <w:ind w:left="284" w:hanging="284"/>
      </w:pPr>
      <w:r>
        <w:t>Poskytovatel</w:t>
      </w:r>
      <w:r w:rsidR="00570B65">
        <w:t xml:space="preserve"> poskytne</w:t>
      </w:r>
      <w:r>
        <w:t xml:space="preserve"> příjemci dotaci v celkové výši </w:t>
      </w:r>
      <w:r w:rsidR="00C90DED">
        <w:rPr>
          <w:b/>
        </w:rPr>
        <w:t>81</w:t>
      </w:r>
      <w:r w:rsidR="000761DD">
        <w:rPr>
          <w:b/>
        </w:rPr>
        <w:t xml:space="preserve"> 000</w:t>
      </w:r>
      <w:r w:rsidR="00570B65">
        <w:rPr>
          <w:b/>
        </w:rPr>
        <w:t xml:space="preserve"> </w:t>
      </w:r>
      <w:r w:rsidR="00570B65" w:rsidRPr="005E7602">
        <w:rPr>
          <w:b/>
        </w:rPr>
        <w:t>Kč</w:t>
      </w:r>
      <w:r w:rsidR="006543F7">
        <w:t xml:space="preserve"> </w:t>
      </w:r>
      <w:r w:rsidR="00570B65">
        <w:rPr>
          <w:sz w:val="22"/>
        </w:rPr>
        <w:t>(</w:t>
      </w:r>
      <w:r w:rsidR="00570B65" w:rsidRPr="00E45249">
        <w:rPr>
          <w:i/>
        </w:rPr>
        <w:t>slovy</w:t>
      </w:r>
      <w:r w:rsidR="0017133B" w:rsidRPr="00E45249">
        <w:rPr>
          <w:i/>
        </w:rPr>
        <w:t xml:space="preserve">: </w:t>
      </w:r>
      <w:r w:rsidR="00C90DED">
        <w:rPr>
          <w:i/>
        </w:rPr>
        <w:t xml:space="preserve">osmdesát jedna </w:t>
      </w:r>
      <w:r w:rsidR="0017133B" w:rsidRPr="00E45249">
        <w:rPr>
          <w:i/>
        </w:rPr>
        <w:t>tisíc korun českých</w:t>
      </w:r>
      <w:r>
        <w:t xml:space="preserve">), </w:t>
      </w:r>
      <w:r w:rsidR="00076E82">
        <w:t xml:space="preserve">na základě žádosti schválené usnesením RMP </w:t>
      </w:r>
      <w:r w:rsidR="00076E82" w:rsidRPr="001245F0">
        <w:t>č.</w:t>
      </w:r>
      <w:r w:rsidR="001245F0" w:rsidRPr="001245F0">
        <w:t xml:space="preserve"> 1 </w:t>
      </w:r>
      <w:r w:rsidR="00C90DED">
        <w:t>014</w:t>
      </w:r>
      <w:r w:rsidR="00076E82">
        <w:t xml:space="preserve"> ze dne 2</w:t>
      </w:r>
      <w:r w:rsidR="00C90DED">
        <w:t>7</w:t>
      </w:r>
      <w:r w:rsidR="00076E82">
        <w:t>. 11. 202</w:t>
      </w:r>
      <w:r w:rsidR="00C90DED">
        <w:t>5</w:t>
      </w:r>
      <w:r w:rsidR="00076E82">
        <w:t xml:space="preserve"> a </w:t>
      </w:r>
      <w:r w:rsidR="00C50C7E">
        <w:t xml:space="preserve">podané v rámci </w:t>
      </w:r>
      <w:r w:rsidR="00C570E6">
        <w:t>Jednoletého dotačního programu v oblasti životního prostředí pro rok 202</w:t>
      </w:r>
      <w:r w:rsidR="00CB3ED2">
        <w:t>5</w:t>
      </w:r>
      <w:r w:rsidR="00C570E6">
        <w:t xml:space="preserve"> – Zástřelné za prase divoké na honebních pozemcích na území města Plzně </w:t>
      </w:r>
      <w:r w:rsidR="004737CD">
        <w:t xml:space="preserve">schváleného usnesením RMP č. </w:t>
      </w:r>
      <w:r w:rsidR="00CB3ED2">
        <w:t>126</w:t>
      </w:r>
      <w:r w:rsidR="004737CD">
        <w:t xml:space="preserve"> ze dne </w:t>
      </w:r>
      <w:r w:rsidR="00CB3ED2">
        <w:t>20</w:t>
      </w:r>
      <w:r w:rsidR="00077010">
        <w:t xml:space="preserve">. </w:t>
      </w:r>
      <w:r w:rsidR="00CB3ED2">
        <w:t>2</w:t>
      </w:r>
      <w:r w:rsidR="00077010">
        <w:t>. 202</w:t>
      </w:r>
      <w:r w:rsidR="00CB3ED2">
        <w:t>5</w:t>
      </w:r>
      <w:r w:rsidR="00077010">
        <w:t xml:space="preserve"> </w:t>
      </w:r>
      <w:r w:rsidR="00C570E6">
        <w:t xml:space="preserve">(dále také jen „Program“), </w:t>
      </w:r>
      <w:r>
        <w:t>kterou příjemce za podmínek stanovených touto sml</w:t>
      </w:r>
      <w:r w:rsidR="002C0FDA">
        <w:t>ouvou a uvedených v Zásadách při</w:t>
      </w:r>
      <w:r>
        <w:t>jímá.</w:t>
      </w:r>
      <w:r w:rsidR="00570B65">
        <w:t xml:space="preserve"> </w:t>
      </w:r>
    </w:p>
    <w:p w:rsidR="00B0577E" w:rsidRDefault="00D24777" w:rsidP="00B0577E">
      <w:pPr>
        <w:pStyle w:val="Nadpis1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</w:t>
      </w:r>
      <w:r w:rsidR="00B0577E">
        <w:rPr>
          <w:rFonts w:ascii="Times New Roman" w:hAnsi="Times New Roman"/>
        </w:rPr>
        <w:t>.</w:t>
      </w:r>
    </w:p>
    <w:p w:rsidR="00B0577E" w:rsidRPr="00EE3005" w:rsidRDefault="00452A50" w:rsidP="00B0577E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PODMÍNKY ČERPÁNÍ DOTACE</w:t>
      </w:r>
    </w:p>
    <w:p w:rsidR="00452A50" w:rsidRPr="00253428" w:rsidRDefault="00452A50" w:rsidP="00452A50">
      <w:pPr>
        <w:pStyle w:val="Seznam"/>
        <w:ind w:left="0" w:right="-1" w:firstLine="0"/>
        <w:jc w:val="both"/>
        <w:rPr>
          <w:rFonts w:ascii="Garamond" w:hAnsi="Garamond"/>
          <w:sz w:val="24"/>
        </w:rPr>
      </w:pPr>
    </w:p>
    <w:p w:rsidR="00867B20" w:rsidRDefault="00452A50" w:rsidP="00B44DE8">
      <w:pPr>
        <w:pStyle w:val="Zkladntext"/>
        <w:numPr>
          <w:ilvl w:val="0"/>
          <w:numId w:val="5"/>
        </w:numPr>
        <w:ind w:left="284" w:hanging="284"/>
      </w:pPr>
      <w:r w:rsidRPr="00253428">
        <w:t>Příjemce se zavazuje řídit se při použití poskytnuté dotace touto smlouvou, podmínkami uvedenými v</w:t>
      </w:r>
      <w:r w:rsidR="00BD7690">
        <w:t xml:space="preserve"> </w:t>
      </w:r>
      <w:r w:rsidRPr="00253428">
        <w:t>Zásadách</w:t>
      </w:r>
      <w:r w:rsidR="00144D88">
        <w:t>, podmínkami Programu</w:t>
      </w:r>
      <w:r w:rsidR="00B44DE8">
        <w:t xml:space="preserve"> a</w:t>
      </w:r>
      <w:r w:rsidRPr="00253428">
        <w:t xml:space="preserve"> příslušnými právními předpisy</w:t>
      </w:r>
      <w:r w:rsidR="00867B20">
        <w:t>.</w:t>
      </w:r>
    </w:p>
    <w:p w:rsidR="00353F7E" w:rsidRDefault="00092F09" w:rsidP="004D6CF6">
      <w:pPr>
        <w:pStyle w:val="Zkladntext"/>
        <w:numPr>
          <w:ilvl w:val="0"/>
          <w:numId w:val="5"/>
        </w:numPr>
        <w:spacing w:before="240"/>
        <w:ind w:left="284" w:hanging="284"/>
      </w:pPr>
      <w:r>
        <w:t xml:space="preserve">Podmínkou poskytnutí dotace </w:t>
      </w:r>
      <w:r w:rsidR="007D737F">
        <w:t xml:space="preserve">je </w:t>
      </w:r>
      <w:r w:rsidR="00C570E6">
        <w:t>splnění podmínek</w:t>
      </w:r>
      <w:r w:rsidR="00EF79D6">
        <w:t xml:space="preserve"> Programu. </w:t>
      </w:r>
    </w:p>
    <w:p w:rsidR="00353F7E" w:rsidRPr="00A56495" w:rsidRDefault="00353F7E" w:rsidP="004D6CF6">
      <w:pPr>
        <w:pStyle w:val="Zkladntext"/>
        <w:numPr>
          <w:ilvl w:val="0"/>
          <w:numId w:val="5"/>
        </w:numPr>
        <w:spacing w:before="240"/>
        <w:ind w:left="284" w:hanging="284"/>
      </w:pPr>
      <w:r>
        <w:t>Nesplnění podmínek, uve</w:t>
      </w:r>
      <w:r w:rsidR="00773AF6">
        <w:t xml:space="preserve">dených v tomto článku v odst. 1 </w:t>
      </w:r>
      <w:r w:rsidR="00736516">
        <w:t xml:space="preserve">a 2 </w:t>
      </w:r>
      <w:r>
        <w:t>se považuje za porušení povinnosti ve smyslu ustanovení § 22 odst. 5 zákona č. 250/2000 Sb.</w:t>
      </w:r>
      <w:r w:rsidR="00EF79D6">
        <w:t>,</w:t>
      </w:r>
      <w:r>
        <w:t xml:space="preserve"> o rozpočtových pravidlech územních rozpočtů. Odvod za toto porušení rozpočtové kázně se stanoví ve výši, v jaké byla rozpočtová kázeň porušena, a to za každý jednotlivý případ.</w:t>
      </w:r>
    </w:p>
    <w:p w:rsidR="00D24777" w:rsidRDefault="00497F0A" w:rsidP="004D6CF6">
      <w:pPr>
        <w:pStyle w:val="Seznam"/>
        <w:numPr>
          <w:ilvl w:val="0"/>
          <w:numId w:val="5"/>
        </w:numPr>
        <w:spacing w:before="240" w:after="120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/>
          <w:sz w:val="24"/>
        </w:rPr>
        <w:t xml:space="preserve">Příjemce bere na vědomí, že </w:t>
      </w:r>
      <w:r>
        <w:rPr>
          <w:rFonts w:ascii="Garamond" w:hAnsi="Garamond"/>
          <w:snapToGrid w:val="0"/>
          <w:sz w:val="24"/>
        </w:rPr>
        <w:t xml:space="preserve">dotaci lze použít pouze na akce a činnosti politicky neutrální </w:t>
      </w:r>
      <w:r w:rsidR="00DB6139">
        <w:rPr>
          <w:rFonts w:ascii="Garamond" w:hAnsi="Garamond"/>
          <w:snapToGrid w:val="0"/>
          <w:sz w:val="24"/>
        </w:rPr>
        <w:br/>
      </w:r>
      <w:r>
        <w:rPr>
          <w:rFonts w:ascii="Garamond" w:hAnsi="Garamond"/>
          <w:snapToGrid w:val="0"/>
          <w:sz w:val="24"/>
        </w:rPr>
        <w:t xml:space="preserve">a pouze ve prospěch občanů města Plzně; </w:t>
      </w:r>
      <w:r>
        <w:rPr>
          <w:rFonts w:ascii="Garamond" w:hAnsi="Garamond"/>
          <w:sz w:val="24"/>
        </w:rPr>
        <w:t xml:space="preserve">zneužití dotace může být stíháno jako trestný čin </w:t>
      </w:r>
      <w:r w:rsidRPr="00E55EAE">
        <w:rPr>
          <w:rFonts w:ascii="Garamond" w:hAnsi="Garamond"/>
          <w:sz w:val="24"/>
        </w:rPr>
        <w:t>dotačního podvodu dle § 212 zákona č. 40/2009 Sb., trestní zákoník, v platném znění.</w:t>
      </w:r>
      <w:r w:rsidR="00736516">
        <w:rPr>
          <w:rFonts w:ascii="Garamond" w:hAnsi="Garamond" w:cs="Arial"/>
        </w:rPr>
        <w:t xml:space="preserve"> </w:t>
      </w:r>
    </w:p>
    <w:p w:rsidR="00D24777" w:rsidRDefault="00D24777" w:rsidP="00D24777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</w:p>
    <w:p w:rsidR="00D24777" w:rsidRDefault="00D24777" w:rsidP="00D24777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PLATEBNÍ PODMÍNKY</w:t>
      </w:r>
      <w:r w:rsidRPr="00CE1B9B">
        <w:rPr>
          <w:rFonts w:ascii="Bookman Old Style" w:hAnsi="Bookman Old Style"/>
        </w:rPr>
        <w:t xml:space="preserve"> </w:t>
      </w:r>
    </w:p>
    <w:p w:rsidR="00D24777" w:rsidRPr="00D24777" w:rsidRDefault="00D24777" w:rsidP="00D24777"/>
    <w:p w:rsidR="00C56A27" w:rsidRPr="00841A4D" w:rsidRDefault="00D24777" w:rsidP="00841A4D">
      <w:pPr>
        <w:pStyle w:val="Seznam"/>
        <w:ind w:left="0" w:firstLine="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Strany se dohodly, že poskytovatel poskytne dotaci příjemci jednorázově na účet uvedený v čl. I</w:t>
      </w:r>
      <w:r w:rsidR="000B3AF5">
        <w:rPr>
          <w:rFonts w:ascii="Garamond" w:hAnsi="Garamond"/>
          <w:sz w:val="24"/>
        </w:rPr>
        <w:t xml:space="preserve">. </w:t>
      </w:r>
      <w:r>
        <w:rPr>
          <w:rFonts w:ascii="Garamond" w:hAnsi="Garamond"/>
          <w:sz w:val="24"/>
        </w:rPr>
        <w:t xml:space="preserve">této smlouvy ve výši </w:t>
      </w:r>
      <w:r w:rsidR="004D6CF6">
        <w:rPr>
          <w:rFonts w:ascii="Garamond" w:hAnsi="Garamond"/>
          <w:b/>
          <w:sz w:val="24"/>
        </w:rPr>
        <w:t>81</w:t>
      </w:r>
      <w:r w:rsidR="00B91C2B" w:rsidRPr="00B91C2B">
        <w:rPr>
          <w:rFonts w:ascii="Garamond" w:hAnsi="Garamond"/>
          <w:b/>
          <w:sz w:val="24"/>
        </w:rPr>
        <w:t xml:space="preserve"> 000</w:t>
      </w:r>
      <w:r w:rsidR="00736516">
        <w:rPr>
          <w:rFonts w:ascii="Garamond" w:hAnsi="Garamond"/>
          <w:sz w:val="24"/>
        </w:rPr>
        <w:t xml:space="preserve"> </w:t>
      </w:r>
      <w:r w:rsidRPr="00D24777">
        <w:rPr>
          <w:rFonts w:ascii="Garamond" w:hAnsi="Garamond"/>
          <w:b/>
          <w:sz w:val="24"/>
        </w:rPr>
        <w:t>Kč</w:t>
      </w:r>
      <w:r>
        <w:rPr>
          <w:rFonts w:ascii="Garamond" w:hAnsi="Garamond"/>
          <w:sz w:val="24"/>
        </w:rPr>
        <w:t xml:space="preserve"> (</w:t>
      </w:r>
      <w:r w:rsidR="009C2C85" w:rsidRPr="0017133B">
        <w:rPr>
          <w:rFonts w:ascii="Garamond" w:hAnsi="Garamond"/>
          <w:i/>
          <w:sz w:val="24"/>
        </w:rPr>
        <w:t>slovy:</w:t>
      </w:r>
      <w:r w:rsidR="000761DD" w:rsidRPr="0017133B">
        <w:rPr>
          <w:rFonts w:ascii="Garamond" w:hAnsi="Garamond"/>
          <w:i/>
          <w:sz w:val="24"/>
        </w:rPr>
        <w:t xml:space="preserve"> </w:t>
      </w:r>
      <w:r w:rsidR="004D6CF6">
        <w:rPr>
          <w:rFonts w:ascii="Garamond" w:hAnsi="Garamond"/>
          <w:i/>
          <w:sz w:val="24"/>
        </w:rPr>
        <w:t xml:space="preserve">osmdesát jedna </w:t>
      </w:r>
      <w:r w:rsidR="000761DD" w:rsidRPr="0017133B">
        <w:rPr>
          <w:rFonts w:ascii="Garamond" w:hAnsi="Garamond"/>
          <w:i/>
          <w:sz w:val="24"/>
        </w:rPr>
        <w:t xml:space="preserve">tisíc </w:t>
      </w:r>
      <w:r w:rsidR="00E46B0D" w:rsidRPr="0017133B">
        <w:rPr>
          <w:rFonts w:ascii="Garamond" w:hAnsi="Garamond"/>
          <w:i/>
          <w:sz w:val="24"/>
          <w:szCs w:val="24"/>
        </w:rPr>
        <w:t>korun českých</w:t>
      </w:r>
      <w:r>
        <w:rPr>
          <w:rFonts w:ascii="Garamond" w:hAnsi="Garamond"/>
          <w:sz w:val="24"/>
        </w:rPr>
        <w:t>) do 15 dnů od účinnosti této smlouvy.</w:t>
      </w:r>
      <w:r w:rsidR="00077010">
        <w:rPr>
          <w:rFonts w:ascii="Garamond" w:hAnsi="Garamond"/>
          <w:sz w:val="24"/>
        </w:rPr>
        <w:t xml:space="preserve"> Podmínky poskytnutí dotace byly splněny v souladu se zněním Programu před poskytnutím dotace na účet příjemce.</w:t>
      </w:r>
    </w:p>
    <w:p w:rsidR="00B0577E" w:rsidRDefault="00B0577E" w:rsidP="00B0577E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D24777">
        <w:rPr>
          <w:rFonts w:ascii="Times New Roman" w:hAnsi="Times New Roman"/>
        </w:rPr>
        <w:t>I</w:t>
      </w:r>
      <w:r>
        <w:rPr>
          <w:rFonts w:ascii="Times New Roman" w:hAnsi="Times New Roman"/>
        </w:rPr>
        <w:t>.</w:t>
      </w:r>
    </w:p>
    <w:p w:rsidR="00B0577E" w:rsidRPr="00CE1B9B" w:rsidRDefault="00B0577E" w:rsidP="00B0577E">
      <w:pPr>
        <w:pStyle w:val="Nadpis4"/>
        <w:rPr>
          <w:rFonts w:ascii="Bookman Old Style" w:hAnsi="Bookman Old Style"/>
        </w:rPr>
      </w:pPr>
      <w:r w:rsidRPr="00CE1B9B">
        <w:rPr>
          <w:rFonts w:ascii="Bookman Old Style" w:hAnsi="Bookman Old Style"/>
        </w:rPr>
        <w:t xml:space="preserve">VRÁCENÍ DOTACE </w:t>
      </w:r>
    </w:p>
    <w:p w:rsidR="00B0577E" w:rsidRPr="00E55EAE" w:rsidRDefault="00B0577E" w:rsidP="00B0577E"/>
    <w:p w:rsidR="0011100C" w:rsidRPr="00001581" w:rsidRDefault="0011100C" w:rsidP="00245166">
      <w:pPr>
        <w:pStyle w:val="Seznam"/>
        <w:numPr>
          <w:ilvl w:val="0"/>
          <w:numId w:val="1"/>
        </w:numPr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>Vedle důvodů uvedených v Zásadách je příjemce povinen dotaci nebo její část vrátit i v těchto případech:</w:t>
      </w:r>
    </w:p>
    <w:p w:rsidR="0011100C" w:rsidRPr="00922BC1" w:rsidRDefault="00400F64" w:rsidP="007144F4">
      <w:pPr>
        <w:pStyle w:val="Seznam"/>
        <w:numPr>
          <w:ilvl w:val="0"/>
          <w:numId w:val="10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</w:t>
      </w:r>
      <w:r w:rsidR="00D5084F">
        <w:rPr>
          <w:rFonts w:ascii="Garamond" w:hAnsi="Garamond"/>
          <w:sz w:val="24"/>
        </w:rPr>
        <w:t>okud bude dodatečně zjištěno, že příjemce uvedl nepravdivé informace v žádosti o poskytnutí dotace podané v rámci Programu</w:t>
      </w:r>
      <w:r w:rsidR="007144F4">
        <w:rPr>
          <w:rFonts w:ascii="Garamond" w:hAnsi="Garamond"/>
          <w:sz w:val="24"/>
        </w:rPr>
        <w:t>.</w:t>
      </w:r>
    </w:p>
    <w:p w:rsidR="0011100C" w:rsidRDefault="00400F64" w:rsidP="00245166">
      <w:pPr>
        <w:pStyle w:val="Seznam"/>
        <w:numPr>
          <w:ilvl w:val="0"/>
          <w:numId w:val="10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</w:t>
      </w:r>
      <w:r w:rsidR="0011100C" w:rsidRPr="00001581">
        <w:rPr>
          <w:rFonts w:ascii="Garamond" w:hAnsi="Garamond"/>
          <w:sz w:val="24"/>
        </w:rPr>
        <w:t xml:space="preserve">oskytovatel odstoupil od smlouvy na základě čl. VII. odst. </w:t>
      </w:r>
      <w:r w:rsidR="00683FCC">
        <w:rPr>
          <w:rFonts w:ascii="Garamond" w:hAnsi="Garamond"/>
          <w:sz w:val="24"/>
        </w:rPr>
        <w:t>4</w:t>
      </w:r>
      <w:r w:rsidR="0011100C" w:rsidRPr="00001581">
        <w:rPr>
          <w:rFonts w:ascii="Garamond" w:hAnsi="Garamond"/>
          <w:sz w:val="24"/>
        </w:rPr>
        <w:t xml:space="preserve"> této smlouvy</w:t>
      </w:r>
      <w:r w:rsidR="00146BCD">
        <w:rPr>
          <w:rFonts w:ascii="Garamond" w:hAnsi="Garamond"/>
          <w:sz w:val="24"/>
        </w:rPr>
        <w:t>.</w:t>
      </w:r>
    </w:p>
    <w:p w:rsidR="0011100C" w:rsidRPr="00001581" w:rsidRDefault="0011100C" w:rsidP="009C2C85">
      <w:pPr>
        <w:pStyle w:val="Seznam"/>
        <w:ind w:left="709" w:firstLine="0"/>
        <w:jc w:val="both"/>
        <w:rPr>
          <w:rFonts w:ascii="Garamond" w:hAnsi="Garamond"/>
          <w:sz w:val="24"/>
        </w:rPr>
      </w:pPr>
      <w:r w:rsidRPr="008915AA">
        <w:rPr>
          <w:rFonts w:ascii="Garamond" w:hAnsi="Garamond"/>
          <w:sz w:val="24"/>
        </w:rPr>
        <w:t xml:space="preserve">Příjemce je povinen do 30 dnů od doručení usnesení Zastupitelstva města Plzně </w:t>
      </w:r>
      <w:r w:rsidR="00FB3A77">
        <w:rPr>
          <w:rFonts w:ascii="Garamond" w:hAnsi="Garamond"/>
          <w:sz w:val="24"/>
        </w:rPr>
        <w:br/>
      </w:r>
      <w:r w:rsidRPr="008915AA">
        <w:rPr>
          <w:rFonts w:ascii="Garamond" w:hAnsi="Garamond"/>
          <w:sz w:val="24"/>
        </w:rPr>
        <w:t>o odstoupení vrátit zpět na bankovní účet poskytovatele již poskytnuté finanční plnění z této smlouvy.</w:t>
      </w:r>
    </w:p>
    <w:p w:rsidR="0011100C" w:rsidRPr="00001581" w:rsidRDefault="00400F64" w:rsidP="00245166">
      <w:pPr>
        <w:pStyle w:val="Seznam"/>
        <w:numPr>
          <w:ilvl w:val="0"/>
          <w:numId w:val="10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</w:t>
      </w:r>
      <w:r w:rsidR="0011100C" w:rsidRPr="00001581">
        <w:rPr>
          <w:rFonts w:ascii="Garamond" w:hAnsi="Garamond"/>
          <w:sz w:val="24"/>
        </w:rPr>
        <w:t xml:space="preserve">a základě rozhodnutí Evropské komise dle čl. VII. odst. </w:t>
      </w:r>
      <w:r w:rsidR="00146BCD">
        <w:rPr>
          <w:rFonts w:ascii="Garamond" w:hAnsi="Garamond"/>
          <w:sz w:val="24"/>
        </w:rPr>
        <w:t>6</w:t>
      </w:r>
      <w:r w:rsidR="0011100C" w:rsidRPr="00001581">
        <w:rPr>
          <w:rFonts w:ascii="Garamond" w:hAnsi="Garamond"/>
          <w:sz w:val="24"/>
        </w:rPr>
        <w:t xml:space="preserve"> této smlouvy.</w:t>
      </w:r>
    </w:p>
    <w:p w:rsidR="0011100C" w:rsidRPr="00001581" w:rsidRDefault="0011100C" w:rsidP="0011100C">
      <w:pPr>
        <w:pStyle w:val="Seznam"/>
        <w:jc w:val="both"/>
        <w:rPr>
          <w:rFonts w:ascii="Garamond" w:hAnsi="Garamond"/>
          <w:sz w:val="24"/>
        </w:rPr>
      </w:pPr>
    </w:p>
    <w:p w:rsidR="0011100C" w:rsidRPr="00001581" w:rsidRDefault="0011100C" w:rsidP="00322DE9">
      <w:pPr>
        <w:pStyle w:val="Seznam"/>
        <w:ind w:firstLine="426"/>
        <w:jc w:val="both"/>
        <w:rPr>
          <w:rFonts w:ascii="Garamond" w:hAnsi="Garamond"/>
          <w:b/>
          <w:sz w:val="24"/>
          <w:u w:val="single"/>
        </w:rPr>
      </w:pPr>
      <w:r w:rsidRPr="00001581">
        <w:rPr>
          <w:rFonts w:ascii="Garamond" w:hAnsi="Garamond"/>
          <w:b/>
          <w:sz w:val="24"/>
          <w:u w:val="single"/>
        </w:rPr>
        <w:t>Číslo účtu poskytovatele pro vrácení dotace nebo její části:</w:t>
      </w:r>
    </w:p>
    <w:p w:rsidR="0011100C" w:rsidRPr="00322DE9" w:rsidRDefault="00FE7BD1" w:rsidP="00245166">
      <w:pPr>
        <w:pStyle w:val="Seznam"/>
        <w:numPr>
          <w:ilvl w:val="0"/>
          <w:numId w:val="13"/>
        </w:numPr>
        <w:jc w:val="both"/>
        <w:rPr>
          <w:rFonts w:ascii="Garamond" w:hAnsi="Garamond"/>
          <w:b/>
          <w:sz w:val="24"/>
        </w:rPr>
      </w:pPr>
      <w:r w:rsidRPr="00322DE9">
        <w:rPr>
          <w:rFonts w:ascii="Garamond" w:hAnsi="Garamond"/>
          <w:sz w:val="24"/>
        </w:rPr>
        <w:t>V průběhu roku, na který</w:t>
      </w:r>
      <w:r w:rsidR="0011100C" w:rsidRPr="00322DE9">
        <w:rPr>
          <w:rFonts w:ascii="Garamond" w:hAnsi="Garamond"/>
          <w:sz w:val="24"/>
        </w:rPr>
        <w:t xml:space="preserve"> </w:t>
      </w:r>
      <w:r w:rsidRPr="00322DE9">
        <w:rPr>
          <w:rFonts w:ascii="Garamond" w:hAnsi="Garamond"/>
          <w:sz w:val="24"/>
        </w:rPr>
        <w:t>byla dotace určena, se nevyčerpané finanční prostředky vrací na bankovní účet</w:t>
      </w:r>
      <w:r w:rsidR="00322DE9" w:rsidRPr="00322DE9">
        <w:rPr>
          <w:rFonts w:ascii="Garamond" w:hAnsi="Garamond"/>
          <w:sz w:val="24"/>
        </w:rPr>
        <w:t>:</w:t>
      </w:r>
      <w:r w:rsidR="0011100C" w:rsidRPr="00FE7BD1">
        <w:rPr>
          <w:rFonts w:ascii="Garamond" w:hAnsi="Garamond"/>
          <w:b/>
          <w:sz w:val="24"/>
        </w:rPr>
        <w:t xml:space="preserve"> </w:t>
      </w:r>
      <w:r w:rsidR="00322DE9">
        <w:rPr>
          <w:rFonts w:ascii="Garamond" w:hAnsi="Garamond"/>
          <w:b/>
          <w:sz w:val="24"/>
        </w:rPr>
        <w:t>1120311/0100</w:t>
      </w:r>
      <w:r w:rsidR="00322DE9">
        <w:rPr>
          <w:rFonts w:ascii="Garamond" w:hAnsi="Garamond"/>
          <w:sz w:val="24"/>
        </w:rPr>
        <w:t>, jako variabilní symbol uvést IČ organizace.</w:t>
      </w:r>
    </w:p>
    <w:p w:rsidR="0011100C" w:rsidRPr="00322DE9" w:rsidRDefault="00322DE9" w:rsidP="00245166">
      <w:pPr>
        <w:pStyle w:val="Seznam"/>
        <w:numPr>
          <w:ilvl w:val="0"/>
          <w:numId w:val="13"/>
        </w:numPr>
        <w:jc w:val="both"/>
        <w:rPr>
          <w:rFonts w:ascii="Garamond" w:hAnsi="Garamond"/>
          <w:b/>
          <w:sz w:val="24"/>
        </w:rPr>
      </w:pPr>
      <w:r w:rsidRPr="00322DE9">
        <w:rPr>
          <w:rFonts w:ascii="Garamond" w:hAnsi="Garamond"/>
          <w:sz w:val="24"/>
        </w:rPr>
        <w:t>Po skončení roku, na který byla dotace určena, se nevyčerpané finanční prostředky vrací na bankovní účet</w:t>
      </w:r>
      <w:r w:rsidR="0011100C" w:rsidRPr="00322DE9">
        <w:rPr>
          <w:rFonts w:ascii="Garamond" w:hAnsi="Garamond"/>
          <w:sz w:val="24"/>
        </w:rPr>
        <w:t>:</w:t>
      </w:r>
      <w:r w:rsidR="0011100C" w:rsidRPr="00322DE9">
        <w:rPr>
          <w:rFonts w:ascii="Garamond" w:hAnsi="Garamond"/>
          <w:b/>
          <w:sz w:val="24"/>
        </w:rPr>
        <w:t xml:space="preserve"> 19-1120311/0100</w:t>
      </w:r>
      <w:r>
        <w:rPr>
          <w:rFonts w:ascii="Garamond" w:hAnsi="Garamond"/>
          <w:sz w:val="24"/>
        </w:rPr>
        <w:t>, pro vygenerování variabilního symbolu je příjemce povinen kontaktovat Odbor životního prostředí Magistrátu města Plzně.</w:t>
      </w:r>
    </w:p>
    <w:p w:rsidR="0011100C" w:rsidRPr="00001581" w:rsidRDefault="0011100C" w:rsidP="0011100C">
      <w:pPr>
        <w:pStyle w:val="Seznam"/>
        <w:ind w:left="360" w:firstLine="0"/>
        <w:jc w:val="both"/>
        <w:rPr>
          <w:rFonts w:ascii="Garamond" w:hAnsi="Garamond"/>
          <w:sz w:val="24"/>
        </w:rPr>
      </w:pPr>
    </w:p>
    <w:p w:rsidR="0011100C" w:rsidRPr="00001581" w:rsidRDefault="0011100C" w:rsidP="00245166">
      <w:pPr>
        <w:pStyle w:val="Seznam"/>
        <w:numPr>
          <w:ilvl w:val="0"/>
          <w:numId w:val="1"/>
        </w:numPr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>Nesplnění podmínek podle odst. 1 tohoto článku je považováno za zadržení finančních prostředků ve smyslu ustanovení § 22 odst. 3 zákona č. 250/2000 Sb. Odvod za toto porušení rozpočtové kázně se stanoví ve výši zadržených finančních prostředků.</w:t>
      </w:r>
    </w:p>
    <w:p w:rsidR="0011100C" w:rsidRPr="00001581" w:rsidRDefault="0011100C" w:rsidP="0011100C">
      <w:pPr>
        <w:pStyle w:val="Seznam"/>
        <w:ind w:left="360" w:firstLine="0"/>
        <w:jc w:val="both"/>
        <w:rPr>
          <w:rFonts w:ascii="Garamond" w:hAnsi="Garamond"/>
          <w:sz w:val="24"/>
        </w:rPr>
      </w:pPr>
    </w:p>
    <w:p w:rsidR="0011100C" w:rsidRPr="0043768D" w:rsidRDefault="0011100C" w:rsidP="00245166">
      <w:pPr>
        <w:pStyle w:val="Seznam"/>
        <w:numPr>
          <w:ilvl w:val="0"/>
          <w:numId w:val="1"/>
        </w:numPr>
        <w:jc w:val="both"/>
        <w:rPr>
          <w:rFonts w:ascii="Garamond" w:hAnsi="Garamond"/>
          <w:b/>
          <w:sz w:val="24"/>
        </w:rPr>
      </w:pPr>
      <w:r w:rsidRPr="0043768D">
        <w:rPr>
          <w:rFonts w:ascii="Garamond" w:hAnsi="Garamond"/>
          <w:b/>
          <w:sz w:val="24"/>
        </w:rPr>
        <w:t>Příjemce je před vrácením dotace nebo její části povinen kontaktovat Odbor životního prostředí MMP, který příjemci sdělí variabilní symbol pro platbu.</w:t>
      </w:r>
    </w:p>
    <w:p w:rsidR="0011100C" w:rsidRPr="00001581" w:rsidRDefault="0011100C" w:rsidP="004D6CF6">
      <w:pPr>
        <w:pStyle w:val="Seznam"/>
        <w:ind w:left="0" w:firstLine="0"/>
        <w:jc w:val="both"/>
        <w:rPr>
          <w:rFonts w:ascii="Garamond" w:hAnsi="Garamond"/>
          <w:b/>
          <w:sz w:val="24"/>
        </w:rPr>
      </w:pPr>
    </w:p>
    <w:p w:rsidR="00B0577E" w:rsidRPr="009C2C85" w:rsidRDefault="0011100C" w:rsidP="009C2C85">
      <w:pPr>
        <w:pStyle w:val="Seznam"/>
        <w:numPr>
          <w:ilvl w:val="0"/>
          <w:numId w:val="1"/>
        </w:numPr>
        <w:jc w:val="both"/>
        <w:rPr>
          <w:rFonts w:ascii="Garamond" w:hAnsi="Garamond"/>
          <w:b/>
          <w:sz w:val="24"/>
        </w:rPr>
      </w:pPr>
      <w:r w:rsidRPr="00001581">
        <w:rPr>
          <w:rFonts w:ascii="Garamond" w:hAnsi="Garamond"/>
          <w:sz w:val="24"/>
        </w:rPr>
        <w:t>Rozhodným okamžikem vrácení finančních prostředků dotace zpět na účet poskytovatele je den jejich připsání na účet poskytovatele.</w:t>
      </w:r>
    </w:p>
    <w:p w:rsidR="00B0577E" w:rsidRPr="00CE1B9B" w:rsidRDefault="00B0577E" w:rsidP="00B0577E">
      <w:pPr>
        <w:pStyle w:val="Nadpis1"/>
        <w:jc w:val="center"/>
        <w:rPr>
          <w:rFonts w:ascii="Times New Roman" w:hAnsi="Times New Roman"/>
        </w:rPr>
      </w:pPr>
      <w:r w:rsidRPr="00CE1B9B">
        <w:rPr>
          <w:rFonts w:ascii="Times New Roman" w:hAnsi="Times New Roman"/>
        </w:rPr>
        <w:t>VI</w:t>
      </w:r>
      <w:r w:rsidR="00D24777">
        <w:rPr>
          <w:rFonts w:ascii="Times New Roman" w:hAnsi="Times New Roman"/>
        </w:rPr>
        <w:t>I</w:t>
      </w:r>
      <w:r w:rsidRPr="00CE1B9B">
        <w:rPr>
          <w:rFonts w:ascii="Times New Roman" w:hAnsi="Times New Roman"/>
        </w:rPr>
        <w:t>.</w:t>
      </w:r>
    </w:p>
    <w:p w:rsidR="00B0577E" w:rsidRDefault="00D50782" w:rsidP="00B0577E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DALŠÍ UJEDNÁNÍ</w:t>
      </w:r>
    </w:p>
    <w:p w:rsidR="00862783" w:rsidRDefault="00862783" w:rsidP="00D50782">
      <w:pPr>
        <w:pStyle w:val="Zkladntext"/>
        <w:tabs>
          <w:tab w:val="center" w:pos="2268"/>
          <w:tab w:val="center" w:pos="6804"/>
        </w:tabs>
      </w:pPr>
    </w:p>
    <w:p w:rsidR="00D50782" w:rsidRDefault="00D50782" w:rsidP="00245166">
      <w:pPr>
        <w:pStyle w:val="Seznam"/>
        <w:numPr>
          <w:ilvl w:val="0"/>
          <w:numId w:val="2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Příjemce prohlašuje, že:</w:t>
      </w:r>
    </w:p>
    <w:p w:rsidR="00D50782" w:rsidRDefault="00D50782" w:rsidP="00245166">
      <w:pPr>
        <w:pStyle w:val="Seznam"/>
        <w:numPr>
          <w:ilvl w:val="0"/>
          <w:numId w:val="6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Nemá vůči poskytovateli, jeho organizačním složkám a jeho příspěvkovým organizacím žádné nesplacené závazky po lhůtě splatnosti,</w:t>
      </w:r>
    </w:p>
    <w:p w:rsidR="00D50782" w:rsidRDefault="00D50782" w:rsidP="00245166">
      <w:pPr>
        <w:pStyle w:val="Seznam"/>
        <w:numPr>
          <w:ilvl w:val="0"/>
          <w:numId w:val="6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Není s poskytovatelem nebo jeho příspěvkovými organizacemi v soudním sporu, vyjma soudních sporů za zrušení správních rozhodnutí, vydaných v přenesené působnosti,</w:t>
      </w:r>
    </w:p>
    <w:p w:rsidR="00D50782" w:rsidRDefault="00D50782" w:rsidP="00245166">
      <w:pPr>
        <w:pStyle w:val="Seznam"/>
        <w:numPr>
          <w:ilvl w:val="0"/>
          <w:numId w:val="6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Není předmětem řízení na vyhlášení konkurzu, likvidace, správy ze strany soudů, uspořádání s věřiteli nebo podobného postupu upraveného v celostátní legislativě nebo směrnicích.</w:t>
      </w:r>
    </w:p>
    <w:p w:rsidR="00D50782" w:rsidRPr="00D50782" w:rsidRDefault="00D50782" w:rsidP="00D50782">
      <w:pPr>
        <w:pStyle w:val="Seznam"/>
        <w:jc w:val="both"/>
        <w:rPr>
          <w:rFonts w:ascii="Garamond" w:hAnsi="Garamond"/>
          <w:sz w:val="24"/>
        </w:rPr>
      </w:pPr>
    </w:p>
    <w:p w:rsidR="0089702B" w:rsidRPr="0089702B" w:rsidRDefault="007A544F" w:rsidP="0089702B">
      <w:pPr>
        <w:pStyle w:val="Seznam"/>
        <w:numPr>
          <w:ilvl w:val="0"/>
          <w:numId w:val="2"/>
        </w:numPr>
        <w:jc w:val="both"/>
        <w:rPr>
          <w:rFonts w:ascii="Garamond" w:hAnsi="Garamond"/>
          <w:sz w:val="24"/>
        </w:rPr>
      </w:pPr>
      <w:r w:rsidRPr="0089702B">
        <w:rPr>
          <w:rFonts w:ascii="Garamond" w:hAnsi="Garamond"/>
          <w:sz w:val="24"/>
          <w:szCs w:val="24"/>
        </w:rPr>
        <w:t xml:space="preserve">Příjemce je povinen, kdykoliv od data účinnosti této smlouvy umožnit poskytovateli uskutečnění kontroly podle zákona č. 320/2001 Sb., o finanční kontrole a zákona č. 255/2012 Sb., o kontrole (kontrolní řád), oba ve znění platném; kontrolu jsou oprávněny provádět Odbor životního prostředí </w:t>
      </w:r>
      <w:r w:rsidR="00880AFE" w:rsidRPr="0089702B">
        <w:rPr>
          <w:rFonts w:ascii="Garamond" w:hAnsi="Garamond"/>
          <w:sz w:val="24"/>
          <w:szCs w:val="24"/>
        </w:rPr>
        <w:t>a Odbor kontroly a interního auditu Magistrátu města Plzně.</w:t>
      </w:r>
    </w:p>
    <w:p w:rsidR="0089702B" w:rsidRPr="0089702B" w:rsidRDefault="0089702B" w:rsidP="0089702B">
      <w:pPr>
        <w:pStyle w:val="Seznam"/>
        <w:ind w:left="360" w:firstLine="0"/>
        <w:jc w:val="both"/>
        <w:rPr>
          <w:rFonts w:ascii="Garamond" w:hAnsi="Garamond"/>
          <w:sz w:val="24"/>
        </w:rPr>
      </w:pPr>
    </w:p>
    <w:p w:rsidR="00146BCD" w:rsidRPr="00146BCD" w:rsidRDefault="00937797" w:rsidP="00146BCD">
      <w:pPr>
        <w:pStyle w:val="Seznam"/>
        <w:numPr>
          <w:ilvl w:val="0"/>
          <w:numId w:val="2"/>
        </w:numPr>
        <w:jc w:val="both"/>
      </w:pPr>
      <w:r w:rsidRPr="001713DE">
        <w:rPr>
          <w:rFonts w:ascii="Garamond" w:hAnsi="Garamond"/>
          <w:sz w:val="24"/>
        </w:rPr>
        <w:t>Příjemce bere na vědomí informační povinnost poskytovatele vůči veřejnosti a souhlasí s tím, aby poskytovatel tuto smlouvu zveřejnil v síti Internet</w:t>
      </w:r>
      <w:r w:rsidRPr="001713DE">
        <w:rPr>
          <w:rStyle w:val="Znakapoznpodarou"/>
          <w:rFonts w:ascii="Garamond" w:hAnsi="Garamond"/>
          <w:sz w:val="24"/>
        </w:rPr>
        <w:footnoteReference w:id="1"/>
      </w:r>
      <w:r w:rsidRPr="001713DE">
        <w:rPr>
          <w:rFonts w:ascii="Garamond" w:hAnsi="Garamond"/>
          <w:sz w:val="24"/>
        </w:rPr>
        <w:t xml:space="preserve"> a v Registru smluv Ministerstva vnitra ČR v souladu se zákonem č. 340/2015 Sb., o registru smluv (z rozhodnutí orgánů poskytovatele bude zveřejněna v registru každá smlouva o poskytnutí dotace, včetně smluv do 50 tis. Kč), eventuálně též jiným způsobem v místě obvyklým.</w:t>
      </w:r>
    </w:p>
    <w:p w:rsidR="00226062" w:rsidRDefault="00146BCD" w:rsidP="00146BCD">
      <w:pPr>
        <w:pStyle w:val="Seznam"/>
        <w:ind w:left="360" w:firstLine="0"/>
        <w:jc w:val="both"/>
      </w:pPr>
      <w:r>
        <w:t xml:space="preserve"> </w:t>
      </w:r>
    </w:p>
    <w:p w:rsidR="00226062" w:rsidRPr="0089702B" w:rsidRDefault="00226062" w:rsidP="00245166">
      <w:pPr>
        <w:pStyle w:val="Zkladntext"/>
        <w:numPr>
          <w:ilvl w:val="0"/>
          <w:numId w:val="2"/>
        </w:numPr>
        <w:spacing w:after="120"/>
      </w:pPr>
      <w:r w:rsidRPr="005004FC">
        <w:rPr>
          <w:rFonts w:cs="Arial"/>
          <w:szCs w:val="24"/>
        </w:rPr>
        <w:t>Vedle důvodů ukončení smlouvy uvedených v Zásadách může poskytovatel z rozhodnutí Zastupitelstva města odstoupit od smlouvy i v případě, kdy bude zjištěna protiprávní propagace činnosti příjemce, nebo propagace jeho činnosti nerespektováním vlastnických práv jiných osob či místně uznávaných pravidel slušnosti.</w:t>
      </w:r>
    </w:p>
    <w:p w:rsidR="00400F64" w:rsidRDefault="00400F64" w:rsidP="00245166">
      <w:pPr>
        <w:numPr>
          <w:ilvl w:val="0"/>
          <w:numId w:val="2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Pokud u příjemce dotace dojde k přeměně jeh právní formy anebo k jeho zrušení dle zákona </w:t>
      </w:r>
      <w:r w:rsidR="00D80987">
        <w:rPr>
          <w:rFonts w:ascii="Garamond" w:hAnsi="Garamond" w:cs="Arial"/>
        </w:rPr>
        <w:t xml:space="preserve">              </w:t>
      </w:r>
      <w:r>
        <w:rPr>
          <w:rFonts w:ascii="Garamond" w:hAnsi="Garamond" w:cs="Arial"/>
        </w:rPr>
        <w:t>č. 89/2021 Sb., občanský zákoník, či k jiným změnám souvisejícím s poskytnutím dotace, je příjemce povinen</w:t>
      </w:r>
      <w:r w:rsidR="00D80987" w:rsidRPr="00D80987">
        <w:rPr>
          <w:rFonts w:ascii="Garamond" w:hAnsi="Garamond" w:cs="Arial"/>
        </w:rPr>
        <w:t xml:space="preserve"> </w:t>
      </w:r>
      <w:r w:rsidR="00D80987" w:rsidRPr="005004FC">
        <w:rPr>
          <w:rFonts w:ascii="Garamond" w:hAnsi="Garamond" w:cs="Arial"/>
        </w:rPr>
        <w:t>o této skutečnosti informovat poskytovatele do 15 dnů od vzniku této skutečnosti</w:t>
      </w:r>
      <w:r w:rsidR="00D80987">
        <w:rPr>
          <w:rFonts w:ascii="Garamond" w:hAnsi="Garamond" w:cs="Arial"/>
        </w:rPr>
        <w:t>.</w:t>
      </w:r>
    </w:p>
    <w:p w:rsidR="00D80987" w:rsidRDefault="00D80987" w:rsidP="00D80987">
      <w:pPr>
        <w:ind w:left="360"/>
        <w:jc w:val="both"/>
        <w:rPr>
          <w:rFonts w:ascii="Garamond" w:hAnsi="Garamond" w:cs="Arial"/>
        </w:rPr>
      </w:pPr>
    </w:p>
    <w:p w:rsidR="00862783" w:rsidRPr="009C2C85" w:rsidRDefault="00226062" w:rsidP="009C2C85">
      <w:pPr>
        <w:pStyle w:val="Seznam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BF42C1">
        <w:rPr>
          <w:rFonts w:ascii="Garamond" w:hAnsi="Garamond"/>
          <w:sz w:val="24"/>
          <w:szCs w:val="24"/>
        </w:rPr>
        <w:t xml:space="preserve">Smluvní strany shodně konstatují, že touto smlouvou dle jejich právního názoru není poskytována veřejná podpora ve smyslu </w:t>
      </w:r>
      <w:r>
        <w:rPr>
          <w:rFonts w:ascii="Garamond" w:hAnsi="Garamond"/>
          <w:sz w:val="24"/>
          <w:szCs w:val="24"/>
        </w:rPr>
        <w:t>čl. 107 a násl. S</w:t>
      </w:r>
      <w:r w:rsidRPr="00BF42C1">
        <w:rPr>
          <w:rFonts w:ascii="Garamond" w:hAnsi="Garamond"/>
          <w:sz w:val="24"/>
          <w:szCs w:val="24"/>
        </w:rPr>
        <w:t>mlouvy o fungování EU. Příjemce bere na vědomí, že jediným orgánem oprávněným rozhodovat ve věcech veřejných podpor je Evropská komise. Příjemce dále bere na vědomí, že pokud Evropská komise případně zaujme v otázce existence veřejné podpory v této smlouvě odchylné stanovisko, tj. rozhodne, že tato smlouva obsahuje prvek veřejné podpory a tato veřejná podpora není slučitelná s pravidly trhu EU, je dle příslušných předpisů EU příjemce povinen vrátit získanou veřejnou podporu poskytovateli. Příjemce prohlašuje, že byl s touto okolností seznámen a je s ní srozuměn.</w:t>
      </w:r>
    </w:p>
    <w:p w:rsidR="00D50782" w:rsidRPr="00CE1B9B" w:rsidRDefault="00FF46BD" w:rsidP="00D50782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VIII</w:t>
      </w:r>
      <w:r w:rsidR="00D50782" w:rsidRPr="00CE1B9B">
        <w:rPr>
          <w:rFonts w:ascii="Times New Roman" w:hAnsi="Times New Roman"/>
        </w:rPr>
        <w:t>.</w:t>
      </w:r>
    </w:p>
    <w:p w:rsidR="00D50782" w:rsidRDefault="00D50782" w:rsidP="00D50782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ZÁVĚREČNÁ UJEDNÁNÍ</w:t>
      </w:r>
    </w:p>
    <w:p w:rsidR="00D50782" w:rsidRPr="00D50782" w:rsidRDefault="00D50782" w:rsidP="00D50782"/>
    <w:p w:rsidR="00531203" w:rsidRPr="001C6AF8" w:rsidRDefault="00531203" w:rsidP="00245166">
      <w:pPr>
        <w:pStyle w:val="Zkladntext"/>
        <w:numPr>
          <w:ilvl w:val="0"/>
          <w:numId w:val="8"/>
        </w:numPr>
        <w:ind w:left="426" w:right="-1" w:hanging="426"/>
        <w:rPr>
          <w:szCs w:val="24"/>
        </w:rPr>
      </w:pPr>
      <w:r w:rsidRPr="001C6AF8">
        <w:rPr>
          <w:szCs w:val="24"/>
        </w:rPr>
        <w:t>Změny nebo doplnění této smlouvy je možné provádět pouze písemně, a to se souhlasem obou smluvních stran.</w:t>
      </w:r>
    </w:p>
    <w:p w:rsidR="00531203" w:rsidRDefault="00531203" w:rsidP="00531203">
      <w:pPr>
        <w:pStyle w:val="Zkladntext"/>
        <w:ind w:right="-1"/>
        <w:rPr>
          <w:szCs w:val="24"/>
        </w:rPr>
      </w:pPr>
    </w:p>
    <w:p w:rsidR="00531203" w:rsidRPr="001C6AF8" w:rsidRDefault="00531203" w:rsidP="00245166">
      <w:pPr>
        <w:pStyle w:val="Zkladntext"/>
        <w:numPr>
          <w:ilvl w:val="0"/>
          <w:numId w:val="8"/>
        </w:numPr>
        <w:tabs>
          <w:tab w:val="left" w:pos="426"/>
        </w:tabs>
        <w:spacing w:before="20"/>
        <w:ind w:left="426" w:hanging="426"/>
        <w:rPr>
          <w:szCs w:val="24"/>
        </w:rPr>
      </w:pPr>
      <w:r w:rsidRPr="001C6AF8">
        <w:rPr>
          <w:szCs w:val="24"/>
        </w:rPr>
        <w:t>Tato s</w:t>
      </w:r>
      <w:r>
        <w:rPr>
          <w:szCs w:val="24"/>
        </w:rPr>
        <w:t>mlouva se vyhotovuje v počtu 4</w:t>
      </w:r>
      <w:r w:rsidRPr="001C6AF8">
        <w:rPr>
          <w:szCs w:val="24"/>
        </w:rPr>
        <w:t xml:space="preserve"> výtisk</w:t>
      </w:r>
      <w:r>
        <w:rPr>
          <w:szCs w:val="24"/>
        </w:rPr>
        <w:t>ů, z čehož 1 obdrží příjemce a 3</w:t>
      </w:r>
      <w:r w:rsidR="005008BE">
        <w:rPr>
          <w:szCs w:val="24"/>
        </w:rPr>
        <w:t xml:space="preserve"> </w:t>
      </w:r>
      <w:r w:rsidRPr="001C6AF8">
        <w:rPr>
          <w:szCs w:val="24"/>
        </w:rPr>
        <w:t xml:space="preserve">poskytovatel; všechny výtisky smlouvy mají platnost originálu. </w:t>
      </w:r>
    </w:p>
    <w:p w:rsidR="00531203" w:rsidRDefault="00531203" w:rsidP="00531203">
      <w:pPr>
        <w:pStyle w:val="Zkladntext"/>
        <w:ind w:right="-1"/>
        <w:rPr>
          <w:szCs w:val="24"/>
        </w:rPr>
      </w:pPr>
    </w:p>
    <w:p w:rsidR="00531203" w:rsidRPr="001C6AF8" w:rsidRDefault="00531203" w:rsidP="00245166">
      <w:pPr>
        <w:pStyle w:val="Zkladntext"/>
        <w:numPr>
          <w:ilvl w:val="0"/>
          <w:numId w:val="8"/>
        </w:numPr>
        <w:ind w:left="426" w:right="-1" w:hanging="426"/>
        <w:rPr>
          <w:szCs w:val="24"/>
        </w:rPr>
      </w:pPr>
      <w:r w:rsidRPr="001C6AF8">
        <w:rPr>
          <w:szCs w:val="24"/>
        </w:rPr>
        <w:t>Smluvní strany shodně prohlašují, že:</w:t>
      </w:r>
    </w:p>
    <w:p w:rsidR="00531203" w:rsidRPr="001C6AF8" w:rsidRDefault="00531203" w:rsidP="00245166">
      <w:pPr>
        <w:pStyle w:val="Zkladntext"/>
        <w:numPr>
          <w:ilvl w:val="0"/>
          <w:numId w:val="7"/>
        </w:numPr>
        <w:ind w:left="709" w:right="-1" w:hanging="283"/>
        <w:rPr>
          <w:szCs w:val="24"/>
        </w:rPr>
      </w:pPr>
      <w:r w:rsidRPr="001C6AF8">
        <w:rPr>
          <w:szCs w:val="24"/>
        </w:rPr>
        <w:t>jsou s obsahem této smlouvy a Zásadami srozuměny. Obě smluvní strany dále konstatují, že smlouvu uzavírají na základě své pravé a svobodné vůle, prosté jakékoli tísně či nátlaku. Strany považují tuto smlouvu a jí sjednané podmínky za oboustranně výhodné,</w:t>
      </w:r>
    </w:p>
    <w:p w:rsidR="00531203" w:rsidRPr="001C6AF8" w:rsidRDefault="00226062" w:rsidP="0073533F">
      <w:pPr>
        <w:pStyle w:val="Zkladntext"/>
        <w:numPr>
          <w:ilvl w:val="0"/>
          <w:numId w:val="7"/>
        </w:numPr>
        <w:spacing w:before="120"/>
        <w:ind w:left="709" w:hanging="283"/>
        <w:rPr>
          <w:szCs w:val="24"/>
        </w:rPr>
      </w:pPr>
      <w:r>
        <w:rPr>
          <w:szCs w:val="24"/>
        </w:rPr>
        <w:t xml:space="preserve">se </w:t>
      </w:r>
      <w:r w:rsidR="00531203" w:rsidRPr="001C6AF8">
        <w:rPr>
          <w:szCs w:val="24"/>
        </w:rPr>
        <w:t>dohodly, že smlouvu k uveřejnění prostřednictvím registru smluv zašle správci registru statutární město Plzeň.</w:t>
      </w:r>
    </w:p>
    <w:p w:rsidR="00531203" w:rsidRDefault="00531203" w:rsidP="00531203">
      <w:pPr>
        <w:pStyle w:val="Zkladntext"/>
        <w:ind w:right="-1"/>
        <w:rPr>
          <w:szCs w:val="24"/>
        </w:rPr>
      </w:pPr>
    </w:p>
    <w:p w:rsidR="00531203" w:rsidRDefault="00531203" w:rsidP="00245166">
      <w:pPr>
        <w:pStyle w:val="Zkladntext"/>
        <w:numPr>
          <w:ilvl w:val="0"/>
          <w:numId w:val="8"/>
        </w:numPr>
        <w:ind w:left="426" w:right="-1" w:hanging="426"/>
        <w:rPr>
          <w:szCs w:val="24"/>
        </w:rPr>
      </w:pPr>
      <w:r>
        <w:rPr>
          <w:szCs w:val="24"/>
        </w:rPr>
        <w:t>Smluvní strany mohou ukončit smluvní vztah:</w:t>
      </w:r>
    </w:p>
    <w:p w:rsidR="00531203" w:rsidRDefault="00531203" w:rsidP="0073533F">
      <w:pPr>
        <w:pStyle w:val="Zkladntext"/>
        <w:numPr>
          <w:ilvl w:val="0"/>
          <w:numId w:val="9"/>
        </w:numPr>
        <w:ind w:left="709" w:right="-1" w:hanging="283"/>
        <w:rPr>
          <w:szCs w:val="24"/>
        </w:rPr>
      </w:pPr>
      <w:r>
        <w:rPr>
          <w:szCs w:val="24"/>
        </w:rPr>
        <w:t>písemnou oboustrannou dohodou,</w:t>
      </w:r>
    </w:p>
    <w:p w:rsidR="00531203" w:rsidRPr="001C6AF8" w:rsidRDefault="00531203" w:rsidP="00245166">
      <w:pPr>
        <w:pStyle w:val="Zkladntext"/>
        <w:numPr>
          <w:ilvl w:val="0"/>
          <w:numId w:val="9"/>
        </w:numPr>
        <w:ind w:left="709" w:right="-1" w:hanging="283"/>
        <w:rPr>
          <w:szCs w:val="24"/>
        </w:rPr>
      </w:pPr>
      <w:r>
        <w:rPr>
          <w:szCs w:val="24"/>
        </w:rPr>
        <w:t>odstoupením od smlouvy ze strany poskytovatele v případě, že příjemce poruší jakékoliv ustanovení smlouvy.</w:t>
      </w:r>
    </w:p>
    <w:p w:rsidR="00531203" w:rsidRDefault="00531203" w:rsidP="00531203">
      <w:pPr>
        <w:pStyle w:val="Zkladntext"/>
        <w:ind w:left="360" w:right="-1"/>
        <w:rPr>
          <w:szCs w:val="24"/>
        </w:rPr>
      </w:pPr>
    </w:p>
    <w:p w:rsidR="00531203" w:rsidRPr="001C6AF8" w:rsidRDefault="00531203" w:rsidP="00245166">
      <w:pPr>
        <w:pStyle w:val="Zkladntext"/>
        <w:numPr>
          <w:ilvl w:val="0"/>
          <w:numId w:val="8"/>
        </w:numPr>
        <w:ind w:left="426" w:right="-1" w:hanging="426"/>
        <w:rPr>
          <w:szCs w:val="24"/>
        </w:rPr>
      </w:pPr>
      <w:r w:rsidRPr="001C6AF8">
        <w:rPr>
          <w:szCs w:val="24"/>
        </w:rPr>
        <w:t>Tato smlouva n</w:t>
      </w:r>
      <w:r>
        <w:rPr>
          <w:szCs w:val="24"/>
        </w:rPr>
        <w:t xml:space="preserve">abývá </w:t>
      </w:r>
      <w:r w:rsidRPr="001C6AF8">
        <w:rPr>
          <w:szCs w:val="24"/>
        </w:rPr>
        <w:t>účinnosti dnem jejího uveřejnění prostřednictvím registru smluv dle zákona č. 340/2015 Sb., o registru smluv.</w:t>
      </w:r>
    </w:p>
    <w:p w:rsidR="00531203" w:rsidRDefault="00531203" w:rsidP="00531203">
      <w:pPr>
        <w:pStyle w:val="Zkladntext"/>
        <w:ind w:right="-1"/>
        <w:rPr>
          <w:szCs w:val="24"/>
        </w:rPr>
      </w:pPr>
    </w:p>
    <w:p w:rsidR="00531203" w:rsidRPr="001C6AF8" w:rsidRDefault="00531203" w:rsidP="00245166">
      <w:pPr>
        <w:pStyle w:val="Zkladntext"/>
        <w:numPr>
          <w:ilvl w:val="0"/>
          <w:numId w:val="8"/>
        </w:numPr>
        <w:ind w:left="426" w:right="-1" w:hanging="426"/>
        <w:rPr>
          <w:szCs w:val="24"/>
        </w:rPr>
      </w:pPr>
      <w:r w:rsidRPr="001C6AF8">
        <w:rPr>
          <w:szCs w:val="24"/>
        </w:rPr>
        <w:t>V</w:t>
      </w:r>
      <w:r w:rsidR="005C2E33">
        <w:rPr>
          <w:szCs w:val="24"/>
        </w:rPr>
        <w:t>e věcných záležitostech</w:t>
      </w:r>
      <w:r w:rsidRPr="001C6AF8">
        <w:rPr>
          <w:szCs w:val="24"/>
        </w:rPr>
        <w:t xml:space="preserve"> této smlouvy jedná za poskytovatele Odbor životního prostředí Magistrátu města Plzně.</w:t>
      </w:r>
    </w:p>
    <w:p w:rsidR="00531203" w:rsidRDefault="00531203" w:rsidP="00531203">
      <w:pPr>
        <w:pStyle w:val="Seznam"/>
        <w:ind w:left="720" w:firstLine="0"/>
        <w:jc w:val="both"/>
        <w:rPr>
          <w:rFonts w:ascii="Garamond" w:hAnsi="Garamond"/>
          <w:sz w:val="24"/>
        </w:rPr>
      </w:pPr>
    </w:p>
    <w:p w:rsidR="00D50782" w:rsidRDefault="00D50782" w:rsidP="00D50782">
      <w:pPr>
        <w:pStyle w:val="Seznam"/>
        <w:ind w:left="0" w:firstLine="0"/>
        <w:jc w:val="both"/>
        <w:rPr>
          <w:rFonts w:ascii="Garamond" w:hAnsi="Garamond"/>
          <w:sz w:val="24"/>
        </w:rPr>
      </w:pPr>
    </w:p>
    <w:p w:rsidR="00862783" w:rsidRDefault="00862783" w:rsidP="00862783">
      <w:pPr>
        <w:pStyle w:val="Zkladntext"/>
      </w:pPr>
    </w:p>
    <w:p w:rsidR="00862783" w:rsidRDefault="00862783" w:rsidP="00862783">
      <w:pPr>
        <w:pStyle w:val="Zkladntext"/>
      </w:pPr>
    </w:p>
    <w:p w:rsidR="00862783" w:rsidRDefault="003860A0" w:rsidP="00862783">
      <w:pPr>
        <w:pStyle w:val="Zkladntext"/>
        <w:tabs>
          <w:tab w:val="center" w:pos="2268"/>
          <w:tab w:val="center" w:pos="6804"/>
        </w:tabs>
      </w:pPr>
      <w:r>
        <w:t xml:space="preserve"> </w:t>
      </w:r>
      <w:r w:rsidR="00862783">
        <w:t>V Plzni dne .....................................</w:t>
      </w:r>
      <w:r w:rsidR="00862783">
        <w:tab/>
      </w:r>
      <w:r>
        <w:t xml:space="preserve">               </w:t>
      </w:r>
      <w:r w:rsidR="00862783">
        <w:t>V Plzni dne .....................................</w:t>
      </w:r>
      <w:r w:rsidR="00862783">
        <w:rPr>
          <w:vertAlign w:val="subscript"/>
        </w:rPr>
        <w:t xml:space="preserve"> </w:t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ab/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 xml:space="preserve">                                                    </w:t>
      </w:r>
      <w:r>
        <w:tab/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 xml:space="preserve">         .......................................                 </w:t>
      </w:r>
      <w:r w:rsidR="00AA3E93">
        <w:tab/>
      </w:r>
      <w:r>
        <w:t xml:space="preserve">                </w:t>
      </w:r>
      <w:r w:rsidR="003860A0">
        <w:t xml:space="preserve">    </w:t>
      </w:r>
      <w:r>
        <w:t xml:space="preserve"> ..........................................</w:t>
      </w:r>
    </w:p>
    <w:p w:rsidR="003860A0" w:rsidRPr="003860A0" w:rsidRDefault="00497F0A" w:rsidP="003860A0">
      <w:pPr>
        <w:pStyle w:val="Zkladntext"/>
        <w:tabs>
          <w:tab w:val="center" w:pos="2268"/>
          <w:tab w:val="center" w:pos="6804"/>
        </w:tabs>
        <w:ind w:left="4956" w:hanging="4572"/>
      </w:pPr>
      <w:r>
        <w:t xml:space="preserve">  </w:t>
      </w:r>
      <w:r w:rsidR="004B48F1">
        <w:t xml:space="preserve">     </w:t>
      </w:r>
      <w:r w:rsidR="003D6D68">
        <w:t xml:space="preserve"> </w:t>
      </w:r>
      <w:r w:rsidR="00C622A8">
        <w:t>Bc. Aleš Tolar</w:t>
      </w:r>
      <w:r w:rsidR="00862783">
        <w:t xml:space="preserve">                             </w:t>
      </w:r>
      <w:r w:rsidR="00862783">
        <w:tab/>
      </w:r>
      <w:r w:rsidR="00862783" w:rsidRPr="003860A0">
        <w:t xml:space="preserve">     </w:t>
      </w:r>
      <w:r w:rsidR="00FC46FE" w:rsidRPr="003860A0">
        <w:t xml:space="preserve">         </w:t>
      </w:r>
      <w:r w:rsidR="008E07AF" w:rsidRPr="003860A0">
        <w:t xml:space="preserve">      </w:t>
      </w:r>
      <w:r w:rsidR="003D6D68" w:rsidRPr="003860A0">
        <w:t xml:space="preserve"> </w:t>
      </w:r>
      <w:r w:rsidR="00BF6015">
        <w:t xml:space="preserve">     </w:t>
      </w:r>
      <w:r w:rsidR="003D6D68" w:rsidRPr="003860A0">
        <w:t xml:space="preserve">    </w:t>
      </w:r>
      <w:r w:rsidR="00BF6015">
        <w:t>Vladimír Jurčo</w:t>
      </w:r>
    </w:p>
    <w:p w:rsidR="00B4748C" w:rsidRDefault="00862783" w:rsidP="003D6D68">
      <w:pPr>
        <w:pStyle w:val="Zkladntext"/>
        <w:tabs>
          <w:tab w:val="center" w:pos="2268"/>
          <w:tab w:val="center" w:pos="6804"/>
        </w:tabs>
        <w:ind w:left="4956" w:hanging="4572"/>
      </w:pPr>
      <w:r>
        <w:t xml:space="preserve">     náměstek </w:t>
      </w:r>
      <w:r w:rsidRPr="00FC46FE">
        <w:t xml:space="preserve">primátora    </w:t>
      </w:r>
      <w:r w:rsidR="003860A0">
        <w:tab/>
        <w:t xml:space="preserve">                             předseda spolku</w:t>
      </w:r>
      <w:r w:rsidRPr="00FC46FE">
        <w:t xml:space="preserve">                    </w:t>
      </w:r>
    </w:p>
    <w:p w:rsidR="00B4748C" w:rsidRDefault="00B4748C" w:rsidP="003D6D68">
      <w:pPr>
        <w:pStyle w:val="Zkladntext"/>
        <w:tabs>
          <w:tab w:val="center" w:pos="2268"/>
          <w:tab w:val="center" w:pos="6804"/>
        </w:tabs>
        <w:ind w:left="4956" w:hanging="4572"/>
      </w:pPr>
    </w:p>
    <w:p w:rsidR="003D6D68" w:rsidRDefault="00862783" w:rsidP="003D6D68">
      <w:pPr>
        <w:pStyle w:val="Zkladntext"/>
        <w:tabs>
          <w:tab w:val="center" w:pos="2268"/>
          <w:tab w:val="center" w:pos="6804"/>
        </w:tabs>
        <w:ind w:left="4956" w:hanging="4572"/>
      </w:pPr>
      <w:r w:rsidRPr="00FC46FE">
        <w:t xml:space="preserve">     </w:t>
      </w:r>
      <w:r w:rsidR="000B6576">
        <w:t xml:space="preserve">            </w:t>
      </w:r>
      <w:r w:rsidR="00AD5A96">
        <w:t xml:space="preserve">    </w:t>
      </w:r>
      <w:r w:rsidR="006D13FB">
        <w:t xml:space="preserve">  </w:t>
      </w:r>
      <w:r w:rsidR="003D6D68">
        <w:t xml:space="preserve"> </w:t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 xml:space="preserve">     </w:t>
      </w:r>
    </w:p>
    <w:p w:rsidR="000D312E" w:rsidRPr="00F924CD" w:rsidRDefault="000D312E" w:rsidP="003D6D68">
      <w:pPr>
        <w:tabs>
          <w:tab w:val="left" w:pos="6080"/>
        </w:tabs>
      </w:pPr>
      <w:bookmarkStart w:id="0" w:name="_GoBack"/>
      <w:bookmarkEnd w:id="0"/>
    </w:p>
    <w:sectPr w:rsidR="000D312E" w:rsidRPr="00F924CD" w:rsidSect="00FB6ED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304" w:right="1134" w:bottom="1304" w:left="1701" w:header="567" w:footer="10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7DE" w:rsidRDefault="000547DE">
      <w:r>
        <w:separator/>
      </w:r>
    </w:p>
  </w:endnote>
  <w:endnote w:type="continuationSeparator" w:id="0">
    <w:p w:rsidR="000547DE" w:rsidRDefault="0005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B6478" w:rsidRDefault="009B6478">
    <w:pPr>
      <w:pStyle w:val="Zpat"/>
      <w:ind w:right="360"/>
    </w:pPr>
  </w:p>
  <w:p w:rsidR="009B6478" w:rsidRDefault="009B64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framePr w:wrap="around" w:vAnchor="text" w:hAnchor="margin" w:xAlign="right" w:y="1"/>
      <w:rPr>
        <w:rStyle w:val="slostrnky"/>
      </w:rPr>
    </w:pPr>
  </w:p>
  <w:p w:rsidR="009B6478" w:rsidRDefault="009B6478">
    <w:pPr>
      <w:pStyle w:val="Zpat"/>
      <w:ind w:right="360"/>
      <w:jc w:val="center"/>
      <w:rPr>
        <w:i/>
      </w:rPr>
    </w:pPr>
    <w:r>
      <w:rPr>
        <w:i/>
        <w:snapToGrid w:val="0"/>
      </w:rPr>
      <w:t xml:space="preserve">Strana </w:t>
    </w:r>
    <w:r>
      <w:rPr>
        <w:i/>
        <w:snapToGrid w:val="0"/>
      </w:rPr>
      <w:fldChar w:fldCharType="begin"/>
    </w:r>
    <w:r>
      <w:rPr>
        <w:i/>
        <w:snapToGrid w:val="0"/>
      </w:rPr>
      <w:instrText xml:space="preserve"> PAGE </w:instrText>
    </w:r>
    <w:r>
      <w:rPr>
        <w:i/>
        <w:snapToGrid w:val="0"/>
      </w:rPr>
      <w:fldChar w:fldCharType="separate"/>
    </w:r>
    <w:r w:rsidR="001713DE">
      <w:rPr>
        <w:i/>
        <w:noProof/>
        <w:snapToGrid w:val="0"/>
      </w:rPr>
      <w:t>6</w:t>
    </w:r>
    <w:r>
      <w:rPr>
        <w:i/>
        <w:snapToGrid w:val="0"/>
      </w:rPr>
      <w:fldChar w:fldCharType="end"/>
    </w:r>
    <w:r>
      <w:rPr>
        <w:i/>
        <w:snapToGrid w:val="0"/>
      </w:rPr>
      <w:t xml:space="preserve"> (celkem</w:t>
    </w:r>
    <w:r w:rsidR="005C2E33">
      <w:rPr>
        <w:i/>
        <w:snapToGrid w:val="0"/>
      </w:rPr>
      <w:t xml:space="preserve"> </w:t>
    </w:r>
    <w:r w:rsidR="00531934">
      <w:rPr>
        <w:i/>
        <w:snapToGrid w:val="0"/>
      </w:rPr>
      <w:t>5</w:t>
    </w:r>
    <w:r>
      <w:rPr>
        <w:i/>
        <w:snapToGrid w:val="0"/>
      </w:rPr>
      <w:t>)</w:t>
    </w:r>
  </w:p>
  <w:p w:rsidR="009B6478" w:rsidRDefault="009B6478">
    <w:pPr>
      <w:pStyle w:val="Seznam"/>
      <w:ind w:left="0" w:firstLine="0"/>
      <w:rPr>
        <w:sz w:val="24"/>
      </w:rPr>
    </w:pPr>
  </w:p>
  <w:p w:rsidR="009B6478" w:rsidRDefault="009B6478">
    <w:pPr>
      <w:pStyle w:val="Zpat"/>
      <w:ind w:right="360"/>
      <w:jc w:val="center"/>
    </w:pPr>
  </w:p>
  <w:p w:rsidR="009B6478" w:rsidRDefault="009B647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jc w:val="center"/>
      <w:rPr>
        <w:i/>
      </w:rPr>
    </w:pPr>
    <w:r>
      <w:rPr>
        <w:i/>
        <w:snapToGrid w:val="0"/>
      </w:rPr>
      <w:t xml:space="preserve">Strana </w:t>
    </w:r>
    <w:r>
      <w:rPr>
        <w:i/>
        <w:snapToGrid w:val="0"/>
      </w:rPr>
      <w:fldChar w:fldCharType="begin"/>
    </w:r>
    <w:r>
      <w:rPr>
        <w:i/>
        <w:snapToGrid w:val="0"/>
      </w:rPr>
      <w:instrText xml:space="preserve"> PAGE </w:instrText>
    </w:r>
    <w:r>
      <w:rPr>
        <w:i/>
        <w:snapToGrid w:val="0"/>
      </w:rPr>
      <w:fldChar w:fldCharType="separate"/>
    </w:r>
    <w:r w:rsidR="002E3EC8">
      <w:rPr>
        <w:i/>
        <w:noProof/>
        <w:snapToGrid w:val="0"/>
      </w:rPr>
      <w:t>1</w:t>
    </w:r>
    <w:r>
      <w:rPr>
        <w:i/>
        <w:snapToGrid w:val="0"/>
      </w:rPr>
      <w:fldChar w:fldCharType="end"/>
    </w:r>
    <w:r>
      <w:rPr>
        <w:i/>
        <w:snapToGrid w:val="0"/>
      </w:rPr>
      <w:t xml:space="preserve"> (celkem </w:t>
    </w:r>
    <w:r w:rsidR="006D437A">
      <w:rPr>
        <w:i/>
        <w:snapToGrid w:val="0"/>
      </w:rPr>
      <w:t>5</w:t>
    </w:r>
    <w:r>
      <w:rPr>
        <w:i/>
        <w:snapToGrid w:val="0"/>
      </w:rPr>
      <w:t>)</w:t>
    </w:r>
  </w:p>
  <w:p w:rsidR="009B6478" w:rsidRDefault="009B64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7DE" w:rsidRDefault="000547DE">
      <w:r>
        <w:separator/>
      </w:r>
    </w:p>
  </w:footnote>
  <w:footnote w:type="continuationSeparator" w:id="0">
    <w:p w:rsidR="000547DE" w:rsidRDefault="000547DE">
      <w:r>
        <w:continuationSeparator/>
      </w:r>
    </w:p>
  </w:footnote>
  <w:footnote w:id="1">
    <w:p w:rsidR="00937797" w:rsidRDefault="00937797" w:rsidP="009377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Podle § 3 odst. 2 a 5 a § 4 zákona č. 106/1999 Sb., v platném znění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2"/>
    </w:tblGrid>
    <w:tr w:rsidR="002E3EC8" w:rsidTr="00663750">
      <w:trPr>
        <w:trHeight w:val="416"/>
      </w:trPr>
      <w:tc>
        <w:tcPr>
          <w:tcW w:w="9637" w:type="dxa"/>
          <w:shd w:val="clear" w:color="auto" w:fill="auto"/>
        </w:tcPr>
        <w:p w:rsidR="002E3EC8" w:rsidRDefault="002E3EC8" w:rsidP="007264D6">
          <w:pPr>
            <w:pStyle w:val="Zhlav"/>
            <w:tabs>
              <w:tab w:val="clear" w:pos="4536"/>
              <w:tab w:val="clear" w:pos="9072"/>
              <w:tab w:val="left" w:pos="6976"/>
              <w:tab w:val="right" w:pos="9271"/>
            </w:tabs>
            <w:rPr>
              <w:sz w:val="20"/>
              <w:szCs w:val="20"/>
            </w:rPr>
          </w:pPr>
          <w:r w:rsidRPr="00663750">
            <w:rPr>
              <w:sz w:val="20"/>
              <w:szCs w:val="20"/>
            </w:rPr>
            <w:t>Plzeň, statutární město</w:t>
          </w:r>
          <w:r w:rsidR="00FB6ED8">
            <w:rPr>
              <w:sz w:val="20"/>
              <w:szCs w:val="20"/>
            </w:rPr>
            <w:t xml:space="preserve"> </w:t>
          </w:r>
          <w:r w:rsidR="007264D6" w:rsidRPr="007264D6">
            <w:rPr>
              <w:sz w:val="20"/>
              <w:szCs w:val="20"/>
            </w:rPr>
            <w:t>Plzně, z.s</w:t>
          </w:r>
          <w:r w:rsidR="007264D6">
            <w:rPr>
              <w:sz w:val="20"/>
              <w:szCs w:val="20"/>
            </w:rPr>
            <w:t>.</w:t>
          </w:r>
          <w:r w:rsidR="00FB6ED8">
            <w:t xml:space="preserve">                                     </w:t>
          </w:r>
          <w:r w:rsidR="00FE434B">
            <w:t xml:space="preserve">                     </w:t>
          </w:r>
          <w:r w:rsidR="00FB6ED8" w:rsidRPr="00FB6ED8">
            <w:rPr>
              <w:sz w:val="20"/>
              <w:szCs w:val="20"/>
            </w:rPr>
            <w:t xml:space="preserve">Myslivecký spolek </w:t>
          </w:r>
          <w:r w:rsidR="002D6AC0">
            <w:rPr>
              <w:sz w:val="20"/>
              <w:szCs w:val="20"/>
            </w:rPr>
            <w:t>Litice</w:t>
          </w:r>
          <w:r w:rsidR="00FB6ED8" w:rsidRPr="00FB6ED8">
            <w:rPr>
              <w:sz w:val="20"/>
              <w:szCs w:val="20"/>
            </w:rPr>
            <w:t>, z.s.</w:t>
          </w:r>
        </w:p>
        <w:p w:rsidR="00FB6ED8" w:rsidRPr="00663750" w:rsidRDefault="00B4719F" w:rsidP="007264D6">
          <w:pPr>
            <w:pStyle w:val="Zhlav"/>
            <w:tabs>
              <w:tab w:val="clear" w:pos="4536"/>
              <w:tab w:val="clear" w:pos="9072"/>
              <w:tab w:val="left" w:pos="6976"/>
              <w:tab w:val="right" w:pos="9271"/>
            </w:tabs>
            <w:rPr>
              <w:sz w:val="20"/>
              <w:szCs w:val="20"/>
            </w:rPr>
          </w:pPr>
          <w:r w:rsidRPr="00B4719F">
            <w:rPr>
              <w:sz w:val="20"/>
              <w:szCs w:val="20"/>
            </w:rPr>
            <w:t>2025/008539</w:t>
          </w:r>
        </w:p>
      </w:tc>
    </w:tr>
  </w:tbl>
  <w:p w:rsidR="002E3EC8" w:rsidRDefault="002E3E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37"/>
    </w:tblGrid>
    <w:tr w:rsidR="00E872E8" w:rsidTr="00E872E8">
      <w:trPr>
        <w:trHeight w:val="563"/>
      </w:trPr>
      <w:tc>
        <w:tcPr>
          <w:tcW w:w="9637" w:type="dxa"/>
          <w:shd w:val="clear" w:color="auto" w:fill="auto"/>
        </w:tcPr>
        <w:p w:rsidR="00E872E8" w:rsidRDefault="00E872E8" w:rsidP="00E872E8">
          <w:pPr>
            <w:pStyle w:val="Zhlav"/>
            <w:tabs>
              <w:tab w:val="clear" w:pos="4536"/>
              <w:tab w:val="clear" w:pos="9072"/>
              <w:tab w:val="left" w:pos="6104"/>
            </w:tabs>
          </w:pPr>
          <w:r>
            <w:t>Plzeň, statutární město</w:t>
          </w:r>
          <w:r>
            <w:tab/>
          </w:r>
          <w:proofErr w:type="spellStart"/>
          <w:r>
            <w:t>Techmania</w:t>
          </w:r>
          <w:proofErr w:type="spellEnd"/>
          <w:r>
            <w:t xml:space="preserve"> Science Center o. p. s.</w:t>
          </w:r>
        </w:p>
        <w:p w:rsidR="00E872E8" w:rsidRPr="00E872E8" w:rsidRDefault="00E872E8" w:rsidP="00E872E8">
          <w:r>
            <w:t>2019/00</w:t>
          </w:r>
        </w:p>
      </w:tc>
    </w:tr>
  </w:tbl>
  <w:p w:rsidR="00E872E8" w:rsidRDefault="00E872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5390"/>
    <w:multiLevelType w:val="hybridMultilevel"/>
    <w:tmpl w:val="D92E4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4433A"/>
    <w:multiLevelType w:val="singleLevel"/>
    <w:tmpl w:val="7BC01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510B23"/>
    <w:multiLevelType w:val="hybridMultilevel"/>
    <w:tmpl w:val="F64A3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5ED9"/>
    <w:multiLevelType w:val="hybridMultilevel"/>
    <w:tmpl w:val="05BC422C"/>
    <w:lvl w:ilvl="0" w:tplc="4774C31C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480F1B"/>
    <w:multiLevelType w:val="multilevel"/>
    <w:tmpl w:val="9C92F52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757" w:hanging="397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5" w15:restartNumberingAfterBreak="0">
    <w:nsid w:val="22747F8C"/>
    <w:multiLevelType w:val="hybridMultilevel"/>
    <w:tmpl w:val="C06C7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6435E"/>
    <w:multiLevelType w:val="hybridMultilevel"/>
    <w:tmpl w:val="9A5065A8"/>
    <w:lvl w:ilvl="0" w:tplc="2C98415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B7699C"/>
    <w:multiLevelType w:val="multilevel"/>
    <w:tmpl w:val="93A00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644" w:hanging="284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8" w15:restartNumberingAfterBreak="0">
    <w:nsid w:val="35F36152"/>
    <w:multiLevelType w:val="hybridMultilevel"/>
    <w:tmpl w:val="BC7ED84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D564A43"/>
    <w:multiLevelType w:val="hybridMultilevel"/>
    <w:tmpl w:val="5E0EBF8E"/>
    <w:lvl w:ilvl="0" w:tplc="2C9841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72AB4"/>
    <w:multiLevelType w:val="hybridMultilevel"/>
    <w:tmpl w:val="260035BA"/>
    <w:lvl w:ilvl="0" w:tplc="B262E8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C65822"/>
    <w:multiLevelType w:val="hybridMultilevel"/>
    <w:tmpl w:val="D77652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A86C8C"/>
    <w:multiLevelType w:val="hybridMultilevel"/>
    <w:tmpl w:val="2BD62A0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93955A2"/>
    <w:multiLevelType w:val="hybridMultilevel"/>
    <w:tmpl w:val="1286D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C1BC6"/>
    <w:multiLevelType w:val="multilevel"/>
    <w:tmpl w:val="24948C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6462B"/>
    <w:multiLevelType w:val="hybridMultilevel"/>
    <w:tmpl w:val="5F8AC16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11"/>
  </w:num>
  <w:num w:numId="5">
    <w:abstractNumId w:val="0"/>
  </w:num>
  <w:num w:numId="6">
    <w:abstractNumId w:val="5"/>
  </w:num>
  <w:num w:numId="7">
    <w:abstractNumId w:val="8"/>
  </w:num>
  <w:num w:numId="8">
    <w:abstractNumId w:val="9"/>
  </w:num>
  <w:num w:numId="9">
    <w:abstractNumId w:val="12"/>
  </w:num>
  <w:num w:numId="10">
    <w:abstractNumId w:val="13"/>
  </w:num>
  <w:num w:numId="11">
    <w:abstractNumId w:val="15"/>
  </w:num>
  <w:num w:numId="12">
    <w:abstractNumId w:val="6"/>
  </w:num>
  <w:num w:numId="13">
    <w:abstractNumId w:val="3"/>
  </w:num>
  <w:num w:numId="14">
    <w:abstractNumId w:val="2"/>
  </w:num>
  <w:num w:numId="15">
    <w:abstractNumId w:val="1"/>
    <w:lvlOverride w:ilvl="0">
      <w:startOverride w:val="1"/>
    </w:lvlOverride>
  </w:num>
  <w:num w:numId="16">
    <w:abstractNumId w:val="7"/>
  </w:num>
  <w:num w:numId="1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FA"/>
    <w:rsid w:val="000049FA"/>
    <w:rsid w:val="000059C7"/>
    <w:rsid w:val="000078DD"/>
    <w:rsid w:val="00012470"/>
    <w:rsid w:val="000146BD"/>
    <w:rsid w:val="0001608A"/>
    <w:rsid w:val="000263EB"/>
    <w:rsid w:val="00042C50"/>
    <w:rsid w:val="000547DE"/>
    <w:rsid w:val="000550D0"/>
    <w:rsid w:val="0005578D"/>
    <w:rsid w:val="00066E5D"/>
    <w:rsid w:val="00075639"/>
    <w:rsid w:val="000761DD"/>
    <w:rsid w:val="00076E82"/>
    <w:rsid w:val="00077010"/>
    <w:rsid w:val="000806B9"/>
    <w:rsid w:val="00081988"/>
    <w:rsid w:val="000860A2"/>
    <w:rsid w:val="00090257"/>
    <w:rsid w:val="000912D0"/>
    <w:rsid w:val="00092F09"/>
    <w:rsid w:val="00093362"/>
    <w:rsid w:val="00095899"/>
    <w:rsid w:val="000A1C8A"/>
    <w:rsid w:val="000A4137"/>
    <w:rsid w:val="000B04F7"/>
    <w:rsid w:val="000B07AE"/>
    <w:rsid w:val="000B18BC"/>
    <w:rsid w:val="000B3AF5"/>
    <w:rsid w:val="000B557F"/>
    <w:rsid w:val="000B6576"/>
    <w:rsid w:val="000D2B1E"/>
    <w:rsid w:val="000D312E"/>
    <w:rsid w:val="000E12C7"/>
    <w:rsid w:val="000E2691"/>
    <w:rsid w:val="000E3D4C"/>
    <w:rsid w:val="000E6877"/>
    <w:rsid w:val="000F6100"/>
    <w:rsid w:val="00100D58"/>
    <w:rsid w:val="0010252F"/>
    <w:rsid w:val="0010322E"/>
    <w:rsid w:val="0011100C"/>
    <w:rsid w:val="00111706"/>
    <w:rsid w:val="001174CF"/>
    <w:rsid w:val="00122E5B"/>
    <w:rsid w:val="001245F0"/>
    <w:rsid w:val="00125ADC"/>
    <w:rsid w:val="00133007"/>
    <w:rsid w:val="001375F7"/>
    <w:rsid w:val="00144D88"/>
    <w:rsid w:val="00145DAA"/>
    <w:rsid w:val="00146BCD"/>
    <w:rsid w:val="00146F0F"/>
    <w:rsid w:val="0015009F"/>
    <w:rsid w:val="001577B3"/>
    <w:rsid w:val="00162EDE"/>
    <w:rsid w:val="001642A8"/>
    <w:rsid w:val="0016668B"/>
    <w:rsid w:val="0017133B"/>
    <w:rsid w:val="001713DE"/>
    <w:rsid w:val="0017426B"/>
    <w:rsid w:val="001744DB"/>
    <w:rsid w:val="001755CA"/>
    <w:rsid w:val="00175D29"/>
    <w:rsid w:val="0017676D"/>
    <w:rsid w:val="00176D71"/>
    <w:rsid w:val="00182756"/>
    <w:rsid w:val="00186E62"/>
    <w:rsid w:val="001902A5"/>
    <w:rsid w:val="00195273"/>
    <w:rsid w:val="0019545A"/>
    <w:rsid w:val="001A35D7"/>
    <w:rsid w:val="001A61E2"/>
    <w:rsid w:val="001B0D2B"/>
    <w:rsid w:val="001B24A6"/>
    <w:rsid w:val="001B3253"/>
    <w:rsid w:val="001B3FD3"/>
    <w:rsid w:val="001B6A4C"/>
    <w:rsid w:val="001B7801"/>
    <w:rsid w:val="001C02A6"/>
    <w:rsid w:val="001C3DA7"/>
    <w:rsid w:val="001C4633"/>
    <w:rsid w:val="001C7B64"/>
    <w:rsid w:val="001C7BA1"/>
    <w:rsid w:val="001D11D8"/>
    <w:rsid w:val="001D2F24"/>
    <w:rsid w:val="001D4517"/>
    <w:rsid w:val="001D4E45"/>
    <w:rsid w:val="001D635C"/>
    <w:rsid w:val="001F79D0"/>
    <w:rsid w:val="00203DE0"/>
    <w:rsid w:val="0020416B"/>
    <w:rsid w:val="0020642C"/>
    <w:rsid w:val="0020735A"/>
    <w:rsid w:val="00207C13"/>
    <w:rsid w:val="00226062"/>
    <w:rsid w:val="00237BD8"/>
    <w:rsid w:val="002402AE"/>
    <w:rsid w:val="002410D9"/>
    <w:rsid w:val="00245166"/>
    <w:rsid w:val="002454D1"/>
    <w:rsid w:val="0025069E"/>
    <w:rsid w:val="00250A03"/>
    <w:rsid w:val="00250AF7"/>
    <w:rsid w:val="00254B29"/>
    <w:rsid w:val="00261D03"/>
    <w:rsid w:val="00261D90"/>
    <w:rsid w:val="00263EB2"/>
    <w:rsid w:val="002649D1"/>
    <w:rsid w:val="00264D47"/>
    <w:rsid w:val="00280BA8"/>
    <w:rsid w:val="00281955"/>
    <w:rsid w:val="0028522B"/>
    <w:rsid w:val="00286E7B"/>
    <w:rsid w:val="002A4020"/>
    <w:rsid w:val="002A5300"/>
    <w:rsid w:val="002A7D88"/>
    <w:rsid w:val="002B080F"/>
    <w:rsid w:val="002B1E8E"/>
    <w:rsid w:val="002B29F4"/>
    <w:rsid w:val="002B6FBD"/>
    <w:rsid w:val="002C0FDA"/>
    <w:rsid w:val="002C1B67"/>
    <w:rsid w:val="002C1EB8"/>
    <w:rsid w:val="002C5062"/>
    <w:rsid w:val="002C5557"/>
    <w:rsid w:val="002D47E8"/>
    <w:rsid w:val="002D6AC0"/>
    <w:rsid w:val="002D7DFC"/>
    <w:rsid w:val="002E1857"/>
    <w:rsid w:val="002E3EC8"/>
    <w:rsid w:val="002E58D1"/>
    <w:rsid w:val="002F24FD"/>
    <w:rsid w:val="0030099F"/>
    <w:rsid w:val="0030229A"/>
    <w:rsid w:val="003065F9"/>
    <w:rsid w:val="003127AF"/>
    <w:rsid w:val="00314243"/>
    <w:rsid w:val="003225B2"/>
    <w:rsid w:val="00322DE9"/>
    <w:rsid w:val="0032563D"/>
    <w:rsid w:val="00327B40"/>
    <w:rsid w:val="00341379"/>
    <w:rsid w:val="0034370B"/>
    <w:rsid w:val="003439E3"/>
    <w:rsid w:val="0034702F"/>
    <w:rsid w:val="00347306"/>
    <w:rsid w:val="003526CF"/>
    <w:rsid w:val="00353F7E"/>
    <w:rsid w:val="003722E3"/>
    <w:rsid w:val="00374C50"/>
    <w:rsid w:val="00377140"/>
    <w:rsid w:val="003776CC"/>
    <w:rsid w:val="00380C00"/>
    <w:rsid w:val="00385068"/>
    <w:rsid w:val="003860A0"/>
    <w:rsid w:val="00394194"/>
    <w:rsid w:val="003953B1"/>
    <w:rsid w:val="003963A3"/>
    <w:rsid w:val="003A101F"/>
    <w:rsid w:val="003A14E0"/>
    <w:rsid w:val="003A43D7"/>
    <w:rsid w:val="003A4DDC"/>
    <w:rsid w:val="003B1652"/>
    <w:rsid w:val="003B1FDE"/>
    <w:rsid w:val="003B6BF5"/>
    <w:rsid w:val="003C0BD4"/>
    <w:rsid w:val="003C3727"/>
    <w:rsid w:val="003C3F3A"/>
    <w:rsid w:val="003D2AFF"/>
    <w:rsid w:val="003D338B"/>
    <w:rsid w:val="003D417C"/>
    <w:rsid w:val="003D4253"/>
    <w:rsid w:val="003D6D68"/>
    <w:rsid w:val="003E17A7"/>
    <w:rsid w:val="003E42F8"/>
    <w:rsid w:val="003E49F1"/>
    <w:rsid w:val="003E57A7"/>
    <w:rsid w:val="003E6062"/>
    <w:rsid w:val="003F0D93"/>
    <w:rsid w:val="003F21D8"/>
    <w:rsid w:val="00400F64"/>
    <w:rsid w:val="00401BE2"/>
    <w:rsid w:val="004025C8"/>
    <w:rsid w:val="00406CC2"/>
    <w:rsid w:val="00410896"/>
    <w:rsid w:val="00412837"/>
    <w:rsid w:val="004174B6"/>
    <w:rsid w:val="00417965"/>
    <w:rsid w:val="00420261"/>
    <w:rsid w:val="00420BAE"/>
    <w:rsid w:val="00420EA4"/>
    <w:rsid w:val="00423B8E"/>
    <w:rsid w:val="00426306"/>
    <w:rsid w:val="0042691A"/>
    <w:rsid w:val="00426E38"/>
    <w:rsid w:val="00427125"/>
    <w:rsid w:val="00431C05"/>
    <w:rsid w:val="00433982"/>
    <w:rsid w:val="00436E58"/>
    <w:rsid w:val="00437525"/>
    <w:rsid w:val="0043768D"/>
    <w:rsid w:val="004428EF"/>
    <w:rsid w:val="00442FCD"/>
    <w:rsid w:val="00443473"/>
    <w:rsid w:val="004474B5"/>
    <w:rsid w:val="00451972"/>
    <w:rsid w:val="00452A50"/>
    <w:rsid w:val="00456295"/>
    <w:rsid w:val="00457916"/>
    <w:rsid w:val="004616B9"/>
    <w:rsid w:val="00464230"/>
    <w:rsid w:val="004737CD"/>
    <w:rsid w:val="00474951"/>
    <w:rsid w:val="00474CAC"/>
    <w:rsid w:val="004761DB"/>
    <w:rsid w:val="004777C4"/>
    <w:rsid w:val="00494ABB"/>
    <w:rsid w:val="00497F0A"/>
    <w:rsid w:val="004A1819"/>
    <w:rsid w:val="004B48F1"/>
    <w:rsid w:val="004C1093"/>
    <w:rsid w:val="004C1DDF"/>
    <w:rsid w:val="004C46A8"/>
    <w:rsid w:val="004C6830"/>
    <w:rsid w:val="004D2B30"/>
    <w:rsid w:val="004D2C75"/>
    <w:rsid w:val="004D6CF6"/>
    <w:rsid w:val="004E56A6"/>
    <w:rsid w:val="004F440E"/>
    <w:rsid w:val="004F7505"/>
    <w:rsid w:val="004F761D"/>
    <w:rsid w:val="005007C7"/>
    <w:rsid w:val="005008BE"/>
    <w:rsid w:val="00504E19"/>
    <w:rsid w:val="005068D4"/>
    <w:rsid w:val="005072A3"/>
    <w:rsid w:val="00511912"/>
    <w:rsid w:val="00511F70"/>
    <w:rsid w:val="00515402"/>
    <w:rsid w:val="00520B26"/>
    <w:rsid w:val="00521C7D"/>
    <w:rsid w:val="0052440C"/>
    <w:rsid w:val="00531203"/>
    <w:rsid w:val="00531934"/>
    <w:rsid w:val="005364A6"/>
    <w:rsid w:val="00536531"/>
    <w:rsid w:val="005376C1"/>
    <w:rsid w:val="005419DC"/>
    <w:rsid w:val="005471B4"/>
    <w:rsid w:val="00556B28"/>
    <w:rsid w:val="00557C5A"/>
    <w:rsid w:val="005619A9"/>
    <w:rsid w:val="005637BE"/>
    <w:rsid w:val="00564468"/>
    <w:rsid w:val="005705A3"/>
    <w:rsid w:val="00570B65"/>
    <w:rsid w:val="00570CDE"/>
    <w:rsid w:val="00572AFA"/>
    <w:rsid w:val="00582203"/>
    <w:rsid w:val="00582660"/>
    <w:rsid w:val="00586497"/>
    <w:rsid w:val="005A17D0"/>
    <w:rsid w:val="005A49F7"/>
    <w:rsid w:val="005A5E67"/>
    <w:rsid w:val="005B0071"/>
    <w:rsid w:val="005B73B0"/>
    <w:rsid w:val="005C2093"/>
    <w:rsid w:val="005C2E33"/>
    <w:rsid w:val="005C612D"/>
    <w:rsid w:val="005C7C7F"/>
    <w:rsid w:val="005D3364"/>
    <w:rsid w:val="005D60C3"/>
    <w:rsid w:val="005E249D"/>
    <w:rsid w:val="005E5BE8"/>
    <w:rsid w:val="005F3353"/>
    <w:rsid w:val="00602FBB"/>
    <w:rsid w:val="006155D6"/>
    <w:rsid w:val="00616D91"/>
    <w:rsid w:val="00617F23"/>
    <w:rsid w:val="006203A1"/>
    <w:rsid w:val="006238DB"/>
    <w:rsid w:val="00623D6C"/>
    <w:rsid w:val="006266D3"/>
    <w:rsid w:val="006342A2"/>
    <w:rsid w:val="0064140B"/>
    <w:rsid w:val="00641D7E"/>
    <w:rsid w:val="00642F4D"/>
    <w:rsid w:val="00652ECE"/>
    <w:rsid w:val="006543F7"/>
    <w:rsid w:val="00663750"/>
    <w:rsid w:val="0066518D"/>
    <w:rsid w:val="006740A6"/>
    <w:rsid w:val="00674F64"/>
    <w:rsid w:val="006752B0"/>
    <w:rsid w:val="00676485"/>
    <w:rsid w:val="006772F3"/>
    <w:rsid w:val="00680F4C"/>
    <w:rsid w:val="00681E06"/>
    <w:rsid w:val="00682175"/>
    <w:rsid w:val="00683FCC"/>
    <w:rsid w:val="0068532B"/>
    <w:rsid w:val="00685691"/>
    <w:rsid w:val="006869FB"/>
    <w:rsid w:val="00686DCD"/>
    <w:rsid w:val="00695EDA"/>
    <w:rsid w:val="006A04BF"/>
    <w:rsid w:val="006A0C56"/>
    <w:rsid w:val="006A3532"/>
    <w:rsid w:val="006A38FB"/>
    <w:rsid w:val="006A67B8"/>
    <w:rsid w:val="006B3B06"/>
    <w:rsid w:val="006B4075"/>
    <w:rsid w:val="006B60B3"/>
    <w:rsid w:val="006C0112"/>
    <w:rsid w:val="006C3C20"/>
    <w:rsid w:val="006D13FB"/>
    <w:rsid w:val="006D1C29"/>
    <w:rsid w:val="006D437A"/>
    <w:rsid w:val="006D5A96"/>
    <w:rsid w:val="006D6363"/>
    <w:rsid w:val="006D776F"/>
    <w:rsid w:val="006D7884"/>
    <w:rsid w:val="006D7EC4"/>
    <w:rsid w:val="006E520F"/>
    <w:rsid w:val="006E6810"/>
    <w:rsid w:val="006E6933"/>
    <w:rsid w:val="006F0789"/>
    <w:rsid w:val="006F58BB"/>
    <w:rsid w:val="006F74D1"/>
    <w:rsid w:val="0070179C"/>
    <w:rsid w:val="00701ABB"/>
    <w:rsid w:val="00704070"/>
    <w:rsid w:val="00704E0F"/>
    <w:rsid w:val="0071248A"/>
    <w:rsid w:val="007131C1"/>
    <w:rsid w:val="007144F4"/>
    <w:rsid w:val="00721EAF"/>
    <w:rsid w:val="00723FCC"/>
    <w:rsid w:val="007264D6"/>
    <w:rsid w:val="007278F3"/>
    <w:rsid w:val="00734725"/>
    <w:rsid w:val="0073533F"/>
    <w:rsid w:val="007353A1"/>
    <w:rsid w:val="00736516"/>
    <w:rsid w:val="0074220F"/>
    <w:rsid w:val="0074459A"/>
    <w:rsid w:val="00745601"/>
    <w:rsid w:val="00747540"/>
    <w:rsid w:val="00747638"/>
    <w:rsid w:val="00753D0B"/>
    <w:rsid w:val="007562A0"/>
    <w:rsid w:val="00760C54"/>
    <w:rsid w:val="00765089"/>
    <w:rsid w:val="007667DE"/>
    <w:rsid w:val="00773424"/>
    <w:rsid w:val="00773AF6"/>
    <w:rsid w:val="00774A94"/>
    <w:rsid w:val="00783769"/>
    <w:rsid w:val="00785E3F"/>
    <w:rsid w:val="00786288"/>
    <w:rsid w:val="00790AE8"/>
    <w:rsid w:val="007930FB"/>
    <w:rsid w:val="00794678"/>
    <w:rsid w:val="00797835"/>
    <w:rsid w:val="007A04B6"/>
    <w:rsid w:val="007A07CF"/>
    <w:rsid w:val="007A544F"/>
    <w:rsid w:val="007A7E3D"/>
    <w:rsid w:val="007B1D9D"/>
    <w:rsid w:val="007B6442"/>
    <w:rsid w:val="007C1FAB"/>
    <w:rsid w:val="007C5416"/>
    <w:rsid w:val="007D4122"/>
    <w:rsid w:val="007D737F"/>
    <w:rsid w:val="007E0BB7"/>
    <w:rsid w:val="007E76E9"/>
    <w:rsid w:val="007E7A77"/>
    <w:rsid w:val="007F0C79"/>
    <w:rsid w:val="007F0DB3"/>
    <w:rsid w:val="007F4603"/>
    <w:rsid w:val="007F5B97"/>
    <w:rsid w:val="007F6BC2"/>
    <w:rsid w:val="00803FF1"/>
    <w:rsid w:val="008043B1"/>
    <w:rsid w:val="00804546"/>
    <w:rsid w:val="00805F63"/>
    <w:rsid w:val="00814D65"/>
    <w:rsid w:val="00824867"/>
    <w:rsid w:val="008321BB"/>
    <w:rsid w:val="00841A4D"/>
    <w:rsid w:val="00845032"/>
    <w:rsid w:val="008451A9"/>
    <w:rsid w:val="00845A29"/>
    <w:rsid w:val="0085157B"/>
    <w:rsid w:val="008524DE"/>
    <w:rsid w:val="0085455C"/>
    <w:rsid w:val="00862783"/>
    <w:rsid w:val="00866F4B"/>
    <w:rsid w:val="00867B20"/>
    <w:rsid w:val="00870184"/>
    <w:rsid w:val="00873C92"/>
    <w:rsid w:val="00880AFE"/>
    <w:rsid w:val="008963A3"/>
    <w:rsid w:val="008967BD"/>
    <w:rsid w:val="0089702B"/>
    <w:rsid w:val="008A211B"/>
    <w:rsid w:val="008A30FC"/>
    <w:rsid w:val="008A42F0"/>
    <w:rsid w:val="008B4C9C"/>
    <w:rsid w:val="008B5D8F"/>
    <w:rsid w:val="008C1B16"/>
    <w:rsid w:val="008C5281"/>
    <w:rsid w:val="008C6F5A"/>
    <w:rsid w:val="008D3AE1"/>
    <w:rsid w:val="008D46DC"/>
    <w:rsid w:val="008E07AF"/>
    <w:rsid w:val="008E23FA"/>
    <w:rsid w:val="008E7831"/>
    <w:rsid w:val="008E7AF9"/>
    <w:rsid w:val="008F3DAB"/>
    <w:rsid w:val="008F7828"/>
    <w:rsid w:val="0090273B"/>
    <w:rsid w:val="00904F4F"/>
    <w:rsid w:val="00910FD0"/>
    <w:rsid w:val="00914495"/>
    <w:rsid w:val="00916180"/>
    <w:rsid w:val="009178BF"/>
    <w:rsid w:val="00922BC1"/>
    <w:rsid w:val="00923A60"/>
    <w:rsid w:val="0093204F"/>
    <w:rsid w:val="0093287A"/>
    <w:rsid w:val="0093289D"/>
    <w:rsid w:val="00935DEA"/>
    <w:rsid w:val="00937797"/>
    <w:rsid w:val="009479E9"/>
    <w:rsid w:val="00953793"/>
    <w:rsid w:val="00953BFB"/>
    <w:rsid w:val="00954EE3"/>
    <w:rsid w:val="009569CB"/>
    <w:rsid w:val="00962C94"/>
    <w:rsid w:val="0096505C"/>
    <w:rsid w:val="00965F6D"/>
    <w:rsid w:val="00966513"/>
    <w:rsid w:val="00967B02"/>
    <w:rsid w:val="009821A5"/>
    <w:rsid w:val="009831DA"/>
    <w:rsid w:val="00983201"/>
    <w:rsid w:val="00984C06"/>
    <w:rsid w:val="00991E1B"/>
    <w:rsid w:val="009932D7"/>
    <w:rsid w:val="00996967"/>
    <w:rsid w:val="009B074E"/>
    <w:rsid w:val="009B0D42"/>
    <w:rsid w:val="009B2D1F"/>
    <w:rsid w:val="009B52C5"/>
    <w:rsid w:val="009B6478"/>
    <w:rsid w:val="009B7967"/>
    <w:rsid w:val="009C0281"/>
    <w:rsid w:val="009C1442"/>
    <w:rsid w:val="009C2C85"/>
    <w:rsid w:val="009D3EDC"/>
    <w:rsid w:val="009D516A"/>
    <w:rsid w:val="009D7B25"/>
    <w:rsid w:val="009F0949"/>
    <w:rsid w:val="009F3873"/>
    <w:rsid w:val="009F6BF6"/>
    <w:rsid w:val="009F7788"/>
    <w:rsid w:val="00A0230D"/>
    <w:rsid w:val="00A1179B"/>
    <w:rsid w:val="00A162B6"/>
    <w:rsid w:val="00A21818"/>
    <w:rsid w:val="00A2537D"/>
    <w:rsid w:val="00A30CF6"/>
    <w:rsid w:val="00A320FC"/>
    <w:rsid w:val="00A40374"/>
    <w:rsid w:val="00A43A01"/>
    <w:rsid w:val="00A44D23"/>
    <w:rsid w:val="00A4609E"/>
    <w:rsid w:val="00A56495"/>
    <w:rsid w:val="00A60EB3"/>
    <w:rsid w:val="00A621A7"/>
    <w:rsid w:val="00A62CB5"/>
    <w:rsid w:val="00A6345F"/>
    <w:rsid w:val="00A77DA2"/>
    <w:rsid w:val="00A816B5"/>
    <w:rsid w:val="00A91D24"/>
    <w:rsid w:val="00AA2C48"/>
    <w:rsid w:val="00AA3E93"/>
    <w:rsid w:val="00AA69A8"/>
    <w:rsid w:val="00AB3C53"/>
    <w:rsid w:val="00AC06A0"/>
    <w:rsid w:val="00AC32AF"/>
    <w:rsid w:val="00AC3845"/>
    <w:rsid w:val="00AC3A6C"/>
    <w:rsid w:val="00AC613A"/>
    <w:rsid w:val="00AC76BD"/>
    <w:rsid w:val="00AD5649"/>
    <w:rsid w:val="00AD5A96"/>
    <w:rsid w:val="00AE34AA"/>
    <w:rsid w:val="00AE6EAA"/>
    <w:rsid w:val="00AF022A"/>
    <w:rsid w:val="00B0386D"/>
    <w:rsid w:val="00B0577E"/>
    <w:rsid w:val="00B072CD"/>
    <w:rsid w:val="00B10292"/>
    <w:rsid w:val="00B12F26"/>
    <w:rsid w:val="00B16C1E"/>
    <w:rsid w:val="00B2520C"/>
    <w:rsid w:val="00B31E20"/>
    <w:rsid w:val="00B34842"/>
    <w:rsid w:val="00B365E5"/>
    <w:rsid w:val="00B44DE8"/>
    <w:rsid w:val="00B45E7D"/>
    <w:rsid w:val="00B46050"/>
    <w:rsid w:val="00B46C18"/>
    <w:rsid w:val="00B4719F"/>
    <w:rsid w:val="00B4748C"/>
    <w:rsid w:val="00B56E3B"/>
    <w:rsid w:val="00B61C4E"/>
    <w:rsid w:val="00B625FA"/>
    <w:rsid w:val="00B725D6"/>
    <w:rsid w:val="00B869EB"/>
    <w:rsid w:val="00B875E1"/>
    <w:rsid w:val="00B91C2B"/>
    <w:rsid w:val="00B91EB7"/>
    <w:rsid w:val="00BA3027"/>
    <w:rsid w:val="00BA5C6F"/>
    <w:rsid w:val="00BA5E55"/>
    <w:rsid w:val="00BB1A90"/>
    <w:rsid w:val="00BC6EED"/>
    <w:rsid w:val="00BD182B"/>
    <w:rsid w:val="00BD7690"/>
    <w:rsid w:val="00BE18D3"/>
    <w:rsid w:val="00BE272D"/>
    <w:rsid w:val="00BE5172"/>
    <w:rsid w:val="00BF0B83"/>
    <w:rsid w:val="00BF42C1"/>
    <w:rsid w:val="00BF4D51"/>
    <w:rsid w:val="00BF6015"/>
    <w:rsid w:val="00C02A81"/>
    <w:rsid w:val="00C03C9E"/>
    <w:rsid w:val="00C07CE4"/>
    <w:rsid w:val="00C10039"/>
    <w:rsid w:val="00C11386"/>
    <w:rsid w:val="00C11CF8"/>
    <w:rsid w:val="00C11F19"/>
    <w:rsid w:val="00C16A44"/>
    <w:rsid w:val="00C17757"/>
    <w:rsid w:val="00C2072F"/>
    <w:rsid w:val="00C30915"/>
    <w:rsid w:val="00C30DDD"/>
    <w:rsid w:val="00C357A6"/>
    <w:rsid w:val="00C35A2B"/>
    <w:rsid w:val="00C4281F"/>
    <w:rsid w:val="00C50C7E"/>
    <w:rsid w:val="00C56A27"/>
    <w:rsid w:val="00C570E6"/>
    <w:rsid w:val="00C57AD6"/>
    <w:rsid w:val="00C61627"/>
    <w:rsid w:val="00C6176F"/>
    <w:rsid w:val="00C622A8"/>
    <w:rsid w:val="00C67840"/>
    <w:rsid w:val="00C709EB"/>
    <w:rsid w:val="00C75CC3"/>
    <w:rsid w:val="00C80D0B"/>
    <w:rsid w:val="00C87B74"/>
    <w:rsid w:val="00C90DED"/>
    <w:rsid w:val="00C91005"/>
    <w:rsid w:val="00C925E6"/>
    <w:rsid w:val="00C95261"/>
    <w:rsid w:val="00C973DA"/>
    <w:rsid w:val="00CA0344"/>
    <w:rsid w:val="00CA12BC"/>
    <w:rsid w:val="00CA2C03"/>
    <w:rsid w:val="00CA2E04"/>
    <w:rsid w:val="00CA714D"/>
    <w:rsid w:val="00CB3ED2"/>
    <w:rsid w:val="00CB6B48"/>
    <w:rsid w:val="00CB7D6E"/>
    <w:rsid w:val="00CC0A47"/>
    <w:rsid w:val="00CC13E3"/>
    <w:rsid w:val="00CD29AB"/>
    <w:rsid w:val="00CD3438"/>
    <w:rsid w:val="00CD7E30"/>
    <w:rsid w:val="00CE1B9B"/>
    <w:rsid w:val="00CE3945"/>
    <w:rsid w:val="00CE48A5"/>
    <w:rsid w:val="00CE6968"/>
    <w:rsid w:val="00CE753D"/>
    <w:rsid w:val="00CE7ED7"/>
    <w:rsid w:val="00CF135B"/>
    <w:rsid w:val="00CF15AA"/>
    <w:rsid w:val="00CF182B"/>
    <w:rsid w:val="00CF6C45"/>
    <w:rsid w:val="00D036B6"/>
    <w:rsid w:val="00D03AA0"/>
    <w:rsid w:val="00D0734B"/>
    <w:rsid w:val="00D11B34"/>
    <w:rsid w:val="00D156E3"/>
    <w:rsid w:val="00D22D43"/>
    <w:rsid w:val="00D24777"/>
    <w:rsid w:val="00D33A93"/>
    <w:rsid w:val="00D4184A"/>
    <w:rsid w:val="00D46734"/>
    <w:rsid w:val="00D50782"/>
    <w:rsid w:val="00D5084F"/>
    <w:rsid w:val="00D53B87"/>
    <w:rsid w:val="00D5423F"/>
    <w:rsid w:val="00D6183E"/>
    <w:rsid w:val="00D63AA7"/>
    <w:rsid w:val="00D64913"/>
    <w:rsid w:val="00D64F30"/>
    <w:rsid w:val="00D7524C"/>
    <w:rsid w:val="00D75350"/>
    <w:rsid w:val="00D7590C"/>
    <w:rsid w:val="00D76155"/>
    <w:rsid w:val="00D76DEC"/>
    <w:rsid w:val="00D80987"/>
    <w:rsid w:val="00D81987"/>
    <w:rsid w:val="00D86728"/>
    <w:rsid w:val="00DA1C90"/>
    <w:rsid w:val="00DA2B02"/>
    <w:rsid w:val="00DA3592"/>
    <w:rsid w:val="00DA5AE3"/>
    <w:rsid w:val="00DA7D92"/>
    <w:rsid w:val="00DB2C0F"/>
    <w:rsid w:val="00DB4D0E"/>
    <w:rsid w:val="00DB5048"/>
    <w:rsid w:val="00DB6139"/>
    <w:rsid w:val="00DB7E14"/>
    <w:rsid w:val="00DC161D"/>
    <w:rsid w:val="00DD0BF7"/>
    <w:rsid w:val="00DD2FD2"/>
    <w:rsid w:val="00DD5725"/>
    <w:rsid w:val="00DD5F94"/>
    <w:rsid w:val="00DE1986"/>
    <w:rsid w:val="00DE1C20"/>
    <w:rsid w:val="00DE6012"/>
    <w:rsid w:val="00DF4603"/>
    <w:rsid w:val="00E05CA5"/>
    <w:rsid w:val="00E068C9"/>
    <w:rsid w:val="00E203FD"/>
    <w:rsid w:val="00E212EC"/>
    <w:rsid w:val="00E220A5"/>
    <w:rsid w:val="00E30B64"/>
    <w:rsid w:val="00E31999"/>
    <w:rsid w:val="00E363DD"/>
    <w:rsid w:val="00E3690A"/>
    <w:rsid w:val="00E45249"/>
    <w:rsid w:val="00E454B2"/>
    <w:rsid w:val="00E4599E"/>
    <w:rsid w:val="00E45EAF"/>
    <w:rsid w:val="00E45F0C"/>
    <w:rsid w:val="00E46B0D"/>
    <w:rsid w:val="00E515CB"/>
    <w:rsid w:val="00E55EAE"/>
    <w:rsid w:val="00E574B0"/>
    <w:rsid w:val="00E60D8C"/>
    <w:rsid w:val="00E764C0"/>
    <w:rsid w:val="00E77391"/>
    <w:rsid w:val="00E7791C"/>
    <w:rsid w:val="00E8271A"/>
    <w:rsid w:val="00E832E1"/>
    <w:rsid w:val="00E872E8"/>
    <w:rsid w:val="00E87ABB"/>
    <w:rsid w:val="00E92F96"/>
    <w:rsid w:val="00E931BE"/>
    <w:rsid w:val="00E962CC"/>
    <w:rsid w:val="00E97DEB"/>
    <w:rsid w:val="00EA0575"/>
    <w:rsid w:val="00EA149A"/>
    <w:rsid w:val="00EA2F81"/>
    <w:rsid w:val="00EA5EC8"/>
    <w:rsid w:val="00EA62D5"/>
    <w:rsid w:val="00EA6715"/>
    <w:rsid w:val="00EB1CD2"/>
    <w:rsid w:val="00EC0C41"/>
    <w:rsid w:val="00EC5734"/>
    <w:rsid w:val="00ED064B"/>
    <w:rsid w:val="00ED08A1"/>
    <w:rsid w:val="00ED26C0"/>
    <w:rsid w:val="00EE0289"/>
    <w:rsid w:val="00EE3005"/>
    <w:rsid w:val="00EE42D4"/>
    <w:rsid w:val="00EE4F65"/>
    <w:rsid w:val="00EE54FC"/>
    <w:rsid w:val="00EE6B13"/>
    <w:rsid w:val="00EF0C7D"/>
    <w:rsid w:val="00EF459B"/>
    <w:rsid w:val="00EF662D"/>
    <w:rsid w:val="00EF79D6"/>
    <w:rsid w:val="00F06CD4"/>
    <w:rsid w:val="00F10611"/>
    <w:rsid w:val="00F11C6D"/>
    <w:rsid w:val="00F12BFB"/>
    <w:rsid w:val="00F14C38"/>
    <w:rsid w:val="00F16657"/>
    <w:rsid w:val="00F220EC"/>
    <w:rsid w:val="00F25BB6"/>
    <w:rsid w:val="00F264F1"/>
    <w:rsid w:val="00F26503"/>
    <w:rsid w:val="00F30142"/>
    <w:rsid w:val="00F3270D"/>
    <w:rsid w:val="00F47591"/>
    <w:rsid w:val="00F52329"/>
    <w:rsid w:val="00F53789"/>
    <w:rsid w:val="00F55304"/>
    <w:rsid w:val="00F60F70"/>
    <w:rsid w:val="00F65E04"/>
    <w:rsid w:val="00F71119"/>
    <w:rsid w:val="00F77982"/>
    <w:rsid w:val="00F80233"/>
    <w:rsid w:val="00F83463"/>
    <w:rsid w:val="00F876A3"/>
    <w:rsid w:val="00F924CD"/>
    <w:rsid w:val="00F9317B"/>
    <w:rsid w:val="00F96C77"/>
    <w:rsid w:val="00F97645"/>
    <w:rsid w:val="00FA2174"/>
    <w:rsid w:val="00FA5DB8"/>
    <w:rsid w:val="00FB04D5"/>
    <w:rsid w:val="00FB3A77"/>
    <w:rsid w:val="00FB6A82"/>
    <w:rsid w:val="00FB6BDF"/>
    <w:rsid w:val="00FB6ED8"/>
    <w:rsid w:val="00FC2AEE"/>
    <w:rsid w:val="00FC46FE"/>
    <w:rsid w:val="00FD04B1"/>
    <w:rsid w:val="00FD1171"/>
    <w:rsid w:val="00FD39B6"/>
    <w:rsid w:val="00FD656B"/>
    <w:rsid w:val="00FE434B"/>
    <w:rsid w:val="00FE7BD1"/>
    <w:rsid w:val="00FF0D64"/>
    <w:rsid w:val="00FF46BD"/>
    <w:rsid w:val="00FF514D"/>
    <w:rsid w:val="00FF5938"/>
    <w:rsid w:val="00FF5B89"/>
    <w:rsid w:val="00FF6EAF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BD24CBC3-EE8E-41C0-9381-0C6542AA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pPr>
      <w:keepNext/>
      <w:ind w:left="2835" w:right="283" w:hanging="2835"/>
      <w:jc w:val="both"/>
      <w:outlineLvl w:val="2"/>
    </w:pPr>
    <w:rPr>
      <w:rFonts w:ascii="Garamond" w:hAnsi="Garamond"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Bookman" w:hAnsi="Bookman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link w:val="ZkladntextChar"/>
    <w:pPr>
      <w:jc w:val="both"/>
    </w:pPr>
    <w:rPr>
      <w:rFonts w:ascii="Garamond" w:hAnsi="Garamond"/>
      <w:szCs w:val="20"/>
    </w:rPr>
  </w:style>
  <w:style w:type="paragraph" w:styleId="Seznam">
    <w:name w:val="List"/>
    <w:basedOn w:val="Normln"/>
    <w:pPr>
      <w:ind w:left="283" w:hanging="283"/>
    </w:pPr>
    <w:rPr>
      <w:sz w:val="20"/>
      <w:szCs w:val="20"/>
    </w:rPr>
  </w:style>
  <w:style w:type="paragraph" w:styleId="Seznam2">
    <w:name w:val="List 2"/>
    <w:basedOn w:val="Normln"/>
    <w:pPr>
      <w:ind w:left="566" w:hanging="283"/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paragraph" w:styleId="Textbubliny">
    <w:name w:val="Balloon Text"/>
    <w:basedOn w:val="Normln"/>
    <w:semiHidden/>
    <w:rsid w:val="000E12C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244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3225B2"/>
    <w:rPr>
      <w:sz w:val="16"/>
      <w:szCs w:val="16"/>
    </w:rPr>
  </w:style>
  <w:style w:type="paragraph" w:styleId="Textkomente">
    <w:name w:val="annotation text"/>
    <w:basedOn w:val="Normln"/>
    <w:semiHidden/>
    <w:rsid w:val="003225B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225B2"/>
    <w:rPr>
      <w:b/>
      <w:bCs/>
    </w:rPr>
  </w:style>
  <w:style w:type="paragraph" w:styleId="Zkladntextodsazen2">
    <w:name w:val="Body Text Indent 2"/>
    <w:basedOn w:val="Normln"/>
    <w:rsid w:val="003225B2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uiPriority w:val="99"/>
    <w:rsid w:val="008E7AF9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C17757"/>
    <w:pPr>
      <w:ind w:left="708"/>
    </w:pPr>
  </w:style>
  <w:style w:type="character" w:customStyle="1" w:styleId="ZkladntextChar">
    <w:name w:val="Základní text Char"/>
    <w:link w:val="Zkladntext"/>
    <w:rsid w:val="00CC0A47"/>
    <w:rPr>
      <w:rFonts w:ascii="Garamond" w:hAnsi="Garamond"/>
      <w:sz w:val="24"/>
    </w:rPr>
  </w:style>
  <w:style w:type="character" w:styleId="Hypertextovodkaz">
    <w:name w:val="Hyperlink"/>
    <w:uiPriority w:val="99"/>
    <w:rsid w:val="00D64913"/>
    <w:rPr>
      <w:color w:val="0000FF"/>
      <w:u w:val="single"/>
    </w:rPr>
  </w:style>
  <w:style w:type="paragraph" w:customStyle="1" w:styleId="Standard">
    <w:name w:val="Standard"/>
    <w:rsid w:val="0017676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17676D"/>
    <w:rPr>
      <w:b/>
      <w:bCs/>
      <w:sz w:val="40"/>
    </w:rPr>
  </w:style>
  <w:style w:type="character" w:styleId="Sledovanodkaz">
    <w:name w:val="FollowedHyperlink"/>
    <w:rsid w:val="00406CC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570B6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570B65"/>
  </w:style>
  <w:style w:type="table" w:styleId="Mkatabulky">
    <w:name w:val="Table Grid"/>
    <w:basedOn w:val="Normlntabulka"/>
    <w:rsid w:val="0037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rsid w:val="00497F0A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937797"/>
  </w:style>
  <w:style w:type="character" w:customStyle="1" w:styleId="Nadpis3Char">
    <w:name w:val="Nadpis 3 Char"/>
    <w:link w:val="Nadpis3"/>
    <w:rsid w:val="00C35A2B"/>
    <w:rPr>
      <w:rFonts w:ascii="Garamond" w:hAnsi="Garamond"/>
      <w:sz w:val="24"/>
    </w:rPr>
  </w:style>
  <w:style w:type="paragraph" w:customStyle="1" w:styleId="Zkladntext21">
    <w:name w:val="Základní text 21"/>
    <w:basedOn w:val="Normln"/>
    <w:rsid w:val="00504E19"/>
    <w:pPr>
      <w:ind w:left="426" w:hanging="568"/>
      <w:jc w:val="both"/>
    </w:pPr>
    <w:rPr>
      <w:rFonts w:ascii="TimesE" w:hAnsi="TimesE"/>
      <w:color w:val="00000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90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eu-central-1.amazonaws.com/tf-prod-plzen/data/folders/7n2ajv0f9q/88j96vd3s3/g8c8yztlo7/240702_zavazne_pokyny_podminky_pro_zadatele_o_dotace.pdf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A7EF6-AD93-4C70-9D54-FBBF766B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1296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</Company>
  <LinksUpToDate>false</LinksUpToDate>
  <CharactersWithSpaces>9328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http://www.plzen.eu/</vt:lpwstr>
      </vt:variant>
      <vt:variant>
        <vt:lpwstr/>
      </vt:variant>
      <vt:variant>
        <vt:i4>7864418</vt:i4>
      </vt:variant>
      <vt:variant>
        <vt:i4>0</vt:i4>
      </vt:variant>
      <vt:variant>
        <vt:i4>0</vt:i4>
      </vt:variant>
      <vt:variant>
        <vt:i4>5</vt:i4>
      </vt:variant>
      <vt:variant>
        <vt:lpwstr>https://www.plzen.eu/Files/MestoPlzen/web2018_obcan/urad/granty_dotace/221125_Dotace_Zavazne_pokyny_podminky_pro_zadatele.docx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thierlova</dc:creator>
  <cp:keywords/>
  <cp:lastModifiedBy>Jánošíková Dáša</cp:lastModifiedBy>
  <cp:revision>13</cp:revision>
  <cp:lastPrinted>2025-12-03T09:42:00Z</cp:lastPrinted>
  <dcterms:created xsi:type="dcterms:W3CDTF">2024-11-25T08:45:00Z</dcterms:created>
  <dcterms:modified xsi:type="dcterms:W3CDTF">2025-12-09T07:13:00Z</dcterms:modified>
</cp:coreProperties>
</file>