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3B1F" w14:textId="77777777" w:rsidR="00A1635E" w:rsidRDefault="00000000">
      <w:pPr>
        <w:pStyle w:val="Nadpis3"/>
        <w:spacing w:before="77"/>
      </w:pPr>
      <w:r>
        <w:t xml:space="preserve">DODATEK Č. </w:t>
      </w:r>
      <w:proofErr w:type="gramStart"/>
      <w:r>
        <w:t>1</w:t>
      </w:r>
      <w:proofErr w:type="gramEnd"/>
    </w:p>
    <w:p w14:paraId="1757E0FE" w14:textId="77777777" w:rsidR="00A1635E" w:rsidRDefault="00000000">
      <w:pPr>
        <w:ind w:left="2294" w:right="2536"/>
        <w:jc w:val="center"/>
        <w:rPr>
          <w:b/>
          <w:sz w:val="20"/>
        </w:rPr>
      </w:pPr>
      <w:r>
        <w:rPr>
          <w:b/>
          <w:sz w:val="20"/>
        </w:rPr>
        <w:t>KE SMLOUVĚ O ÚČASTI NA ŘEŠENÍ PROJEKTU,</w:t>
      </w:r>
    </w:p>
    <w:p w14:paraId="215F23C0" w14:textId="77777777" w:rsidR="00A1635E" w:rsidRDefault="00A1635E">
      <w:pPr>
        <w:pStyle w:val="Zkladntext"/>
        <w:spacing w:before="11"/>
        <w:rPr>
          <w:b/>
          <w:sz w:val="11"/>
        </w:rPr>
      </w:pPr>
    </w:p>
    <w:p w14:paraId="59EB4E6C" w14:textId="77777777" w:rsidR="00A1635E" w:rsidRDefault="00000000">
      <w:pPr>
        <w:pStyle w:val="Zkladntext"/>
        <w:spacing w:before="93"/>
        <w:ind w:left="115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2C5EA0" w14:textId="77777777" w:rsidR="00A1635E" w:rsidRDefault="00A1635E">
      <w:pPr>
        <w:pStyle w:val="Zkladntext"/>
        <w:spacing w:before="9"/>
        <w:rPr>
          <w:sz w:val="19"/>
        </w:rPr>
      </w:pPr>
    </w:p>
    <w:p w14:paraId="4836EE5A" w14:textId="77777777" w:rsidR="00A1635E" w:rsidRDefault="00000000">
      <w:pPr>
        <w:pStyle w:val="Nadpis3"/>
        <w:numPr>
          <w:ilvl w:val="0"/>
          <w:numId w:val="3"/>
        </w:numPr>
        <w:tabs>
          <w:tab w:val="left" w:pos="476"/>
        </w:tabs>
        <w:spacing w:before="1"/>
        <w:ind w:right="0" w:hanging="359"/>
      </w:pPr>
      <w:r>
        <w:t>ŠKODA DIGITAL</w:t>
      </w:r>
      <w:r>
        <w:rPr>
          <w:spacing w:val="-8"/>
        </w:rPr>
        <w:t xml:space="preserve"> </w:t>
      </w:r>
      <w:proofErr w:type="spellStart"/>
      <w:r>
        <w:t>s.r.o.</w:t>
      </w:r>
      <w:proofErr w:type="spellEnd"/>
    </w:p>
    <w:p w14:paraId="7E62BE72" w14:textId="77777777" w:rsidR="00A1635E" w:rsidRDefault="00000000">
      <w:pPr>
        <w:pStyle w:val="Zkladntext"/>
        <w:ind w:left="475"/>
      </w:pPr>
      <w:r>
        <w:t>IČO: 01731530</w:t>
      </w:r>
    </w:p>
    <w:p w14:paraId="2D310DC2" w14:textId="77777777" w:rsidR="00A1635E" w:rsidRDefault="00000000">
      <w:pPr>
        <w:pStyle w:val="Zkladntext"/>
        <w:ind w:left="475"/>
      </w:pPr>
      <w:proofErr w:type="spellStart"/>
      <w:r>
        <w:t>sídlo</w:t>
      </w:r>
      <w:proofErr w:type="spellEnd"/>
      <w:r>
        <w:t xml:space="preserve">: Na </w:t>
      </w:r>
      <w:proofErr w:type="spellStart"/>
      <w:r>
        <w:t>Rovince</w:t>
      </w:r>
      <w:proofErr w:type="spellEnd"/>
      <w:r>
        <w:t xml:space="preserve"> 874, 720 00, Ostrava – </w:t>
      </w:r>
      <w:proofErr w:type="spellStart"/>
      <w:r>
        <w:t>Hrabová</w:t>
      </w:r>
      <w:proofErr w:type="spellEnd"/>
    </w:p>
    <w:p w14:paraId="4DE98625" w14:textId="77777777" w:rsidR="00A1635E" w:rsidRDefault="00000000">
      <w:pPr>
        <w:pStyle w:val="Zkladntext"/>
        <w:ind w:left="475"/>
      </w:pPr>
      <w:proofErr w:type="spellStart"/>
      <w:r>
        <w:t>zastoupena</w:t>
      </w:r>
      <w:proofErr w:type="spellEnd"/>
      <w:r>
        <w:t xml:space="preserve">: Ing. Jiří Liberda, </w:t>
      </w:r>
      <w:proofErr w:type="spellStart"/>
      <w:r>
        <w:t>jednatel</w:t>
      </w:r>
      <w:proofErr w:type="spellEnd"/>
      <w:r>
        <w:t xml:space="preserve">, Ing. Jaromír Šilhánek, </w:t>
      </w:r>
      <w:proofErr w:type="spellStart"/>
      <w:r>
        <w:t>jednatel</w:t>
      </w:r>
      <w:proofErr w:type="spellEnd"/>
    </w:p>
    <w:p w14:paraId="12CC1BE6" w14:textId="77777777" w:rsidR="00A1635E" w:rsidRDefault="00000000">
      <w:pPr>
        <w:pStyle w:val="Zkladntext"/>
        <w:spacing w:line="229" w:lineRule="exact"/>
        <w:ind w:left="475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sp. </w:t>
      </w:r>
      <w:proofErr w:type="spellStart"/>
      <w:r>
        <w:t>zn</w:t>
      </w:r>
      <w:proofErr w:type="spellEnd"/>
      <w:r>
        <w:t>. C 58064</w:t>
      </w:r>
    </w:p>
    <w:p w14:paraId="3B5713F5" w14:textId="77777777" w:rsidR="00A1635E" w:rsidRDefault="00000000">
      <w:pPr>
        <w:pStyle w:val="Zkladntext"/>
        <w:ind w:left="476" w:right="3306" w:hanging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107-864 749 0297 /0100,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  <w:r>
        <w:t>)</w:t>
      </w:r>
    </w:p>
    <w:p w14:paraId="16A569D6" w14:textId="77777777" w:rsidR="00A1635E" w:rsidRDefault="00000000">
      <w:pPr>
        <w:pStyle w:val="Zkladntext"/>
        <w:spacing w:before="1"/>
        <w:ind w:left="116"/>
      </w:pPr>
      <w:r>
        <w:rPr>
          <w:w w:val="99"/>
        </w:rPr>
        <w:t>a</w:t>
      </w:r>
    </w:p>
    <w:p w14:paraId="62D9E353" w14:textId="77777777" w:rsidR="00A1635E" w:rsidRDefault="00000000">
      <w:pPr>
        <w:pStyle w:val="Nadpis3"/>
        <w:numPr>
          <w:ilvl w:val="0"/>
          <w:numId w:val="3"/>
        </w:numPr>
        <w:tabs>
          <w:tab w:val="left" w:pos="477"/>
        </w:tabs>
        <w:ind w:left="476" w:right="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6"/>
        </w:rPr>
        <w:t xml:space="preserve"> </w:t>
      </w:r>
      <w:proofErr w:type="spellStart"/>
      <w:r>
        <w:t>Plzni</w:t>
      </w:r>
      <w:proofErr w:type="spellEnd"/>
    </w:p>
    <w:p w14:paraId="5BF2C3EA" w14:textId="77777777" w:rsidR="00A1635E" w:rsidRDefault="00000000">
      <w:pPr>
        <w:pStyle w:val="Zkladntext"/>
        <w:ind w:left="476"/>
      </w:pPr>
      <w:r>
        <w:t>IČO: 49777513</w:t>
      </w:r>
    </w:p>
    <w:p w14:paraId="0B52BCE8" w14:textId="77777777" w:rsidR="00A1635E" w:rsidRDefault="00000000">
      <w:pPr>
        <w:pStyle w:val="Zkladntext"/>
        <w:spacing w:line="229" w:lineRule="exact"/>
        <w:ind w:left="47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0025BC0B" w14:textId="77777777" w:rsidR="00A1635E" w:rsidRDefault="00000000">
      <w:pPr>
        <w:pStyle w:val="Zkladntext"/>
        <w:ind w:left="476" w:right="540" w:hanging="1"/>
      </w:pPr>
      <w:proofErr w:type="spellStart"/>
      <w:r>
        <w:t>zastoupená</w:t>
      </w:r>
      <w:proofErr w:type="spellEnd"/>
      <w:r>
        <w:t xml:space="preserve">: doc. Ing. Jiří Hammerbauer,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111/1998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42ABA878" w14:textId="77777777" w:rsidR="00A1635E" w:rsidRDefault="00000000">
      <w:pPr>
        <w:pStyle w:val="Zkladntext"/>
        <w:spacing w:before="1"/>
        <w:ind w:left="47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č. </w:t>
      </w:r>
      <w:proofErr w:type="spellStart"/>
      <w:r>
        <w:t>účtu</w:t>
      </w:r>
      <w:proofErr w:type="spellEnd"/>
      <w:r>
        <w:t>: 4811530257/0100</w:t>
      </w:r>
    </w:p>
    <w:p w14:paraId="4E6ADF75" w14:textId="77777777" w:rsidR="00A1635E" w:rsidRDefault="00000000">
      <w:pPr>
        <w:pStyle w:val="Zkladntext"/>
        <w:ind w:left="543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proofErr w:type="gramStart"/>
      <w:r>
        <w:t>účastník</w:t>
      </w:r>
      <w:proofErr w:type="spellEnd"/>
      <w:r>
        <w:t>“</w:t>
      </w:r>
      <w:proofErr w:type="gramEnd"/>
      <w:r>
        <w:t>,</w:t>
      </w:r>
    </w:p>
    <w:p w14:paraId="750B67E3" w14:textId="77777777" w:rsidR="00A1635E" w:rsidRDefault="00A1635E">
      <w:pPr>
        <w:pStyle w:val="Zkladntext"/>
      </w:pPr>
    </w:p>
    <w:p w14:paraId="519D6E3E" w14:textId="77777777" w:rsidR="00A1635E" w:rsidRDefault="00000000">
      <w:pPr>
        <w:pStyle w:val="Zkladntext"/>
        <w:ind w:left="116" w:right="540" w:hanging="1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Dodatek</w:t>
      </w:r>
      <w:proofErr w:type="spellEnd"/>
      <w:r>
        <w:t>“</w:t>
      </w:r>
      <w:proofErr w:type="gramEnd"/>
      <w:r>
        <w:t>):</w:t>
      </w:r>
    </w:p>
    <w:p w14:paraId="1F9B2741" w14:textId="77777777" w:rsidR="00A1635E" w:rsidRDefault="00A1635E">
      <w:pPr>
        <w:pStyle w:val="Zkladntext"/>
      </w:pPr>
    </w:p>
    <w:p w14:paraId="1E3D9D37" w14:textId="77777777" w:rsidR="00A1635E" w:rsidRDefault="00000000">
      <w:pPr>
        <w:pStyle w:val="Zkladntext"/>
        <w:ind w:left="2294" w:right="2534"/>
        <w:jc w:val="center"/>
      </w:pPr>
      <w:proofErr w:type="spellStart"/>
      <w:r>
        <w:t>Čl</w:t>
      </w:r>
      <w:proofErr w:type="spellEnd"/>
      <w:r>
        <w:t>. I.</w:t>
      </w:r>
    </w:p>
    <w:p w14:paraId="3CC50E17" w14:textId="77777777" w:rsidR="00A1635E" w:rsidRDefault="00000000">
      <w:pPr>
        <w:pStyle w:val="Nadpis3"/>
        <w:ind w:left="2293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Dodatku</w:t>
      </w:r>
      <w:proofErr w:type="spellEnd"/>
    </w:p>
    <w:p w14:paraId="6EBA4A4A" w14:textId="77777777" w:rsidR="00A1635E" w:rsidRDefault="00A1635E">
      <w:pPr>
        <w:pStyle w:val="Zkladntext"/>
        <w:rPr>
          <w:b/>
        </w:rPr>
      </w:pPr>
    </w:p>
    <w:p w14:paraId="7BC0F316" w14:textId="77777777" w:rsidR="00A1635E" w:rsidRDefault="00000000">
      <w:pPr>
        <w:pStyle w:val="Odstavecseseznamem"/>
        <w:numPr>
          <w:ilvl w:val="0"/>
          <w:numId w:val="2"/>
        </w:numPr>
        <w:tabs>
          <w:tab w:val="left" w:pos="541"/>
        </w:tabs>
        <w:ind w:right="357" w:hanging="42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8</w:t>
      </w:r>
      <w:proofErr w:type="gramEnd"/>
      <w:r>
        <w:rPr>
          <w:sz w:val="20"/>
        </w:rPr>
        <w:t xml:space="preserve">. 10. 2025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účasti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s </w:t>
      </w:r>
      <w:proofErr w:type="spellStart"/>
      <w:proofErr w:type="gramStart"/>
      <w:r>
        <w:rPr>
          <w:sz w:val="20"/>
        </w:rPr>
        <w:t>názvem</w:t>
      </w:r>
      <w:proofErr w:type="spellEnd"/>
      <w:r>
        <w:rPr>
          <w:sz w:val="20"/>
        </w:rPr>
        <w:t xml:space="preserve">  "</w:t>
      </w:r>
      <w:proofErr w:type="gramEnd"/>
      <w:r>
        <w:rPr>
          <w:sz w:val="20"/>
        </w:rPr>
        <w:t xml:space="preserve">SafeRAIL - </w:t>
      </w:r>
      <w:proofErr w:type="spellStart"/>
      <w:r>
        <w:rPr>
          <w:sz w:val="20"/>
        </w:rPr>
        <w:t>Zvýšení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bezpečnosti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komfortu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cestujících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pomoci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umělé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inteligence</w:t>
      </w:r>
      <w:proofErr w:type="spellEnd"/>
      <w:r>
        <w:rPr>
          <w:sz w:val="20"/>
        </w:rPr>
        <w:t xml:space="preserve">", reg. č.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FY01010093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„</w:t>
      </w:r>
      <w:proofErr w:type="spellStart"/>
      <w:proofErr w:type="gramStart"/>
      <w:r>
        <w:rPr>
          <w:sz w:val="20"/>
        </w:rPr>
        <w:t>Smlouva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</w:p>
    <w:p w14:paraId="343A9D16" w14:textId="77777777" w:rsidR="00A1635E" w:rsidRDefault="00000000">
      <w:pPr>
        <w:pStyle w:val="Odstavecseseznamem"/>
        <w:numPr>
          <w:ilvl w:val="0"/>
          <w:numId w:val="2"/>
        </w:numPr>
        <w:tabs>
          <w:tab w:val="left" w:pos="543"/>
        </w:tabs>
        <w:spacing w:before="119"/>
        <w:ind w:right="357" w:hanging="424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doplňují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mu  </w:t>
      </w:r>
      <w:proofErr w:type="spellStart"/>
      <w:r>
        <w:rPr>
          <w:sz w:val="20"/>
        </w:rPr>
        <w:t>bude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Hlavním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podpora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takto</w:t>
      </w:r>
      <w:proofErr w:type="spellEnd"/>
      <w:r>
        <w:rPr>
          <w:sz w:val="20"/>
        </w:rPr>
        <w:t xml:space="preserve">: č.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: 4811530257/0100,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vedený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Komerční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banky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a.s.</w:t>
      </w:r>
      <w:proofErr w:type="spellEnd"/>
    </w:p>
    <w:p w14:paraId="47A925D7" w14:textId="77777777" w:rsidR="00A1635E" w:rsidRDefault="00000000">
      <w:pPr>
        <w:pStyle w:val="Odstavecseseznamem"/>
        <w:numPr>
          <w:ilvl w:val="0"/>
          <w:numId w:val="2"/>
        </w:numPr>
        <w:tabs>
          <w:tab w:val="left" w:pos="542"/>
          <w:tab w:val="left" w:pos="543"/>
        </w:tabs>
        <w:spacing w:before="117"/>
        <w:ind w:left="542" w:hanging="427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ostatním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beze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změn</w:t>
      </w:r>
      <w:proofErr w:type="spellEnd"/>
      <w:r>
        <w:rPr>
          <w:sz w:val="20"/>
        </w:rPr>
        <w:t>.</w:t>
      </w:r>
    </w:p>
    <w:p w14:paraId="3F1D8292" w14:textId="77777777" w:rsidR="00A1635E" w:rsidRDefault="00A1635E">
      <w:pPr>
        <w:pStyle w:val="Zkladntext"/>
      </w:pPr>
    </w:p>
    <w:p w14:paraId="6A26F03B" w14:textId="77777777" w:rsidR="00A1635E" w:rsidRDefault="00000000">
      <w:pPr>
        <w:pStyle w:val="Zkladntext"/>
        <w:ind w:left="2292" w:right="2536"/>
        <w:jc w:val="center"/>
      </w:pPr>
      <w:proofErr w:type="spellStart"/>
      <w:r>
        <w:t>Čl</w:t>
      </w:r>
      <w:proofErr w:type="spellEnd"/>
      <w:r>
        <w:t>. II.</w:t>
      </w:r>
    </w:p>
    <w:p w14:paraId="72DAF56D" w14:textId="77777777" w:rsidR="00A1635E" w:rsidRDefault="00000000">
      <w:pPr>
        <w:pStyle w:val="Nadpis3"/>
        <w:ind w:left="2290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5064950" w14:textId="77777777" w:rsidR="00A1635E" w:rsidRDefault="00A1635E">
      <w:pPr>
        <w:pStyle w:val="Zkladntext"/>
        <w:spacing w:before="1"/>
        <w:rPr>
          <w:b/>
        </w:rPr>
      </w:pPr>
    </w:p>
    <w:p w14:paraId="6D375F7F" w14:textId="77777777" w:rsidR="00A1635E" w:rsidRDefault="00000000">
      <w:pPr>
        <w:pStyle w:val="Odstavecseseznamem"/>
        <w:numPr>
          <w:ilvl w:val="0"/>
          <w:numId w:val="1"/>
        </w:numPr>
        <w:tabs>
          <w:tab w:val="left" w:pos="476"/>
        </w:tabs>
        <w:ind w:right="353" w:hanging="357"/>
        <w:jc w:val="both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pacing w:val="-3"/>
          <w:sz w:val="20"/>
        </w:rPr>
        <w:t>zvláštních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uveřejňování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.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>.</w:t>
      </w:r>
    </w:p>
    <w:p w14:paraId="00577863" w14:textId="77777777" w:rsidR="00A1635E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before="120"/>
        <w:ind w:right="354" w:hanging="357"/>
        <w:jc w:val="both"/>
        <w:rPr>
          <w:sz w:val="20"/>
        </w:rPr>
      </w:pP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uzavírán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jednom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originále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zaznamenány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zaručených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kvalifikovaném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certifikátu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Podepsanou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36B21B26" w14:textId="77777777" w:rsidR="00A1635E" w:rsidRDefault="00000000">
      <w:pPr>
        <w:pStyle w:val="Odstavecseseznamem"/>
        <w:numPr>
          <w:ilvl w:val="0"/>
          <w:numId w:val="1"/>
        </w:numPr>
        <w:tabs>
          <w:tab w:val="left" w:pos="475"/>
        </w:tabs>
        <w:spacing w:before="120"/>
        <w:ind w:right="357" w:hanging="357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s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výhrad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vyjádřením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skutečné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svobodné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vážné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 xml:space="preserve">. Na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pravosti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pravdivosti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prohlášení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69C84896" w14:textId="77777777" w:rsidR="00A1635E" w:rsidRDefault="00A1635E">
      <w:pPr>
        <w:pStyle w:val="Zkladntext"/>
        <w:spacing w:before="3"/>
        <w:rPr>
          <w:sz w:val="30"/>
        </w:rPr>
      </w:pPr>
    </w:p>
    <w:p w14:paraId="43958B2B" w14:textId="77777777" w:rsidR="00A1635E" w:rsidRDefault="00000000">
      <w:pPr>
        <w:pStyle w:val="Zkladntext"/>
        <w:tabs>
          <w:tab w:val="left" w:pos="5070"/>
        </w:tabs>
        <w:spacing w:line="224" w:lineRule="exact"/>
        <w:ind w:left="114"/>
      </w:pPr>
      <w:r>
        <w:pict w14:anchorId="5D6C568A">
          <v:shape id="_x0000_s1029" style="position:absolute;left:0;text-align:left;margin-left:406.15pt;margin-top:12.25pt;width:40.25pt;height:39.95pt;z-index:-3376;mso-position-horizontal-relative:page" coordorigin="8123,245" coordsize="805,799" o:spt="100" adj="0,,0" path="m8268,875r-70,46l8154,965r-24,38l8123,1031r5,10l8133,1044r52,l8190,1042r-51,l8146,1012r26,-42l8214,922r54,-47xm8467,245r-16,11l8443,281r-3,28l8439,329r1,18l8442,366r2,21l8448,408r4,22l8456,452r5,22l8467,497r-7,30l8439,584r-31,74l8368,743r-45,87l8275,911r-48,68l8181,1025r-42,17l8190,1042r2,-1l8235,1004r51,-65l8347,842r8,-2l8347,840r58,-106l8444,652r24,-62l8482,542r29,l8493,494r6,-42l8482,452r-9,-35l8466,382r-3,-33l8462,320r,-13l8464,287r5,-22l8479,250r20,l8488,246r-21,-1xm8919,838r-22,l8888,846r,23l8897,877r22,l8924,873r-25,l8892,866r,-17l8899,842r25,l8919,838xm8924,842r-7,l8923,849r,17l8917,873r7,l8928,869r,-23l8924,842xm8913,845r-13,l8900,869r4,l8904,860r10,l8914,859r-3,-1l8916,856r-12,l8904,850r12,l8915,848r-2,-3xm8914,860r-5,l8910,862r1,2l8912,869r4,l8915,864r,-3l8914,860xm8916,850r-6,l8911,851r,4l8909,856r7,l8916,853r,-3xm8511,542r-29,l8526,631r46,60l8615,729r35,23l8576,767r-76,19l8422,811r-75,29l8355,840r69,-21l8507,799r87,-15l8680,773r62,l8729,767r55,-3l8911,764r-21,-11l8859,747r-166,l8674,736r-19,-12l8636,712r-17,-13l8578,658r-34,-50l8515,553r-4,-11xm8742,773r-62,l8734,797r53,18l8836,827r41,4l8894,830r12,-4l8915,821r1,-3l8894,818r-32,-4l8821,804r-45,-16l8742,773xm8919,812r-5,3l8905,818r11,l8919,812xm8911,764r-127,l8849,766r53,11l8923,803r2,-6l8928,795r,-6l8918,768r-7,-4xm8791,741r-22,l8745,743r-52,4l8859,747r-13,-3l8791,741xm8507,312r-5,25l8497,368r-6,38l8482,452r17,l8499,447r4,-45l8505,358r2,-46xm8499,250r-20,l8488,256r8,9l8503,278r4,20l8510,267r-7,-15l8499,25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040D9AE">
          <v:shape id="_x0000_s1028" style="position:absolute;left:0;text-align:left;margin-left:130.3pt;margin-top:15.8pt;width:34pt;height:33.75pt;z-index:-3352;mso-position-horizontal-relative:page" coordorigin="2606,316" coordsize="680,675" o:spt="100" adj="0,,0" path="m2729,848r-60,39l2632,924r-20,32l2606,980r,11l2658,991r4,-1l2619,990r6,-26l2647,929r36,-41l2729,848xm2897,316r-14,9l2876,346r-2,24l2873,387r1,15l2875,418r2,18l2880,454r3,18l2887,491r5,19l2897,529r-11,37l2859,637r-41,89l2769,820r-52,85l2665,966r-46,24l2662,990r2,-1l2700,958r44,-55l2795,821r7,-2l2795,819r49,-90l2877,660r20,-53l2909,567r24,l2918,527r5,-36l2909,491r-8,-30l2896,432r-3,-28l2892,379r,-10l2894,351r4,-18l2906,320r17,l2914,317r-17,-1xm3279,817r-20,l3252,824r,19l3259,850r20,l3282,846r-21,l3255,841r,-15l3261,821r21,l3279,817xm3282,821r-5,l3282,826r,15l3277,846r5,l3286,843r,-19l3282,821xm3273,823r-11,l3262,843r4,l3266,835r8,l3274,835r-2,-1l3276,832r-10,l3266,827r10,l3275,826r-2,-3xm3274,835r-4,l3271,837r1,2l3273,843r3,l3275,839r,-2l3274,835xm3276,827r-6,l3272,828r,4l3270,832r6,l3276,830r,-3xm2933,567r-24,l2947,642r38,51l3021,725r30,20l2989,757r-65,16l2859,794r-64,25l2802,819r58,-18l2931,784r73,-13l3077,762r52,l3117,757r47,-2l3272,755r-18,-10l3228,740r-141,l3071,731r-16,-10l3040,710r-15,-10l2990,665r-29,-42l2937,576r-4,-9xm3129,762r-52,l3122,782r45,16l3208,808r35,3l3264,811r12,-5l3278,800r-21,l3230,797r-34,-9l3158,775r-29,-13xm3279,795r-5,2l3266,800r12,l3279,795xm3272,755r-108,l3219,756r45,10l3282,787r2,-4l3286,781r,-5l3277,758r-5,-3xm3170,735r-18,l3131,737r-44,3l3228,740r-11,-3l3170,735xm2930,373r-4,20l2922,420r-6,32l2909,491r14,l2924,487r3,-38l2929,411r1,-38xm2923,320r-17,l2914,325r7,8l2927,344r3,16l2933,335r-6,-13l2923,320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Hlavní</w:t>
      </w:r>
      <w:proofErr w:type="spellEnd"/>
      <w:r>
        <w:rPr>
          <w:spacing w:val="-3"/>
        </w:rPr>
        <w:t xml:space="preserve"> </w:t>
      </w:r>
      <w:proofErr w:type="spellStart"/>
      <w:r>
        <w:t>příjemce</w:t>
      </w:r>
      <w:proofErr w:type="spellEnd"/>
      <w:r>
        <w:t>:</w:t>
      </w:r>
      <w:r>
        <w:tab/>
      </w: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t>:</w:t>
      </w:r>
    </w:p>
    <w:p w14:paraId="5B08C0F1" w14:textId="77777777" w:rsidR="00A1635E" w:rsidRDefault="00A1635E">
      <w:pPr>
        <w:spacing w:line="224" w:lineRule="exact"/>
        <w:sectPr w:rsidR="00A1635E">
          <w:type w:val="continuous"/>
          <w:pgSz w:w="11910" w:h="16840"/>
          <w:pgMar w:top="1320" w:right="1060" w:bottom="280" w:left="1300" w:header="708" w:footer="708" w:gutter="0"/>
          <w:cols w:space="708"/>
        </w:sectPr>
      </w:pPr>
    </w:p>
    <w:p w14:paraId="3A3A2954" w14:textId="3465095B" w:rsidR="00A1635E" w:rsidRDefault="00A1635E">
      <w:pPr>
        <w:spacing w:before="1" w:line="137" w:lineRule="exact"/>
        <w:ind w:left="1672"/>
        <w:rPr>
          <w:rFonts w:ascii="Calibri"/>
          <w:sz w:val="14"/>
        </w:rPr>
      </w:pPr>
    </w:p>
    <w:p w14:paraId="2F4DF993" w14:textId="3DC1EFA5" w:rsidR="00A1635E" w:rsidRDefault="00000000">
      <w:pPr>
        <w:tabs>
          <w:tab w:val="left" w:pos="7614"/>
        </w:tabs>
        <w:spacing w:line="265" w:lineRule="exact"/>
        <w:ind w:left="120"/>
        <w:rPr>
          <w:rFonts w:ascii="Times New Roman"/>
          <w:sz w:val="20"/>
        </w:rPr>
      </w:pPr>
      <w:r>
        <w:rPr>
          <w:rFonts w:ascii="Calibri"/>
          <w:sz w:val="16"/>
        </w:rPr>
        <w:tab/>
      </w:r>
      <w:r>
        <w:rPr>
          <w:rFonts w:ascii="Times New Roman"/>
          <w:position w:val="-6"/>
          <w:sz w:val="20"/>
        </w:rPr>
        <w:t>1</w:t>
      </w:r>
    </w:p>
    <w:sectPr w:rsidR="00A1635E">
      <w:type w:val="continuous"/>
      <w:pgSz w:w="11910" w:h="16840"/>
      <w:pgMar w:top="1320" w:right="1060" w:bottom="280" w:left="1300" w:header="708" w:footer="708" w:gutter="0"/>
      <w:cols w:num="2" w:space="708" w:equalWidth="0">
        <w:col w:w="1142" w:space="333"/>
        <w:col w:w="80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4A1"/>
    <w:multiLevelType w:val="hybridMultilevel"/>
    <w:tmpl w:val="949CD20E"/>
    <w:lvl w:ilvl="0" w:tplc="22240B16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7E25B50">
      <w:numFmt w:val="bullet"/>
      <w:lvlText w:val="•"/>
      <w:lvlJc w:val="left"/>
      <w:pPr>
        <w:ind w:left="1386" w:hanging="360"/>
      </w:pPr>
      <w:rPr>
        <w:rFonts w:hint="default"/>
      </w:rPr>
    </w:lvl>
    <w:lvl w:ilvl="2" w:tplc="94D2CCEE"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43300886">
      <w:numFmt w:val="bullet"/>
      <w:lvlText w:val="•"/>
      <w:lvlJc w:val="left"/>
      <w:pPr>
        <w:ind w:left="3199" w:hanging="360"/>
      </w:pPr>
      <w:rPr>
        <w:rFonts w:hint="default"/>
      </w:rPr>
    </w:lvl>
    <w:lvl w:ilvl="4" w:tplc="389ACCB6"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17AEF78C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725A49B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D14166E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FEB882FC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1" w15:restartNumberingAfterBreak="0">
    <w:nsid w:val="28864DCE"/>
    <w:multiLevelType w:val="hybridMultilevel"/>
    <w:tmpl w:val="5E684266"/>
    <w:lvl w:ilvl="0" w:tplc="CC3A5A58">
      <w:start w:val="1"/>
      <w:numFmt w:val="decimal"/>
      <w:lvlText w:val="%1."/>
      <w:lvlJc w:val="left"/>
      <w:pPr>
        <w:ind w:left="539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9647582">
      <w:numFmt w:val="bullet"/>
      <w:lvlText w:val="•"/>
      <w:lvlJc w:val="left"/>
      <w:pPr>
        <w:ind w:left="1440" w:hanging="425"/>
      </w:pPr>
      <w:rPr>
        <w:rFonts w:hint="default"/>
      </w:rPr>
    </w:lvl>
    <w:lvl w:ilvl="2" w:tplc="7FA201E4">
      <w:numFmt w:val="bullet"/>
      <w:lvlText w:val="•"/>
      <w:lvlJc w:val="left"/>
      <w:pPr>
        <w:ind w:left="2341" w:hanging="425"/>
      </w:pPr>
      <w:rPr>
        <w:rFonts w:hint="default"/>
      </w:rPr>
    </w:lvl>
    <w:lvl w:ilvl="3" w:tplc="D5C815EE">
      <w:numFmt w:val="bullet"/>
      <w:lvlText w:val="•"/>
      <w:lvlJc w:val="left"/>
      <w:pPr>
        <w:ind w:left="3241" w:hanging="425"/>
      </w:pPr>
      <w:rPr>
        <w:rFonts w:hint="default"/>
      </w:rPr>
    </w:lvl>
    <w:lvl w:ilvl="4" w:tplc="A85EA428">
      <w:numFmt w:val="bullet"/>
      <w:lvlText w:val="•"/>
      <w:lvlJc w:val="left"/>
      <w:pPr>
        <w:ind w:left="4142" w:hanging="425"/>
      </w:pPr>
      <w:rPr>
        <w:rFonts w:hint="default"/>
      </w:rPr>
    </w:lvl>
    <w:lvl w:ilvl="5" w:tplc="3F46D6E0">
      <w:numFmt w:val="bullet"/>
      <w:lvlText w:val="•"/>
      <w:lvlJc w:val="left"/>
      <w:pPr>
        <w:ind w:left="5043" w:hanging="425"/>
      </w:pPr>
      <w:rPr>
        <w:rFonts w:hint="default"/>
      </w:rPr>
    </w:lvl>
    <w:lvl w:ilvl="6" w:tplc="07EE925C">
      <w:numFmt w:val="bullet"/>
      <w:lvlText w:val="•"/>
      <w:lvlJc w:val="left"/>
      <w:pPr>
        <w:ind w:left="5943" w:hanging="425"/>
      </w:pPr>
      <w:rPr>
        <w:rFonts w:hint="default"/>
      </w:rPr>
    </w:lvl>
    <w:lvl w:ilvl="7" w:tplc="6ED42DD0">
      <w:numFmt w:val="bullet"/>
      <w:lvlText w:val="•"/>
      <w:lvlJc w:val="left"/>
      <w:pPr>
        <w:ind w:left="6844" w:hanging="425"/>
      </w:pPr>
      <w:rPr>
        <w:rFonts w:hint="default"/>
      </w:rPr>
    </w:lvl>
    <w:lvl w:ilvl="8" w:tplc="EBD879BC">
      <w:numFmt w:val="bullet"/>
      <w:lvlText w:val="•"/>
      <w:lvlJc w:val="left"/>
      <w:pPr>
        <w:ind w:left="7745" w:hanging="425"/>
      </w:pPr>
      <w:rPr>
        <w:rFonts w:hint="default"/>
      </w:rPr>
    </w:lvl>
  </w:abstractNum>
  <w:abstractNum w:abstractNumId="2" w15:restartNumberingAfterBreak="0">
    <w:nsid w:val="39070CC9"/>
    <w:multiLevelType w:val="hybridMultilevel"/>
    <w:tmpl w:val="74A0BDF0"/>
    <w:lvl w:ilvl="0" w:tplc="28C6BBB4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72440474">
      <w:numFmt w:val="bullet"/>
      <w:lvlText w:val="•"/>
      <w:lvlJc w:val="left"/>
      <w:pPr>
        <w:ind w:left="1386" w:hanging="360"/>
      </w:pPr>
      <w:rPr>
        <w:rFonts w:hint="default"/>
      </w:rPr>
    </w:lvl>
    <w:lvl w:ilvl="2" w:tplc="441A2030"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45786FA4">
      <w:numFmt w:val="bullet"/>
      <w:lvlText w:val="•"/>
      <w:lvlJc w:val="left"/>
      <w:pPr>
        <w:ind w:left="3199" w:hanging="360"/>
      </w:pPr>
      <w:rPr>
        <w:rFonts w:hint="default"/>
      </w:rPr>
    </w:lvl>
    <w:lvl w:ilvl="4" w:tplc="60B6C06E">
      <w:numFmt w:val="bullet"/>
      <w:lvlText w:val="•"/>
      <w:lvlJc w:val="left"/>
      <w:pPr>
        <w:ind w:left="4106" w:hanging="360"/>
      </w:pPr>
      <w:rPr>
        <w:rFonts w:hint="default"/>
      </w:rPr>
    </w:lvl>
    <w:lvl w:ilvl="5" w:tplc="DCCADA2C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49CC8452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C8DAFEB6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2D6C0892">
      <w:numFmt w:val="bullet"/>
      <w:lvlText w:val="•"/>
      <w:lvlJc w:val="left"/>
      <w:pPr>
        <w:ind w:left="7733" w:hanging="360"/>
      </w:pPr>
      <w:rPr>
        <w:rFonts w:hint="default"/>
      </w:rPr>
    </w:lvl>
  </w:abstractNum>
  <w:num w:numId="1" w16cid:durableId="765073434">
    <w:abstractNumId w:val="0"/>
  </w:num>
  <w:num w:numId="2" w16cid:durableId="2065398685">
    <w:abstractNumId w:val="1"/>
  </w:num>
  <w:num w:numId="3" w16cid:durableId="112068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35E"/>
    <w:rsid w:val="00A1635E"/>
    <w:rsid w:val="00C862D5"/>
    <w:rsid w:val="00E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8CE871"/>
  <w15:docId w15:val="{C8F0BA9B-C061-4250-A410-0B2B7C5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42" w:lineRule="exact"/>
      <w:outlineLvl w:val="0"/>
    </w:pPr>
    <w:rPr>
      <w:rFonts w:ascii="Calibri" w:eastAsia="Calibri" w:hAnsi="Calibri" w:cs="Calibri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line="167" w:lineRule="exact"/>
      <w:ind w:left="191"/>
      <w:outlineLvl w:val="1"/>
    </w:pPr>
    <w:rPr>
      <w:rFonts w:ascii="Calibri" w:eastAsia="Calibri" w:hAnsi="Calibri" w:cs="Calibri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2294" w:right="2536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2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3</cp:revision>
  <dcterms:created xsi:type="dcterms:W3CDTF">2025-12-19T09:56:00Z</dcterms:created>
  <dcterms:modified xsi:type="dcterms:W3CDTF">2025-12-19T08:57:00Z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2025-12-19T00:00:00Z</vt:filetime>
  </property>
</Properties>
</file>